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CEE8" w14:textId="77777777" w:rsidR="00A922B7" w:rsidRDefault="00A922B7" w:rsidP="00197335">
      <w:pPr>
        <w:pStyle w:val="Heading2"/>
        <w:spacing w:before="0"/>
        <w:rPr>
          <w:rFonts w:eastAsia="Times New Roman"/>
        </w:rPr>
      </w:pPr>
      <w:r>
        <w:rPr>
          <w:rFonts w:eastAsia="Times New Roman"/>
        </w:rPr>
        <w:t>1. Cash vs. Credit – Why They’re “Not on Par”</w:t>
      </w:r>
    </w:p>
    <w:p w14:paraId="419A68B2" w14:textId="77777777" w:rsidR="00A922B7" w:rsidRDefault="00A922B7">
      <w:pPr>
        <w:pStyle w:val="NormalWeb"/>
      </w:pPr>
      <w:r>
        <w:rPr>
          <w:rStyle w:val="Strong"/>
        </w:rPr>
        <w:t>a. Cash (specie money).</w:t>
      </w:r>
      <w:r>
        <w:br/>
        <w:t>Historically “lawful money” meant coined gold or silver. The U.S. Constitution, Art. I § 8 &amp; § 10, authorizes Congress to coin money and forbids states to “make any Thing but gold and silver Coin a Tender in Payment of Debts.”</w:t>
      </w:r>
    </w:p>
    <w:p w14:paraId="5BAF3EA8" w14:textId="77777777" w:rsidR="00A922B7" w:rsidRDefault="00A922B7">
      <w:pPr>
        <w:pStyle w:val="NormalWeb"/>
      </w:pPr>
      <w:r>
        <w:rPr>
          <w:rStyle w:val="Strong"/>
        </w:rPr>
        <w:t>b. Credit (representative money).</w:t>
      </w:r>
      <w:r>
        <w:br/>
        <w:t xml:space="preserve">Paper notes and electronic entries represent promises to pay, not intrinsic value. The modern Federal Reserve Note is an obligation of the United States under </w:t>
      </w:r>
      <w:r>
        <w:rPr>
          <w:rStyle w:val="Strong"/>
        </w:rPr>
        <w:t>12 U.S.C. § 411</w:t>
      </w:r>
      <w:r>
        <w:t>, redeemable only in “lawful money” if such redemption is offered by Treasury.</w:t>
      </w:r>
    </w:p>
    <w:p w14:paraId="6D0387EC" w14:textId="77777777" w:rsidR="00A922B7" w:rsidRDefault="00A922B7">
      <w:pPr>
        <w:pStyle w:val="NormalWeb"/>
      </w:pPr>
      <w:r>
        <w:rPr>
          <w:rStyle w:val="Strong"/>
        </w:rPr>
        <w:t>c. Not on par.</w:t>
      </w:r>
      <w:r>
        <w:br/>
        <w:t xml:space="preserve">When specie was suspended (1933) the U.S. left gold redemption. “Cash” became credit backed by the government’s promise. Accounting, contracts, and taxes still recognize FRNs as “money,” but legally they are </w:t>
      </w:r>
      <w:r>
        <w:rPr>
          <w:rStyle w:val="Strong"/>
        </w:rPr>
        <w:t>obligations (debt instruments)</w:t>
      </w:r>
      <w:r>
        <w:t xml:space="preserve"> rather than metallic payment.</w:t>
      </w:r>
    </w:p>
    <w:p w14:paraId="3B826138" w14:textId="77777777" w:rsidR="00A922B7" w:rsidRDefault="00A922B7">
      <w:pPr>
        <w:rPr>
          <w:rFonts w:eastAsia="Times New Roman"/>
        </w:rPr>
      </w:pPr>
      <w:r>
        <w:rPr>
          <w:rFonts w:eastAsia="Times New Roman"/>
          <w:noProof/>
        </w:rPr>
        <mc:AlternateContent>
          <mc:Choice Requires="wps">
            <w:drawing>
              <wp:inline distT="0" distB="0" distL="0" distR="0" wp14:anchorId="1DB64964" wp14:editId="752A4E34">
                <wp:extent cx="5943600" cy="1270"/>
                <wp:effectExtent l="0" t="31750" r="0" b="36830"/>
                <wp:docPr id="13126208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7F5C5D"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3D87E2F" w14:textId="77777777" w:rsidR="00A922B7" w:rsidRDefault="00A922B7">
      <w:pPr>
        <w:pStyle w:val="Heading2"/>
        <w:rPr>
          <w:rFonts w:eastAsia="Times New Roman"/>
        </w:rPr>
      </w:pPr>
      <w:r>
        <w:rPr>
          <w:rFonts w:eastAsia="Times New Roman"/>
        </w:rPr>
        <w:t>2. “Species” of Payment and Authority</w:t>
      </w:r>
    </w:p>
    <w:p w14:paraId="736D8692" w14:textId="77777777" w:rsidR="00A922B7" w:rsidRDefault="00A922B7" w:rsidP="00A922B7">
      <w:pPr>
        <w:numPr>
          <w:ilvl w:val="0"/>
          <w:numId w:val="1"/>
        </w:numPr>
        <w:spacing w:before="100" w:beforeAutospacing="1" w:after="100" w:afterAutospacing="1" w:line="240" w:lineRule="auto"/>
        <w:rPr>
          <w:rFonts w:eastAsia="Times New Roman"/>
        </w:rPr>
      </w:pPr>
      <w:r>
        <w:rPr>
          <w:rStyle w:val="Strong"/>
          <w:rFonts w:eastAsia="Times New Roman"/>
        </w:rPr>
        <w:t>Specie</w:t>
      </w:r>
      <w:r>
        <w:rPr>
          <w:rFonts w:eastAsia="Times New Roman"/>
        </w:rPr>
        <w:t xml:space="preserve"> = physical metal coined by the sovereign (silver, gold).</w:t>
      </w:r>
    </w:p>
    <w:p w14:paraId="4BD08367" w14:textId="77777777" w:rsidR="00A922B7" w:rsidRDefault="00A922B7" w:rsidP="00A922B7">
      <w:pPr>
        <w:numPr>
          <w:ilvl w:val="0"/>
          <w:numId w:val="1"/>
        </w:numPr>
        <w:spacing w:before="100" w:beforeAutospacing="1" w:after="100" w:afterAutospacing="1" w:line="240" w:lineRule="auto"/>
        <w:rPr>
          <w:rFonts w:eastAsia="Times New Roman"/>
        </w:rPr>
      </w:pPr>
      <w:r>
        <w:rPr>
          <w:rStyle w:val="Strong"/>
          <w:rFonts w:eastAsia="Times New Roman"/>
        </w:rPr>
        <w:t>Fiat currency</w:t>
      </w:r>
      <w:r>
        <w:rPr>
          <w:rFonts w:eastAsia="Times New Roman"/>
        </w:rPr>
        <w:t xml:space="preserve"> = credit issued under statutory authority (Federal Reserve).</w:t>
      </w:r>
    </w:p>
    <w:p w14:paraId="194DE3B5" w14:textId="77777777" w:rsidR="00A922B7" w:rsidRDefault="00A922B7" w:rsidP="00A922B7">
      <w:pPr>
        <w:numPr>
          <w:ilvl w:val="0"/>
          <w:numId w:val="1"/>
        </w:numPr>
        <w:spacing w:before="100" w:beforeAutospacing="1" w:after="100" w:afterAutospacing="1" w:line="240" w:lineRule="auto"/>
        <w:rPr>
          <w:rFonts w:eastAsia="Times New Roman"/>
        </w:rPr>
      </w:pPr>
      <w:r>
        <w:rPr>
          <w:rStyle w:val="Strong"/>
          <w:rFonts w:eastAsia="Times New Roman"/>
        </w:rPr>
        <w:t>Private tender</w:t>
      </w:r>
      <w:r>
        <w:rPr>
          <w:rFonts w:eastAsia="Times New Roman"/>
        </w:rPr>
        <w:t xml:space="preserve"> = anything parties agree to accept (checks, crypto, silver).</w:t>
      </w:r>
      <w:r>
        <w:rPr>
          <w:rFonts w:eastAsia="Times New Roman"/>
        </w:rPr>
        <w:br/>
        <w:t xml:space="preserve">Under </w:t>
      </w:r>
      <w:r>
        <w:rPr>
          <w:rStyle w:val="Strong"/>
          <w:rFonts w:eastAsia="Times New Roman"/>
        </w:rPr>
        <w:t>U.C.C. § 1-201(b)(24)</w:t>
      </w:r>
      <w:r>
        <w:rPr>
          <w:rFonts w:eastAsia="Times New Roman"/>
        </w:rPr>
        <w:t>, “money” means any medium of exchange currently authorized or adopted by a government. You and another private party can contract for payment in a different medium if both consent—</w:t>
      </w:r>
      <w:r>
        <w:rPr>
          <w:rStyle w:val="Strong"/>
          <w:rFonts w:eastAsia="Times New Roman"/>
        </w:rPr>
        <w:t>freedom of contract, O.C.G.A. § 13-1-1</w:t>
      </w:r>
      <w:r>
        <w:rPr>
          <w:rFonts w:eastAsia="Times New Roman"/>
        </w:rPr>
        <w:t>.</w:t>
      </w:r>
    </w:p>
    <w:p w14:paraId="5C254FB3" w14:textId="77777777" w:rsidR="00A922B7" w:rsidRDefault="00A922B7">
      <w:pPr>
        <w:spacing w:after="0"/>
        <w:rPr>
          <w:rFonts w:eastAsia="Times New Roman"/>
        </w:rPr>
      </w:pPr>
      <w:r>
        <w:rPr>
          <w:rFonts w:eastAsia="Times New Roman"/>
          <w:noProof/>
        </w:rPr>
        <mc:AlternateContent>
          <mc:Choice Requires="wps">
            <w:drawing>
              <wp:inline distT="0" distB="0" distL="0" distR="0" wp14:anchorId="730708AA" wp14:editId="6FE451A0">
                <wp:extent cx="5943600" cy="1270"/>
                <wp:effectExtent l="0" t="31750" r="0" b="36830"/>
                <wp:docPr id="5944621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42B1E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1E6F61AB" w14:textId="77777777" w:rsidR="00A922B7" w:rsidRDefault="00A922B7">
      <w:pPr>
        <w:pStyle w:val="Heading2"/>
        <w:rPr>
          <w:rFonts w:eastAsia="Times New Roman"/>
        </w:rPr>
      </w:pPr>
      <w:r>
        <w:rPr>
          <w:rFonts w:eastAsia="Times New Roman"/>
        </w:rPr>
        <w:t>3. Right to Post or Tender a “Private Silver Bond”</w:t>
      </w:r>
    </w:p>
    <w:p w14:paraId="32029638" w14:textId="77777777" w:rsidR="00A922B7" w:rsidRDefault="00A922B7">
      <w:pPr>
        <w:pStyle w:val="NormalWeb"/>
      </w:pPr>
      <w:r>
        <w:t xml:space="preserve">You may lawfully post or pledge silver or other property as performance security in a private contract—just as contractors post surety bonds in federal or state work (see </w:t>
      </w:r>
      <w:r>
        <w:rPr>
          <w:rStyle w:val="Emphasis"/>
        </w:rPr>
        <w:t>Miller Act</w:t>
      </w:r>
      <w:r>
        <w:t>, 40 U.S.C. § 3131).</w:t>
      </w:r>
      <w:r>
        <w:br/>
        <w:t xml:space="preserve">What you may not do is issue a “bond” purporting to be a negotiable obligation of the United States or a substitute for legal tender—those are regulated under </w:t>
      </w:r>
      <w:r>
        <w:rPr>
          <w:rStyle w:val="Strong"/>
        </w:rPr>
        <w:t>18 U.S.C. §§ 8, 472-477</w:t>
      </w:r>
      <w:r>
        <w:t>.</w:t>
      </w:r>
    </w:p>
    <w:p w14:paraId="2849A58E" w14:textId="77777777" w:rsidR="00A922B7" w:rsidRDefault="00A922B7">
      <w:pPr>
        <w:pStyle w:val="Heading3"/>
        <w:rPr>
          <w:rFonts w:eastAsia="Times New Roman"/>
        </w:rPr>
      </w:pPr>
      <w:r>
        <w:rPr>
          <w:rFonts w:eastAsia="Times New Roman"/>
        </w:rPr>
        <w:t>18 U.S.C. § 8 – Obligations or Securities of the United States</w:t>
      </w:r>
    </w:p>
    <w:p w14:paraId="2C610FCE" w14:textId="77777777" w:rsidR="00A922B7" w:rsidRDefault="00A922B7">
      <w:pPr>
        <w:pStyle w:val="NormalWeb"/>
      </w:pPr>
      <w:r>
        <w:t>This statute defines as federal “obligations or securities” any Federal Reserve Note, Treasury bond, bill, or certificate. Counterfeiting or falsely representing such an instrument is a federal felony.</w:t>
      </w:r>
    </w:p>
    <w:p w14:paraId="22A815CC" w14:textId="77777777" w:rsidR="00A922B7" w:rsidRDefault="00A922B7">
      <w:pPr>
        <w:pStyle w:val="Heading3"/>
        <w:rPr>
          <w:rFonts w:eastAsia="Times New Roman"/>
        </w:rPr>
      </w:pPr>
      <w:r>
        <w:rPr>
          <w:rFonts w:eastAsia="Times New Roman"/>
        </w:rPr>
        <w:lastRenderedPageBreak/>
        <w:t>Your own obligations and securities</w:t>
      </w:r>
    </w:p>
    <w:p w14:paraId="25590349" w14:textId="77777777" w:rsidR="00A922B7" w:rsidRDefault="00A922B7">
      <w:pPr>
        <w:pStyle w:val="NormalWeb"/>
      </w:pPr>
      <w:r>
        <w:t xml:space="preserve">When you sign a contract, note, or bond, you create a </w:t>
      </w:r>
      <w:r>
        <w:rPr>
          <w:rStyle w:val="Strong"/>
        </w:rPr>
        <w:t>private obligation</w:t>
      </w:r>
      <w:r>
        <w:t>—binding only between the parties. No one else is “obligated” to honor or redeem it unless they agreed in contract. Likewise, you aren’t bound by another’s debt unless you consent or the law imposes liability.</w:t>
      </w:r>
    </w:p>
    <w:p w14:paraId="62DFC8A1" w14:textId="77777777" w:rsidR="00A922B7" w:rsidRDefault="00A922B7">
      <w:pPr>
        <w:rPr>
          <w:rFonts w:eastAsia="Times New Roman"/>
        </w:rPr>
      </w:pPr>
      <w:r>
        <w:rPr>
          <w:rFonts w:eastAsia="Times New Roman"/>
          <w:noProof/>
        </w:rPr>
        <mc:AlternateContent>
          <mc:Choice Requires="wps">
            <w:drawing>
              <wp:inline distT="0" distB="0" distL="0" distR="0" wp14:anchorId="251C484F" wp14:editId="490EC8CE">
                <wp:extent cx="5943600" cy="1270"/>
                <wp:effectExtent l="0" t="31750" r="0" b="36830"/>
                <wp:docPr id="19626194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B32B84"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E20C2C6" w14:textId="77777777" w:rsidR="00A922B7" w:rsidRDefault="00A922B7">
      <w:pPr>
        <w:pStyle w:val="Heading2"/>
        <w:rPr>
          <w:rFonts w:eastAsia="Times New Roman"/>
        </w:rPr>
      </w:pPr>
      <w:r>
        <w:rPr>
          <w:rFonts w:eastAsia="Times New Roman"/>
        </w:rPr>
        <w:t>4. Contract, Consent, and Species of Payment</w:t>
      </w:r>
    </w:p>
    <w:p w14:paraId="09DCEA31" w14:textId="77777777" w:rsidR="00A922B7" w:rsidRDefault="00A922B7">
      <w:pPr>
        <w:pStyle w:val="NormalWeb"/>
      </w:pPr>
      <w:r>
        <w:t xml:space="preserve">Under </w:t>
      </w:r>
      <w:r>
        <w:rPr>
          <w:rStyle w:val="Strong"/>
        </w:rPr>
        <w:t>U.C.C. § 3-603</w:t>
      </w:r>
      <w:r>
        <w:t xml:space="preserve"> and </w:t>
      </w:r>
      <w:r>
        <w:rPr>
          <w:rStyle w:val="Strong"/>
        </w:rPr>
        <w:t>Restatement (Contracts 2d § 249)</w:t>
      </w:r>
      <w:r>
        <w:t>, an obligation is discharged only by the kind of payment agreed upon. Federal Reserve Notes are legal tender for debts “public and private” (31 U.S.C. § 5103), which means a creditor must accept them if the contract doesn’t specify otherwise—but parties may stipulate payment “in silver” or “in kind.”</w:t>
      </w:r>
    </w:p>
    <w:p w14:paraId="7B111F7B" w14:textId="77777777" w:rsidR="00A922B7" w:rsidRDefault="00A922B7">
      <w:pPr>
        <w:pStyle w:val="NormalWeb"/>
      </w:pPr>
      <w:r>
        <w:t>Thus:</w:t>
      </w:r>
    </w:p>
    <w:p w14:paraId="5AF1AF0A" w14:textId="77777777" w:rsidR="00A922B7" w:rsidRDefault="00A922B7" w:rsidP="00A922B7">
      <w:pPr>
        <w:numPr>
          <w:ilvl w:val="0"/>
          <w:numId w:val="2"/>
        </w:numPr>
        <w:spacing w:before="100" w:beforeAutospacing="1" w:after="100" w:afterAutospacing="1" w:line="240" w:lineRule="auto"/>
        <w:rPr>
          <w:rFonts w:eastAsia="Times New Roman"/>
        </w:rPr>
      </w:pPr>
      <w:r>
        <w:rPr>
          <w:rStyle w:val="Emphasis"/>
          <w:rFonts w:eastAsia="Times New Roman"/>
        </w:rPr>
        <w:t>With contract</w:t>
      </w:r>
      <w:r>
        <w:rPr>
          <w:rFonts w:eastAsia="Times New Roman"/>
        </w:rPr>
        <w:t>: both sides bound by its terms.</w:t>
      </w:r>
    </w:p>
    <w:p w14:paraId="04D4E821" w14:textId="77777777" w:rsidR="00A922B7" w:rsidRDefault="00A922B7" w:rsidP="00A922B7">
      <w:pPr>
        <w:numPr>
          <w:ilvl w:val="0"/>
          <w:numId w:val="2"/>
        </w:numPr>
        <w:spacing w:before="100" w:beforeAutospacing="1" w:after="100" w:afterAutospacing="1" w:line="240" w:lineRule="auto"/>
        <w:rPr>
          <w:rFonts w:eastAsia="Times New Roman"/>
        </w:rPr>
      </w:pPr>
      <w:r>
        <w:rPr>
          <w:rStyle w:val="Emphasis"/>
          <w:rFonts w:eastAsia="Times New Roman"/>
        </w:rPr>
        <w:t>Without contract</w:t>
      </w:r>
      <w:r>
        <w:rPr>
          <w:rFonts w:eastAsia="Times New Roman"/>
        </w:rPr>
        <w:t>: no mutual obligation beyond statutory duties (tax, tort, etc.).</w:t>
      </w:r>
    </w:p>
    <w:p w14:paraId="76D9F720" w14:textId="77777777" w:rsidR="00A922B7" w:rsidRDefault="00A922B7">
      <w:pPr>
        <w:spacing w:after="0"/>
        <w:rPr>
          <w:rFonts w:eastAsia="Times New Roman"/>
        </w:rPr>
      </w:pPr>
      <w:r>
        <w:rPr>
          <w:rFonts w:eastAsia="Times New Roman"/>
          <w:noProof/>
        </w:rPr>
        <mc:AlternateContent>
          <mc:Choice Requires="wps">
            <w:drawing>
              <wp:inline distT="0" distB="0" distL="0" distR="0" wp14:anchorId="573A52F6" wp14:editId="738D962F">
                <wp:extent cx="5943600" cy="1270"/>
                <wp:effectExtent l="0" t="31750" r="0" b="36830"/>
                <wp:docPr id="7837378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AD0272"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22EA8F39" w14:textId="77777777" w:rsidR="00A922B7" w:rsidRDefault="00A922B7">
      <w:pPr>
        <w:pStyle w:val="Heading2"/>
        <w:rPr>
          <w:rFonts w:eastAsia="Times New Roman"/>
        </w:rPr>
      </w:pPr>
      <w:r>
        <w:rPr>
          <w:rFonts w:eastAsia="Times New Roman"/>
        </w:rPr>
        <w:t>5. Accounting and Tax Framework</w:t>
      </w:r>
    </w:p>
    <w:p w14:paraId="1B853648" w14:textId="77777777" w:rsidR="00A922B7" w:rsidRDefault="00A922B7" w:rsidP="00A922B7">
      <w:pPr>
        <w:numPr>
          <w:ilvl w:val="0"/>
          <w:numId w:val="3"/>
        </w:numPr>
        <w:spacing w:before="100" w:beforeAutospacing="1" w:after="100" w:afterAutospacing="1" w:line="240" w:lineRule="auto"/>
        <w:rPr>
          <w:rFonts w:eastAsia="Times New Roman"/>
        </w:rPr>
      </w:pPr>
      <w:r>
        <w:rPr>
          <w:rStyle w:val="Strong"/>
          <w:rFonts w:eastAsia="Times New Roman"/>
        </w:rPr>
        <w:t>GAAP / FASB</w:t>
      </w:r>
      <w:r>
        <w:rPr>
          <w:rFonts w:eastAsia="Times New Roman"/>
        </w:rPr>
        <w:t xml:space="preserve"> – All obligations and credits are booked as assets or liabilities; payment in silver is recorded at market value on date of exchange.</w:t>
      </w:r>
    </w:p>
    <w:p w14:paraId="608020F3" w14:textId="77777777" w:rsidR="00A922B7" w:rsidRDefault="00A922B7" w:rsidP="00A922B7">
      <w:pPr>
        <w:numPr>
          <w:ilvl w:val="0"/>
          <w:numId w:val="3"/>
        </w:numPr>
        <w:spacing w:before="100" w:beforeAutospacing="1" w:after="100" w:afterAutospacing="1" w:line="240" w:lineRule="auto"/>
        <w:rPr>
          <w:rFonts w:eastAsia="Times New Roman"/>
        </w:rPr>
      </w:pPr>
      <w:r>
        <w:rPr>
          <w:rStyle w:val="Strong"/>
          <w:rFonts w:eastAsia="Times New Roman"/>
        </w:rPr>
        <w:t>IRS</w:t>
      </w:r>
      <w:r>
        <w:rPr>
          <w:rFonts w:eastAsia="Times New Roman"/>
        </w:rPr>
        <w:t xml:space="preserve"> – 26 U.S.C. § 1001 treats gain/loss on silver transactions as capital or ordinary income. You may hold or pledge silver, but if you sell or discharge debt with it, taxable gain or loss applies.</w:t>
      </w:r>
    </w:p>
    <w:p w14:paraId="2E7CFE58" w14:textId="77777777" w:rsidR="00A922B7" w:rsidRDefault="00A922B7">
      <w:pPr>
        <w:spacing w:after="0"/>
        <w:rPr>
          <w:rFonts w:eastAsia="Times New Roman"/>
        </w:rPr>
      </w:pPr>
      <w:r>
        <w:rPr>
          <w:rFonts w:eastAsia="Times New Roman"/>
          <w:noProof/>
        </w:rPr>
        <mc:AlternateContent>
          <mc:Choice Requires="wps">
            <w:drawing>
              <wp:inline distT="0" distB="0" distL="0" distR="0" wp14:anchorId="19C77BB8" wp14:editId="14E1F1E0">
                <wp:extent cx="5943600" cy="1270"/>
                <wp:effectExtent l="0" t="31750" r="0" b="36830"/>
                <wp:docPr id="174916109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65C48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0C36374F" w14:textId="77777777" w:rsidR="00A922B7" w:rsidRDefault="00A922B7">
      <w:pPr>
        <w:pStyle w:val="Heading2"/>
        <w:rPr>
          <w:rFonts w:eastAsia="Times New Roman"/>
        </w:rPr>
      </w:pPr>
      <w:r>
        <w:rPr>
          <w:rFonts w:eastAsia="Times New Roman"/>
        </w:rPr>
        <w:t>6. Authority to Litigate or Collect in Georgia</w:t>
      </w:r>
    </w:p>
    <w:p w14:paraId="16F4942A" w14:textId="77777777" w:rsidR="00A922B7" w:rsidRDefault="00A922B7" w:rsidP="00A922B7">
      <w:pPr>
        <w:numPr>
          <w:ilvl w:val="0"/>
          <w:numId w:val="4"/>
        </w:numPr>
        <w:spacing w:before="100" w:beforeAutospacing="1" w:after="100" w:afterAutospacing="1" w:line="240" w:lineRule="auto"/>
        <w:rPr>
          <w:rFonts w:eastAsia="Times New Roman"/>
        </w:rPr>
      </w:pPr>
      <w:r>
        <w:rPr>
          <w:rStyle w:val="Strong"/>
          <w:rFonts w:eastAsia="Times New Roman"/>
        </w:rPr>
        <w:t>District Attorney</w:t>
      </w:r>
      <w:r>
        <w:rPr>
          <w:rFonts w:eastAsia="Times New Roman"/>
        </w:rPr>
        <w:t>: criminal prosecutions for the State only (Ga. Const. Art. VI § 8; O.C.G.A. § 15-18-6).</w:t>
      </w:r>
    </w:p>
    <w:p w14:paraId="3FE4C728" w14:textId="77777777" w:rsidR="00A922B7" w:rsidRDefault="00A922B7" w:rsidP="00A922B7">
      <w:pPr>
        <w:numPr>
          <w:ilvl w:val="0"/>
          <w:numId w:val="4"/>
        </w:numPr>
        <w:spacing w:before="100" w:beforeAutospacing="1" w:after="100" w:afterAutospacing="1" w:line="240" w:lineRule="auto"/>
        <w:rPr>
          <w:rFonts w:eastAsia="Times New Roman"/>
        </w:rPr>
      </w:pPr>
      <w:r>
        <w:rPr>
          <w:rStyle w:val="Strong"/>
          <w:rFonts w:eastAsia="Times New Roman"/>
        </w:rPr>
        <w:t>County / City Attorneys</w:t>
      </w:r>
      <w:r>
        <w:rPr>
          <w:rFonts w:eastAsia="Times New Roman"/>
        </w:rPr>
        <w:t>: represent local governments in civil matters.</w:t>
      </w:r>
    </w:p>
    <w:p w14:paraId="46B91057" w14:textId="77777777" w:rsidR="00A922B7" w:rsidRDefault="00A922B7" w:rsidP="00A922B7">
      <w:pPr>
        <w:numPr>
          <w:ilvl w:val="0"/>
          <w:numId w:val="4"/>
        </w:numPr>
        <w:spacing w:before="100" w:beforeAutospacing="1" w:after="100" w:afterAutospacing="1" w:line="240" w:lineRule="auto"/>
        <w:rPr>
          <w:rFonts w:eastAsia="Times New Roman"/>
        </w:rPr>
      </w:pPr>
      <w:r>
        <w:rPr>
          <w:rStyle w:val="Strong"/>
          <w:rFonts w:eastAsia="Times New Roman"/>
        </w:rPr>
        <w:t>State Attorney General</w:t>
      </w:r>
      <w:r>
        <w:rPr>
          <w:rFonts w:eastAsia="Times New Roman"/>
        </w:rPr>
        <w:t>: represents state agencies.</w:t>
      </w:r>
    </w:p>
    <w:p w14:paraId="44B4A608" w14:textId="77777777" w:rsidR="00A922B7" w:rsidRDefault="00A922B7" w:rsidP="00A922B7">
      <w:pPr>
        <w:numPr>
          <w:ilvl w:val="0"/>
          <w:numId w:val="4"/>
        </w:numPr>
        <w:spacing w:before="100" w:beforeAutospacing="1" w:after="100" w:afterAutospacing="1" w:line="240" w:lineRule="auto"/>
        <w:rPr>
          <w:rFonts w:eastAsia="Times New Roman"/>
        </w:rPr>
      </w:pPr>
      <w:r>
        <w:rPr>
          <w:rStyle w:val="Strong"/>
          <w:rFonts w:eastAsia="Times New Roman"/>
        </w:rPr>
        <w:t>Private Attorneys</w:t>
      </w:r>
      <w:r>
        <w:rPr>
          <w:rFonts w:eastAsia="Times New Roman"/>
        </w:rPr>
        <w:t xml:space="preserve">: must file a </w:t>
      </w:r>
      <w:r>
        <w:rPr>
          <w:rStyle w:val="Strong"/>
          <w:rFonts w:eastAsia="Times New Roman"/>
        </w:rPr>
        <w:t>Notice of Appearance</w:t>
      </w:r>
      <w:r>
        <w:rPr>
          <w:rFonts w:eastAsia="Times New Roman"/>
        </w:rPr>
        <w:t xml:space="preserve"> and have </w:t>
      </w:r>
      <w:r>
        <w:rPr>
          <w:rStyle w:val="Strong"/>
          <w:rFonts w:eastAsia="Times New Roman"/>
        </w:rPr>
        <w:t>client authorization</w:t>
      </w:r>
      <w:r>
        <w:rPr>
          <w:rFonts w:eastAsia="Times New Roman"/>
        </w:rPr>
        <w:t xml:space="preserve"> under </w:t>
      </w:r>
      <w:r>
        <w:rPr>
          <w:rStyle w:val="Strong"/>
          <w:rFonts w:eastAsia="Times New Roman"/>
        </w:rPr>
        <w:t>O.C.G.A. § 15-19-50</w:t>
      </w:r>
      <w:r>
        <w:rPr>
          <w:rFonts w:eastAsia="Times New Roman"/>
        </w:rPr>
        <w:t xml:space="preserve">; they need </w:t>
      </w:r>
      <w:r>
        <w:rPr>
          <w:rStyle w:val="Strong"/>
          <w:rFonts w:eastAsia="Times New Roman"/>
        </w:rPr>
        <w:t>power of attorney</w:t>
      </w:r>
      <w:r>
        <w:rPr>
          <w:rFonts w:eastAsia="Times New Roman"/>
        </w:rPr>
        <w:t xml:space="preserve"> only when acting beyond court representation (e.g., settlement, disposition of property).</w:t>
      </w:r>
    </w:p>
    <w:p w14:paraId="6152653C" w14:textId="77777777" w:rsidR="00A922B7" w:rsidRDefault="00A922B7" w:rsidP="00A922B7">
      <w:pPr>
        <w:numPr>
          <w:ilvl w:val="0"/>
          <w:numId w:val="4"/>
        </w:numPr>
        <w:spacing w:before="100" w:beforeAutospacing="1" w:after="100" w:afterAutospacing="1" w:line="240" w:lineRule="auto"/>
        <w:rPr>
          <w:rFonts w:eastAsia="Times New Roman"/>
        </w:rPr>
      </w:pPr>
      <w:r>
        <w:rPr>
          <w:rFonts w:eastAsia="Times New Roman"/>
        </w:rPr>
        <w:t xml:space="preserve">No one may appear “for another” without such authority—otherwise it is </w:t>
      </w:r>
      <w:r>
        <w:rPr>
          <w:rStyle w:val="Emphasis"/>
          <w:rFonts w:eastAsia="Times New Roman"/>
        </w:rPr>
        <w:t>unauthorized practice of law</w:t>
      </w:r>
      <w:r>
        <w:rPr>
          <w:rFonts w:eastAsia="Times New Roman"/>
        </w:rPr>
        <w:t xml:space="preserve"> (</w:t>
      </w:r>
      <w:r>
        <w:rPr>
          <w:rStyle w:val="Strong"/>
          <w:rFonts w:eastAsia="Times New Roman"/>
        </w:rPr>
        <w:t>O.C.G.A. § 15-19-51</w:t>
      </w:r>
      <w:r>
        <w:rPr>
          <w:rFonts w:eastAsia="Times New Roman"/>
        </w:rPr>
        <w:t>).</w:t>
      </w:r>
    </w:p>
    <w:p w14:paraId="310290F4" w14:textId="77777777" w:rsidR="00A922B7" w:rsidRDefault="00A922B7">
      <w:pPr>
        <w:spacing w:after="0"/>
        <w:rPr>
          <w:rFonts w:eastAsia="Times New Roman"/>
        </w:rPr>
      </w:pPr>
      <w:r>
        <w:rPr>
          <w:rFonts w:eastAsia="Times New Roman"/>
          <w:noProof/>
        </w:rPr>
        <w:lastRenderedPageBreak/>
        <mc:AlternateContent>
          <mc:Choice Requires="wps">
            <w:drawing>
              <wp:inline distT="0" distB="0" distL="0" distR="0" wp14:anchorId="3B08E269" wp14:editId="5EE2AD49">
                <wp:extent cx="5943600" cy="1270"/>
                <wp:effectExtent l="0" t="31750" r="0" b="36830"/>
                <wp:docPr id="10387761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599BF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4A7FB888" w14:textId="77777777" w:rsidR="00A922B7" w:rsidRDefault="00A922B7">
      <w:pPr>
        <w:pStyle w:val="Heading2"/>
        <w:rPr>
          <w:rFonts w:eastAsia="Times New Roman"/>
        </w:rPr>
      </w:pPr>
      <w:r>
        <w:rPr>
          <w:rFonts w:eastAsia="Times New Roman"/>
        </w:rPr>
        <w:t>7. Sovereignty, Property, and Despotic Abuse</w:t>
      </w:r>
    </w:p>
    <w:p w14:paraId="20D715B8" w14:textId="77777777" w:rsidR="00A922B7" w:rsidRDefault="00A922B7">
      <w:pPr>
        <w:pStyle w:val="NormalWeb"/>
      </w:pPr>
      <w:r>
        <w:t xml:space="preserve">The </w:t>
      </w:r>
      <w:r>
        <w:rPr>
          <w:rStyle w:val="Strong"/>
        </w:rPr>
        <w:t>Georgia Declaration of Rights</w:t>
      </w:r>
      <w:r>
        <w:t xml:space="preserve"> (Art. I § I ¶ II) states that </w:t>
      </w:r>
      <w:r>
        <w:rPr>
          <w:rStyle w:val="Emphasis"/>
        </w:rPr>
        <w:t>protection to person and property is the paramount duty of government and shall be impartial and complete.</w:t>
      </w:r>
      <w:r>
        <w:br/>
        <w:t xml:space="preserve">Any officer acting “under color of law” or “color of authority” without lawful jurisdiction risks liability under </w:t>
      </w:r>
      <w:r>
        <w:rPr>
          <w:rStyle w:val="Strong"/>
        </w:rPr>
        <w:t>42 U.S.C. § 1983</w:t>
      </w:r>
      <w:r>
        <w:t xml:space="preserve"> (civil rights deprivation). Abuse of official power for private enrichment fits the classical definition of </w:t>
      </w:r>
      <w:r>
        <w:rPr>
          <w:rStyle w:val="Emphasis"/>
        </w:rPr>
        <w:t>despotism.</w:t>
      </w:r>
    </w:p>
    <w:p w14:paraId="7669054A" w14:textId="77777777" w:rsidR="00A922B7" w:rsidRDefault="00A922B7">
      <w:pPr>
        <w:rPr>
          <w:rFonts w:eastAsia="Times New Roman"/>
        </w:rPr>
      </w:pPr>
      <w:r>
        <w:rPr>
          <w:rFonts w:eastAsia="Times New Roman"/>
          <w:noProof/>
        </w:rPr>
        <mc:AlternateContent>
          <mc:Choice Requires="wps">
            <w:drawing>
              <wp:inline distT="0" distB="0" distL="0" distR="0" wp14:anchorId="391EACE0" wp14:editId="68DAE1AB">
                <wp:extent cx="5943600" cy="1270"/>
                <wp:effectExtent l="0" t="31750" r="0" b="36830"/>
                <wp:docPr id="4406280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FFBDD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5FCD2BB" w14:textId="77777777" w:rsidR="00A922B7" w:rsidRDefault="00A922B7">
      <w:pPr>
        <w:pStyle w:val="Heading2"/>
        <w:rPr>
          <w:rFonts w:eastAsia="Times New Roman"/>
        </w:rPr>
      </w:pPr>
      <w:r>
        <w:rPr>
          <w:rFonts w:eastAsia="Times New Roman"/>
        </w:rPr>
        <w:t>8. Practical Takeaways</w:t>
      </w:r>
    </w:p>
    <w:tbl>
      <w:tblPr>
        <w:tblStyle w:val="GridTable2-Accent6"/>
        <w:tblW w:w="0" w:type="auto"/>
        <w:tblLook w:val="04A0" w:firstRow="1" w:lastRow="0" w:firstColumn="1" w:lastColumn="0" w:noHBand="0" w:noVBand="1"/>
      </w:tblPr>
      <w:tblGrid>
        <w:gridCol w:w="2225"/>
        <w:gridCol w:w="3617"/>
        <w:gridCol w:w="3518"/>
      </w:tblGrid>
      <w:tr w:rsidR="00A922B7" w14:paraId="31DEDE7F" w14:textId="77777777" w:rsidTr="00A96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2D2A86" w14:textId="77777777" w:rsidR="00A922B7" w:rsidRDefault="00A922B7">
            <w:pPr>
              <w:jc w:val="center"/>
              <w:rPr>
                <w:rFonts w:eastAsia="Times New Roman"/>
              </w:rPr>
            </w:pPr>
            <w:r>
              <w:rPr>
                <w:rFonts w:eastAsia="Times New Roman"/>
                <w:b w:val="0"/>
                <w:bCs w:val="0"/>
              </w:rPr>
              <w:t>Concept</w:t>
            </w:r>
          </w:p>
        </w:tc>
        <w:tc>
          <w:tcPr>
            <w:tcW w:w="0" w:type="auto"/>
            <w:hideMark/>
          </w:tcPr>
          <w:p w14:paraId="42C5214F" w14:textId="77777777" w:rsidR="00A922B7" w:rsidRDefault="00A922B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Legal Standing</w:t>
            </w:r>
          </w:p>
        </w:tc>
        <w:tc>
          <w:tcPr>
            <w:tcW w:w="0" w:type="auto"/>
            <w:hideMark/>
          </w:tcPr>
          <w:p w14:paraId="1F9BAA3E" w14:textId="77777777" w:rsidR="00A922B7" w:rsidRDefault="00A922B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r>
              <w:rPr>
                <w:rFonts w:eastAsia="Times New Roman"/>
                <w:b w:val="0"/>
                <w:bCs w:val="0"/>
              </w:rPr>
              <w:t>Your Right</w:t>
            </w:r>
          </w:p>
        </w:tc>
      </w:tr>
      <w:tr w:rsidR="00A922B7" w14:paraId="002575E2" w14:textId="77777777" w:rsidTr="00A9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0A7D09" w14:textId="77777777" w:rsidR="00A922B7" w:rsidRDefault="00A922B7">
            <w:pPr>
              <w:rPr>
                <w:rFonts w:eastAsia="Times New Roman"/>
                <w:b w:val="0"/>
                <w:bCs w:val="0"/>
              </w:rPr>
            </w:pPr>
            <w:r>
              <w:rPr>
                <w:rStyle w:val="Strong"/>
                <w:rFonts w:eastAsia="Times New Roman"/>
              </w:rPr>
              <w:t>Cash vs. Credit</w:t>
            </w:r>
          </w:p>
        </w:tc>
        <w:tc>
          <w:tcPr>
            <w:tcW w:w="0" w:type="auto"/>
            <w:hideMark/>
          </w:tcPr>
          <w:p w14:paraId="036BA661" w14:textId="77777777" w:rsidR="00A922B7" w:rsidRDefault="00A922B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FRNs = obligations of U.S.; silver = private property</w:t>
            </w:r>
          </w:p>
        </w:tc>
        <w:tc>
          <w:tcPr>
            <w:tcW w:w="0" w:type="auto"/>
            <w:hideMark/>
          </w:tcPr>
          <w:p w14:paraId="53DA7E20" w14:textId="77777777" w:rsidR="00A922B7" w:rsidRDefault="00A922B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You may contract to use either.</w:t>
            </w:r>
          </w:p>
        </w:tc>
      </w:tr>
      <w:tr w:rsidR="00A922B7" w14:paraId="3AFAC363" w14:textId="77777777" w:rsidTr="00A96C9D">
        <w:tc>
          <w:tcPr>
            <w:cnfStyle w:val="001000000000" w:firstRow="0" w:lastRow="0" w:firstColumn="1" w:lastColumn="0" w:oddVBand="0" w:evenVBand="0" w:oddHBand="0" w:evenHBand="0" w:firstRowFirstColumn="0" w:firstRowLastColumn="0" w:lastRowFirstColumn="0" w:lastRowLastColumn="0"/>
            <w:tcW w:w="0" w:type="auto"/>
            <w:hideMark/>
          </w:tcPr>
          <w:p w14:paraId="382813ED" w14:textId="77777777" w:rsidR="00A922B7" w:rsidRDefault="00A922B7">
            <w:pPr>
              <w:rPr>
                <w:rFonts w:eastAsia="Times New Roman"/>
              </w:rPr>
            </w:pPr>
            <w:r>
              <w:rPr>
                <w:rStyle w:val="Strong"/>
                <w:rFonts w:eastAsia="Times New Roman"/>
              </w:rPr>
              <w:t>Private Bond</w:t>
            </w:r>
          </w:p>
        </w:tc>
        <w:tc>
          <w:tcPr>
            <w:tcW w:w="0" w:type="auto"/>
            <w:hideMark/>
          </w:tcPr>
          <w:p w14:paraId="7491471C" w14:textId="77777777" w:rsidR="00A922B7" w:rsidRDefault="00A922B7">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Valid if it’s clearly a private surety, not public currency</w:t>
            </w:r>
          </w:p>
        </w:tc>
        <w:tc>
          <w:tcPr>
            <w:tcW w:w="0" w:type="auto"/>
            <w:hideMark/>
          </w:tcPr>
          <w:p w14:paraId="0461E780" w14:textId="77777777" w:rsidR="00A922B7" w:rsidRDefault="00A922B7">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You can record and use as pledge.</w:t>
            </w:r>
          </w:p>
        </w:tc>
      </w:tr>
      <w:tr w:rsidR="00A922B7" w14:paraId="6B628D91" w14:textId="77777777" w:rsidTr="00A9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6750C" w14:textId="77777777" w:rsidR="00A922B7" w:rsidRDefault="00A922B7">
            <w:pPr>
              <w:rPr>
                <w:rFonts w:eastAsia="Times New Roman"/>
              </w:rPr>
            </w:pPr>
            <w:r>
              <w:rPr>
                <w:rStyle w:val="Strong"/>
                <w:rFonts w:eastAsia="Times New Roman"/>
              </w:rPr>
              <w:t>Obligation &amp; Security</w:t>
            </w:r>
          </w:p>
        </w:tc>
        <w:tc>
          <w:tcPr>
            <w:tcW w:w="0" w:type="auto"/>
            <w:hideMark/>
          </w:tcPr>
          <w:p w14:paraId="7B651D28" w14:textId="77777777" w:rsidR="00A922B7" w:rsidRDefault="00A922B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Only bound parties owe performance</w:t>
            </w:r>
          </w:p>
        </w:tc>
        <w:tc>
          <w:tcPr>
            <w:tcW w:w="0" w:type="auto"/>
            <w:hideMark/>
          </w:tcPr>
          <w:p w14:paraId="711C7287" w14:textId="77777777" w:rsidR="00A922B7" w:rsidRDefault="00A922B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No one is bound without consent.</w:t>
            </w:r>
          </w:p>
        </w:tc>
      </w:tr>
      <w:tr w:rsidR="00A922B7" w14:paraId="6EC2719F" w14:textId="77777777" w:rsidTr="00A96C9D">
        <w:tc>
          <w:tcPr>
            <w:cnfStyle w:val="001000000000" w:firstRow="0" w:lastRow="0" w:firstColumn="1" w:lastColumn="0" w:oddVBand="0" w:evenVBand="0" w:oddHBand="0" w:evenHBand="0" w:firstRowFirstColumn="0" w:firstRowLastColumn="0" w:lastRowFirstColumn="0" w:lastRowLastColumn="0"/>
            <w:tcW w:w="0" w:type="auto"/>
            <w:hideMark/>
          </w:tcPr>
          <w:p w14:paraId="3EDDDC80" w14:textId="77777777" w:rsidR="00A922B7" w:rsidRDefault="00A922B7">
            <w:pPr>
              <w:rPr>
                <w:rFonts w:eastAsia="Times New Roman"/>
              </w:rPr>
            </w:pPr>
            <w:r>
              <w:rPr>
                <w:rStyle w:val="Strong"/>
                <w:rFonts w:eastAsia="Times New Roman"/>
              </w:rPr>
              <w:t>Attorney Authority</w:t>
            </w:r>
          </w:p>
        </w:tc>
        <w:tc>
          <w:tcPr>
            <w:tcW w:w="0" w:type="auto"/>
            <w:hideMark/>
          </w:tcPr>
          <w:p w14:paraId="6060F8D5" w14:textId="77777777" w:rsidR="00A922B7" w:rsidRDefault="00A922B7">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Must appear of record with client consent</w:t>
            </w:r>
          </w:p>
        </w:tc>
        <w:tc>
          <w:tcPr>
            <w:tcW w:w="0" w:type="auto"/>
            <w:hideMark/>
          </w:tcPr>
          <w:p w14:paraId="0336F786" w14:textId="77777777" w:rsidR="00A922B7" w:rsidRDefault="00A922B7">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You may demand proof of joinder.</w:t>
            </w:r>
          </w:p>
        </w:tc>
      </w:tr>
      <w:tr w:rsidR="00A922B7" w14:paraId="4A0C308D" w14:textId="77777777" w:rsidTr="00A96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8DC578" w14:textId="77777777" w:rsidR="00A922B7" w:rsidRDefault="00A922B7">
            <w:pPr>
              <w:rPr>
                <w:rFonts w:eastAsia="Times New Roman"/>
              </w:rPr>
            </w:pPr>
            <w:r>
              <w:rPr>
                <w:rStyle w:val="Strong"/>
                <w:rFonts w:eastAsia="Times New Roman"/>
              </w:rPr>
              <w:t>Species of Payment</w:t>
            </w:r>
          </w:p>
        </w:tc>
        <w:tc>
          <w:tcPr>
            <w:tcW w:w="0" w:type="auto"/>
            <w:hideMark/>
          </w:tcPr>
          <w:p w14:paraId="3DDD5BCB" w14:textId="77777777" w:rsidR="00A922B7" w:rsidRDefault="00A922B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Parties may stipulate medium</w:t>
            </w:r>
          </w:p>
        </w:tc>
        <w:tc>
          <w:tcPr>
            <w:tcW w:w="0" w:type="auto"/>
            <w:hideMark/>
          </w:tcPr>
          <w:p w14:paraId="7017545C" w14:textId="77777777" w:rsidR="00A922B7" w:rsidRDefault="00A922B7">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FRNs default only absent agreement.</w:t>
            </w:r>
          </w:p>
        </w:tc>
      </w:tr>
      <w:tr w:rsidR="00A922B7" w14:paraId="0320F36F" w14:textId="77777777" w:rsidTr="00A96C9D">
        <w:tc>
          <w:tcPr>
            <w:cnfStyle w:val="001000000000" w:firstRow="0" w:lastRow="0" w:firstColumn="1" w:lastColumn="0" w:oddVBand="0" w:evenVBand="0" w:oddHBand="0" w:evenHBand="0" w:firstRowFirstColumn="0" w:firstRowLastColumn="0" w:lastRowFirstColumn="0" w:lastRowLastColumn="0"/>
            <w:tcW w:w="0" w:type="auto"/>
            <w:hideMark/>
          </w:tcPr>
          <w:p w14:paraId="50AF770D" w14:textId="77777777" w:rsidR="00A922B7" w:rsidRDefault="00A922B7">
            <w:pPr>
              <w:rPr>
                <w:rFonts w:eastAsia="Times New Roman"/>
              </w:rPr>
            </w:pPr>
            <w:r>
              <w:rPr>
                <w:rStyle w:val="Strong"/>
                <w:rFonts w:eastAsia="Times New Roman"/>
              </w:rPr>
              <w:t>Protection from Color of Law</w:t>
            </w:r>
          </w:p>
        </w:tc>
        <w:tc>
          <w:tcPr>
            <w:tcW w:w="0" w:type="auto"/>
            <w:hideMark/>
          </w:tcPr>
          <w:p w14:paraId="767701CA" w14:textId="77777777" w:rsidR="00A922B7" w:rsidRDefault="00A922B7">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42 U.S.C. § 1983; Ga. Const. Art. I § I</w:t>
            </w:r>
          </w:p>
        </w:tc>
        <w:tc>
          <w:tcPr>
            <w:tcW w:w="0" w:type="auto"/>
            <w:hideMark/>
          </w:tcPr>
          <w:p w14:paraId="4E8C9AF1" w14:textId="77777777" w:rsidR="00A922B7" w:rsidRDefault="00A922B7">
            <w:pP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Government cannot coerce beyond lawful authority.</w:t>
            </w:r>
          </w:p>
        </w:tc>
      </w:tr>
    </w:tbl>
    <w:p w14:paraId="2227A1AC" w14:textId="77777777" w:rsidR="00A922B7" w:rsidRDefault="00A922B7">
      <w:pPr>
        <w:rPr>
          <w:rFonts w:eastAsia="Times New Roman"/>
        </w:rPr>
      </w:pPr>
      <w:r>
        <w:rPr>
          <w:rFonts w:eastAsia="Times New Roman"/>
          <w:noProof/>
        </w:rPr>
        <mc:AlternateContent>
          <mc:Choice Requires="wps">
            <w:drawing>
              <wp:inline distT="0" distB="0" distL="0" distR="0" wp14:anchorId="30104439" wp14:editId="7B161625">
                <wp:extent cx="5943600" cy="1270"/>
                <wp:effectExtent l="0" t="31750" r="0" b="36830"/>
                <wp:docPr id="16026817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76F1E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65720DBD" w14:textId="77777777" w:rsidR="00A922B7" w:rsidRDefault="00A922B7">
      <w:pPr>
        <w:pStyle w:val="Heading3"/>
        <w:rPr>
          <w:rFonts w:eastAsia="Times New Roman"/>
        </w:rPr>
      </w:pPr>
      <w:r>
        <w:rPr>
          <w:rFonts w:eastAsia="Times New Roman"/>
        </w:rPr>
        <w:t>In simple language</w:t>
      </w:r>
    </w:p>
    <w:p w14:paraId="6385FCBA" w14:textId="77777777" w:rsidR="00A922B7" w:rsidRDefault="00A922B7" w:rsidP="00A922B7">
      <w:pPr>
        <w:numPr>
          <w:ilvl w:val="0"/>
          <w:numId w:val="5"/>
        </w:numPr>
        <w:spacing w:before="100" w:beforeAutospacing="1" w:after="100" w:afterAutospacing="1" w:line="240" w:lineRule="auto"/>
        <w:rPr>
          <w:rFonts w:eastAsia="Times New Roman"/>
        </w:rPr>
      </w:pPr>
      <w:r>
        <w:rPr>
          <w:rStyle w:val="Strong"/>
          <w:rFonts w:eastAsia="Times New Roman"/>
        </w:rPr>
        <w:t>You can promise your own performance with silver or any property</w:t>
      </w:r>
      <w:r>
        <w:rPr>
          <w:rFonts w:eastAsia="Times New Roman"/>
        </w:rPr>
        <w:t xml:space="preserve"> if both sides agree.</w:t>
      </w:r>
    </w:p>
    <w:p w14:paraId="263D4915" w14:textId="77777777" w:rsidR="00A922B7" w:rsidRDefault="00A922B7" w:rsidP="00A922B7">
      <w:pPr>
        <w:numPr>
          <w:ilvl w:val="0"/>
          <w:numId w:val="5"/>
        </w:numPr>
        <w:spacing w:before="100" w:beforeAutospacing="1" w:after="100" w:afterAutospacing="1" w:line="240" w:lineRule="auto"/>
        <w:rPr>
          <w:rFonts w:eastAsia="Times New Roman"/>
        </w:rPr>
      </w:pPr>
      <w:r>
        <w:rPr>
          <w:rStyle w:val="Strong"/>
          <w:rFonts w:eastAsia="Times New Roman"/>
        </w:rPr>
        <w:t>Federal Reserve Notes</w:t>
      </w:r>
      <w:r>
        <w:rPr>
          <w:rFonts w:eastAsia="Times New Roman"/>
        </w:rPr>
        <w:t xml:space="preserve"> are one lawful tender but not the only medium parties may use.</w:t>
      </w:r>
    </w:p>
    <w:p w14:paraId="1829787B" w14:textId="77777777" w:rsidR="00A922B7" w:rsidRDefault="00A922B7" w:rsidP="00A922B7">
      <w:pPr>
        <w:numPr>
          <w:ilvl w:val="0"/>
          <w:numId w:val="5"/>
        </w:numPr>
        <w:spacing w:before="100" w:beforeAutospacing="1" w:after="100" w:afterAutospacing="1" w:line="240" w:lineRule="auto"/>
        <w:rPr>
          <w:rFonts w:eastAsia="Times New Roman"/>
        </w:rPr>
      </w:pPr>
      <w:r>
        <w:rPr>
          <w:rStyle w:val="Strong"/>
          <w:rFonts w:eastAsia="Times New Roman"/>
        </w:rPr>
        <w:t>No one is bound to another’s fiscal or fiduciary duties</w:t>
      </w:r>
      <w:r>
        <w:rPr>
          <w:rFonts w:eastAsia="Times New Roman"/>
        </w:rPr>
        <w:t xml:space="preserve"> absent consent or statute.</w:t>
      </w:r>
    </w:p>
    <w:p w14:paraId="09FFD5F6" w14:textId="77777777" w:rsidR="00A922B7" w:rsidRDefault="00A922B7" w:rsidP="00A922B7">
      <w:pPr>
        <w:numPr>
          <w:ilvl w:val="0"/>
          <w:numId w:val="5"/>
        </w:numPr>
        <w:spacing w:before="100" w:beforeAutospacing="1" w:after="100" w:afterAutospacing="1" w:line="240" w:lineRule="auto"/>
        <w:rPr>
          <w:rFonts w:eastAsia="Times New Roman"/>
        </w:rPr>
      </w:pPr>
      <w:r>
        <w:rPr>
          <w:rStyle w:val="Strong"/>
          <w:rFonts w:eastAsia="Times New Roman"/>
        </w:rPr>
        <w:t>Attorneys and officers must hold proper authority and file appearance</w:t>
      </w:r>
      <w:r>
        <w:rPr>
          <w:rFonts w:eastAsia="Times New Roman"/>
        </w:rPr>
        <w:t xml:space="preserve"> to act in any case.</w:t>
      </w:r>
    </w:p>
    <w:p w14:paraId="36BFF896" w14:textId="77777777" w:rsidR="00A922B7" w:rsidRDefault="00A922B7" w:rsidP="00A922B7">
      <w:pPr>
        <w:numPr>
          <w:ilvl w:val="0"/>
          <w:numId w:val="5"/>
        </w:numPr>
        <w:spacing w:before="100" w:beforeAutospacing="1" w:after="100" w:afterAutospacing="1" w:line="240" w:lineRule="auto"/>
        <w:rPr>
          <w:rFonts w:eastAsia="Times New Roman"/>
        </w:rPr>
      </w:pPr>
      <w:r>
        <w:rPr>
          <w:rStyle w:val="Strong"/>
          <w:rFonts w:eastAsia="Times New Roman"/>
        </w:rPr>
        <w:t>Recording a private bond</w:t>
      </w:r>
      <w:r>
        <w:rPr>
          <w:rFonts w:eastAsia="Times New Roman"/>
        </w:rPr>
        <w:t xml:space="preserve"> gives public notice of property; it doesn’t impose duty on anyone until a contract uses it.</w:t>
      </w:r>
    </w:p>
    <w:p w14:paraId="74FF21A0" w14:textId="7FF6D69E" w:rsidR="00A922B7" w:rsidRPr="00197335" w:rsidRDefault="00A922B7" w:rsidP="00197335">
      <w:pPr>
        <w:spacing w:after="0"/>
        <w:rPr>
          <w:rFonts w:eastAsia="Times New Roman"/>
        </w:rPr>
      </w:pPr>
      <w:r>
        <w:rPr>
          <w:rFonts w:eastAsia="Times New Roman"/>
          <w:noProof/>
        </w:rPr>
        <mc:AlternateContent>
          <mc:Choice Requires="wps">
            <w:drawing>
              <wp:inline distT="0" distB="0" distL="0" distR="0" wp14:anchorId="195C88AC" wp14:editId="0DF3F24C">
                <wp:extent cx="5943600" cy="1270"/>
                <wp:effectExtent l="0" t="31750" r="0" b="36830"/>
                <wp:docPr id="1737310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BF829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" filled="f">
                <w10:anchorlock/>
              </v:rect>
            </w:pict>
          </mc:Fallback>
        </mc:AlternateContent>
      </w:r>
    </w:p>
    <w:p w14:paraId="3F74A39F" w14:textId="77777777" w:rsidR="00A922B7" w:rsidRDefault="00A922B7"/>
    <w:sectPr w:rsidR="00A922B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C1C3" w14:textId="77777777" w:rsidR="00322489" w:rsidRDefault="00322489" w:rsidP="00C15DEE">
      <w:pPr>
        <w:spacing w:after="0" w:line="240" w:lineRule="auto"/>
      </w:pPr>
      <w:r>
        <w:separator/>
      </w:r>
    </w:p>
  </w:endnote>
  <w:endnote w:type="continuationSeparator" w:id="0">
    <w:p w14:paraId="398D065E" w14:textId="77777777" w:rsidR="00322489" w:rsidRDefault="00322489" w:rsidP="00C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2830429"/>
      <w:docPartObj>
        <w:docPartGallery w:val="Page Numbers (Bottom of Page)"/>
        <w:docPartUnique/>
      </w:docPartObj>
    </w:sdtPr>
    <w:sdtContent>
      <w:p w14:paraId="176C248B" w14:textId="0B477EB2" w:rsidR="00C15DEE" w:rsidRDefault="00C15DEE" w:rsidP="002716F7">
        <w:pPr>
          <w:pStyle w:val="Footer"/>
          <w:framePr w:wrap="none" w:vAnchor="text" w:hAnchor="margin" w:xAlign="center" w:y="1"/>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end"/>
        </w:r>
      </w:p>
    </w:sdtContent>
  </w:sdt>
  <w:p w14:paraId="32226570" w14:textId="77777777" w:rsidR="00C15DEE" w:rsidRDefault="00C1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6454488"/>
      <w:docPartObj>
        <w:docPartGallery w:val="Page Numbers (Bottom of Page)"/>
        <w:docPartUnique/>
      </w:docPartObj>
    </w:sdtPr>
    <w:sdtContent>
      <w:p w14:paraId="429EEDE4" w14:textId="708C5030" w:rsidR="00C15DEE" w:rsidRDefault="00C15DEE" w:rsidP="002716F7">
        <w:pPr>
          <w:pStyle w:val="Footer"/>
          <w:framePr w:wrap="none" w:vAnchor="text" w:hAnchor="margin" w:xAlign="center" w:y="1"/>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sdtContent>
  </w:sdt>
  <w:p w14:paraId="73028792" w14:textId="77777777" w:rsidR="00C15DEE" w:rsidRDefault="00C1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0F23" w14:textId="77777777" w:rsidR="00322489" w:rsidRDefault="00322489" w:rsidP="00C15DEE">
      <w:pPr>
        <w:spacing w:after="0" w:line="240" w:lineRule="auto"/>
      </w:pPr>
      <w:r>
        <w:separator/>
      </w:r>
    </w:p>
  </w:footnote>
  <w:footnote w:type="continuationSeparator" w:id="0">
    <w:p w14:paraId="3DDC0627" w14:textId="77777777" w:rsidR="00322489" w:rsidRDefault="00322489" w:rsidP="00C1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19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00A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0252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664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917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403647">
    <w:abstractNumId w:val="1"/>
  </w:num>
  <w:num w:numId="2" w16cid:durableId="1140153693">
    <w:abstractNumId w:val="3"/>
  </w:num>
  <w:num w:numId="3" w16cid:durableId="1334333506">
    <w:abstractNumId w:val="4"/>
  </w:num>
  <w:num w:numId="4" w16cid:durableId="1282029135">
    <w:abstractNumId w:val="0"/>
  </w:num>
  <w:num w:numId="5" w16cid:durableId="1664622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B7"/>
    <w:rsid w:val="00197335"/>
    <w:rsid w:val="00322489"/>
    <w:rsid w:val="003B6600"/>
    <w:rsid w:val="00A922B7"/>
    <w:rsid w:val="00A96C9D"/>
    <w:rsid w:val="00C15DEE"/>
    <w:rsid w:val="00D6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17BC"/>
  <w15:chartTrackingRefBased/>
  <w15:docId w15:val="{DCF6EAC6-089D-B844-B910-7B78535C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2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2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2B7"/>
    <w:rPr>
      <w:rFonts w:eastAsiaTheme="majorEastAsia" w:cstheme="majorBidi"/>
      <w:color w:val="272727" w:themeColor="text1" w:themeTint="D8"/>
    </w:rPr>
  </w:style>
  <w:style w:type="paragraph" w:styleId="Title">
    <w:name w:val="Title"/>
    <w:basedOn w:val="Normal"/>
    <w:next w:val="Normal"/>
    <w:link w:val="TitleChar"/>
    <w:uiPriority w:val="10"/>
    <w:qFormat/>
    <w:rsid w:val="00A92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2B7"/>
    <w:pPr>
      <w:spacing w:before="160"/>
      <w:jc w:val="center"/>
    </w:pPr>
    <w:rPr>
      <w:i/>
      <w:iCs/>
      <w:color w:val="404040" w:themeColor="text1" w:themeTint="BF"/>
    </w:rPr>
  </w:style>
  <w:style w:type="character" w:customStyle="1" w:styleId="QuoteChar">
    <w:name w:val="Quote Char"/>
    <w:basedOn w:val="DefaultParagraphFont"/>
    <w:link w:val="Quote"/>
    <w:uiPriority w:val="29"/>
    <w:rsid w:val="00A922B7"/>
    <w:rPr>
      <w:i/>
      <w:iCs/>
      <w:color w:val="404040" w:themeColor="text1" w:themeTint="BF"/>
    </w:rPr>
  </w:style>
  <w:style w:type="paragraph" w:styleId="ListParagraph">
    <w:name w:val="List Paragraph"/>
    <w:basedOn w:val="Normal"/>
    <w:uiPriority w:val="34"/>
    <w:qFormat/>
    <w:rsid w:val="00A922B7"/>
    <w:pPr>
      <w:ind w:left="720"/>
      <w:contextualSpacing/>
    </w:pPr>
  </w:style>
  <w:style w:type="character" w:styleId="IntenseEmphasis">
    <w:name w:val="Intense Emphasis"/>
    <w:basedOn w:val="DefaultParagraphFont"/>
    <w:uiPriority w:val="21"/>
    <w:qFormat/>
    <w:rsid w:val="00A922B7"/>
    <w:rPr>
      <w:i/>
      <w:iCs/>
      <w:color w:val="0F4761" w:themeColor="accent1" w:themeShade="BF"/>
    </w:rPr>
  </w:style>
  <w:style w:type="paragraph" w:styleId="IntenseQuote">
    <w:name w:val="Intense Quote"/>
    <w:basedOn w:val="Normal"/>
    <w:next w:val="Normal"/>
    <w:link w:val="IntenseQuoteChar"/>
    <w:uiPriority w:val="30"/>
    <w:qFormat/>
    <w:rsid w:val="00A92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2B7"/>
    <w:rPr>
      <w:i/>
      <w:iCs/>
      <w:color w:val="0F4761" w:themeColor="accent1" w:themeShade="BF"/>
    </w:rPr>
  </w:style>
  <w:style w:type="character" w:styleId="IntenseReference">
    <w:name w:val="Intense Reference"/>
    <w:basedOn w:val="DefaultParagraphFont"/>
    <w:uiPriority w:val="32"/>
    <w:qFormat/>
    <w:rsid w:val="00A922B7"/>
    <w:rPr>
      <w:b/>
      <w:bCs/>
      <w:smallCaps/>
      <w:color w:val="0F4761" w:themeColor="accent1" w:themeShade="BF"/>
      <w:spacing w:val="5"/>
    </w:rPr>
  </w:style>
  <w:style w:type="paragraph" w:styleId="NormalWeb">
    <w:name w:val="Normal (Web)"/>
    <w:basedOn w:val="Normal"/>
    <w:uiPriority w:val="99"/>
    <w:semiHidden/>
    <w:unhideWhenUsed/>
    <w:rsid w:val="00A922B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A922B7"/>
    <w:rPr>
      <w:b/>
      <w:bCs/>
    </w:rPr>
  </w:style>
  <w:style w:type="character" w:styleId="Emphasis">
    <w:name w:val="Emphasis"/>
    <w:basedOn w:val="DefaultParagraphFont"/>
    <w:uiPriority w:val="20"/>
    <w:qFormat/>
    <w:rsid w:val="00A922B7"/>
    <w:rPr>
      <w:i/>
      <w:iCs/>
    </w:rPr>
  </w:style>
  <w:style w:type="paragraph" w:styleId="Header">
    <w:name w:val="header"/>
    <w:basedOn w:val="Normal"/>
    <w:link w:val="HeaderChar"/>
    <w:uiPriority w:val="99"/>
    <w:unhideWhenUsed/>
    <w:rsid w:val="00C15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DEE"/>
  </w:style>
  <w:style w:type="paragraph" w:styleId="Footer">
    <w:name w:val="footer"/>
    <w:basedOn w:val="Normal"/>
    <w:link w:val="FooterChar"/>
    <w:uiPriority w:val="99"/>
    <w:unhideWhenUsed/>
    <w:rsid w:val="00C15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DEE"/>
  </w:style>
  <w:style w:type="character" w:styleId="PageNumber">
    <w:name w:val="page number"/>
    <w:basedOn w:val="DefaultParagraphFont"/>
    <w:uiPriority w:val="99"/>
    <w:semiHidden/>
    <w:unhideWhenUsed/>
    <w:rsid w:val="00C15DEE"/>
  </w:style>
  <w:style w:type="table" w:styleId="GridTable2-Accent6">
    <w:name w:val="Grid Table 2 Accent 6"/>
    <w:basedOn w:val="TableNormal"/>
    <w:uiPriority w:val="47"/>
    <w:rsid w:val="00A96C9D"/>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aaron Kaltved, executor</dc:creator>
  <cp:keywords/>
  <dc:description/>
  <cp:lastModifiedBy>Joshua aaron Kaltved, executor</cp:lastModifiedBy>
  <cp:revision>6</cp:revision>
  <dcterms:created xsi:type="dcterms:W3CDTF">2025-10-10T04:41:00Z</dcterms:created>
  <dcterms:modified xsi:type="dcterms:W3CDTF">2025-10-10T04:44:00Z</dcterms:modified>
</cp:coreProperties>
</file>