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D56" w:rsidRDefault="00B15D56" w:rsidP="00B15D5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What Will Happen if Tillamook County Complies with FEMA Demand Letter?</w:t>
      </w:r>
    </w:p>
    <w:p w:rsidR="00B15D56" w:rsidRDefault="00B15D56" w:rsidP="00B15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the July 22</w:t>
      </w:r>
      <w:r w:rsidRPr="00B15D56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Headlight Herald </w:t>
      </w:r>
      <w:r>
        <w:rPr>
          <w:rFonts w:ascii="Times New Roman" w:hAnsi="Times New Roman" w:cs="Times New Roman"/>
          <w:sz w:val="28"/>
          <w:szCs w:val="28"/>
        </w:rPr>
        <w:t>article, “</w:t>
      </w:r>
      <w:r w:rsidRPr="00B15D56">
        <w:rPr>
          <w:rFonts w:ascii="Times New Roman" w:hAnsi="Times New Roman" w:cs="Times New Roman"/>
          <w:sz w:val="28"/>
          <w:szCs w:val="28"/>
        </w:rPr>
        <w:t>FEMA flood plain development restriction updates accelerated</w:t>
      </w:r>
      <w:r w:rsidR="00B249D5">
        <w:rPr>
          <w:rFonts w:ascii="Times New Roman" w:hAnsi="Times New Roman" w:cs="Times New Roman"/>
          <w:sz w:val="28"/>
          <w:szCs w:val="28"/>
        </w:rPr>
        <w:t>,” the results of compliance to the “Pre-Implementation Compliance” will be as follows:</w:t>
      </w:r>
    </w:p>
    <w:p w:rsidR="00B249D5" w:rsidRPr="00B15D56" w:rsidRDefault="00B249D5" w:rsidP="00B15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. . . </w:t>
      </w:r>
      <w:r w:rsidRPr="00B249D5">
        <w:rPr>
          <w:rFonts w:ascii="Times New Roman" w:hAnsi="Times New Roman" w:cs="Times New Roman"/>
          <w:sz w:val="24"/>
          <w:szCs w:val="24"/>
        </w:rPr>
        <w:t xml:space="preserve">adopting a model ordinance from FEMA that includes a </w:t>
      </w:r>
      <w:r w:rsidRPr="00B249D5">
        <w:rPr>
          <w:rFonts w:ascii="Times New Roman" w:hAnsi="Times New Roman" w:cs="Times New Roman"/>
          <w:b/>
          <w:i/>
          <w:sz w:val="24"/>
          <w:szCs w:val="24"/>
        </w:rPr>
        <w:t>no-net-loss</w:t>
      </w:r>
      <w:r w:rsidRPr="00B249D5">
        <w:rPr>
          <w:rFonts w:ascii="Times New Roman" w:hAnsi="Times New Roman" w:cs="Times New Roman"/>
          <w:sz w:val="24"/>
          <w:szCs w:val="24"/>
        </w:rPr>
        <w:t xml:space="preserve"> standard for new development, requiring developers to obtain habitat assessment and mitigation plans for their projects showing that they meet the no-net loss standard or </w:t>
      </w:r>
      <w:r w:rsidRPr="00B249D5">
        <w:rPr>
          <w:rFonts w:ascii="Times New Roman" w:hAnsi="Times New Roman" w:cs="Times New Roman"/>
          <w:b/>
          <w:i/>
          <w:sz w:val="24"/>
          <w:szCs w:val="24"/>
        </w:rPr>
        <w:t>prohibiting development in areas of special flood hazard entirely</w:t>
      </w:r>
      <w:r w:rsidRPr="00B249D5">
        <w:rPr>
          <w:rFonts w:ascii="Times New Roman" w:hAnsi="Times New Roman" w:cs="Times New Roman"/>
          <w:sz w:val="28"/>
          <w:szCs w:val="28"/>
        </w:rPr>
        <w:t>.</w:t>
      </w:r>
    </w:p>
    <w:p w:rsidR="00B15D56" w:rsidRDefault="00B249D5" w:rsidP="00B15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few argument</w:t>
      </w:r>
      <w:r w:rsidR="009B47FC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against compliance are as follows:</w:t>
      </w:r>
    </w:p>
    <w:p w:rsidR="00B249D5" w:rsidRDefault="00B249D5" w:rsidP="00B15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FEMA’s has not fully developed their “final implementation plan” and does not plan to until 2026.</w:t>
      </w:r>
    </w:p>
    <w:p w:rsidR="00B249D5" w:rsidRDefault="00B249D5" w:rsidP="00B15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FEMA’s 2026 plan will not </w:t>
      </w:r>
      <w:r w:rsidR="00620A05">
        <w:rPr>
          <w:rFonts w:ascii="Times New Roman" w:hAnsi="Times New Roman" w:cs="Times New Roman"/>
          <w:sz w:val="28"/>
          <w:szCs w:val="28"/>
        </w:rPr>
        <w:t xml:space="preserve">be fully implemented until 2027. </w:t>
      </w:r>
    </w:p>
    <w:p w:rsidR="00B249D5" w:rsidRDefault="009B47FC" w:rsidP="00B15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FEMA has not received the “Record of Decision of Environmental Impact Statement</w:t>
      </w:r>
      <w:r w:rsidR="00620A05">
        <w:rPr>
          <w:rFonts w:ascii="Times New Roman" w:hAnsi="Times New Roman" w:cs="Times New Roman"/>
          <w:sz w:val="28"/>
          <w:szCs w:val="28"/>
        </w:rPr>
        <w:t>” on which to base their new plan, and has made no mention of an economic impact statement to county or private revenues.</w:t>
      </w:r>
    </w:p>
    <w:p w:rsidR="009B47FC" w:rsidRPr="009B47FC" w:rsidRDefault="009B47FC" w:rsidP="00B15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The recent Supreme Court ruling overturning the “Chevron Doctrine” in </w:t>
      </w:r>
      <w:hyperlink r:id="rId4" w:history="1">
        <w:proofErr w:type="spellStart"/>
        <w:r w:rsidRPr="009B47FC">
          <w:rPr>
            <w:rStyle w:val="Hyperlink"/>
            <w:rFonts w:ascii="Times New Roman" w:hAnsi="Times New Roman" w:cs="Times New Roman"/>
            <w:i/>
            <w:color w:val="auto"/>
            <w:sz w:val="28"/>
            <w:szCs w:val="28"/>
          </w:rPr>
          <w:t>Loper</w:t>
        </w:r>
        <w:proofErr w:type="spellEnd"/>
        <w:r w:rsidRPr="009B47FC">
          <w:rPr>
            <w:rStyle w:val="Hyperlink"/>
            <w:rFonts w:ascii="Times New Roman" w:hAnsi="Times New Roman" w:cs="Times New Roman"/>
            <w:i/>
            <w:color w:val="auto"/>
            <w:sz w:val="28"/>
            <w:szCs w:val="28"/>
          </w:rPr>
          <w:t xml:space="preserve"> Bright Enterprises v. Raimondo</w:t>
        </w:r>
      </w:hyperlink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calls into legality FEMA’s r</w:t>
      </w:r>
      <w:r w:rsidR="00620A05">
        <w:rPr>
          <w:rFonts w:ascii="Times New Roman" w:hAnsi="Times New Roman" w:cs="Times New Roman"/>
          <w:sz w:val="28"/>
          <w:szCs w:val="28"/>
        </w:rPr>
        <w:t xml:space="preserve">ulemaking power in this letter. This in addition to </w:t>
      </w:r>
      <w:r>
        <w:rPr>
          <w:rFonts w:ascii="Times New Roman" w:hAnsi="Times New Roman" w:cs="Times New Roman"/>
          <w:sz w:val="28"/>
          <w:szCs w:val="28"/>
        </w:rPr>
        <w:t>their lack of response to legitimate scientific arguments of t</w:t>
      </w:r>
      <w:r w:rsidR="00620A05">
        <w:rPr>
          <w:rFonts w:ascii="Times New Roman" w:hAnsi="Times New Roman" w:cs="Times New Roman"/>
          <w:sz w:val="28"/>
          <w:szCs w:val="28"/>
        </w:rPr>
        <w:t xml:space="preserve">he 2016 Biological Opinion, total disregard for state and local control, and dispossessing land owners from responsibly maintaining and developing </w:t>
      </w:r>
      <w:bookmarkStart w:id="0" w:name="_GoBack"/>
      <w:bookmarkEnd w:id="0"/>
      <w:r w:rsidR="00620A05">
        <w:rPr>
          <w:rFonts w:ascii="Times New Roman" w:hAnsi="Times New Roman" w:cs="Times New Roman"/>
          <w:sz w:val="28"/>
          <w:szCs w:val="28"/>
        </w:rPr>
        <w:t xml:space="preserve">their private property in FEMA’s established “flood zones.” </w:t>
      </w:r>
    </w:p>
    <w:sectPr w:rsidR="009B47FC" w:rsidRPr="009B47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D56"/>
    <w:rsid w:val="00620A05"/>
    <w:rsid w:val="009B47FC"/>
    <w:rsid w:val="00A73F0D"/>
    <w:rsid w:val="00B15D56"/>
    <w:rsid w:val="00B2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3AEF6"/>
  <w15:chartTrackingRefBased/>
  <w15:docId w15:val="{BD32D086-7EB4-4D57-A700-0E30441F5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5D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5D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9B47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1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search?cs=0&amp;sca_esv=dc8ff04c814c1798&amp;q=Loper+Bright+Enterprises+v.+Raimondo&amp;sa=X&amp;ved=2ahUKEwjEurn5tZSIAxX9ETQIHckFAxAQxccNegQIAhAC&amp;mstk=AUtExfDhSdXSOqwbk8JnYcB9LWUAm_J_bsGIwVc0qEXlNVM8nwDPc2d83lf6uk1iLLFd4Zd82iI4nN-UHxDtS8e6xAtlzl3YiaBhEhSaqLbaWwFgy-CK7X0DtT7r5YpmJDW2r8uDsF04Et-Hvxhj97RohKe6b6gKwLYcxbb7r5k2e46_CIM&amp;csui=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Bailey</dc:creator>
  <cp:keywords/>
  <dc:description/>
  <cp:lastModifiedBy>April Bailey</cp:lastModifiedBy>
  <cp:revision>1</cp:revision>
  <dcterms:created xsi:type="dcterms:W3CDTF">2024-08-27T04:48:00Z</dcterms:created>
  <dcterms:modified xsi:type="dcterms:W3CDTF">2024-08-27T05:28:00Z</dcterms:modified>
</cp:coreProperties>
</file>