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88D09" w14:textId="77777777" w:rsidR="008D7F58" w:rsidRPr="00393307" w:rsidRDefault="008D7F58" w:rsidP="008D7F58">
      <w:pPr>
        <w:spacing w:after="0" w:line="276" w:lineRule="auto"/>
        <w:jc w:val="center"/>
        <w:rPr>
          <w:rFonts w:ascii="Maiandra GD" w:hAnsi="Maiandra GD"/>
          <w:b/>
          <w:bCs/>
          <w:color w:val="3B4E8E"/>
          <w:sz w:val="32"/>
          <w:szCs w:val="32"/>
        </w:rPr>
      </w:pPr>
      <w:r w:rsidRPr="00393307">
        <w:rPr>
          <w:rFonts w:ascii="Maiandra GD" w:hAnsi="Maiandra GD"/>
          <w:b/>
          <w:bCs/>
          <w:color w:val="3B4E8E"/>
          <w:sz w:val="32"/>
          <w:szCs w:val="32"/>
        </w:rPr>
        <w:t>Tiffany Noonan, LICSW</w:t>
      </w:r>
    </w:p>
    <w:p w14:paraId="31B77D32" w14:textId="77777777" w:rsidR="008D7F58" w:rsidRPr="00393307" w:rsidRDefault="008D7F58" w:rsidP="008D7F58">
      <w:pPr>
        <w:spacing w:after="0" w:line="192" w:lineRule="auto"/>
        <w:jc w:val="center"/>
        <w:rPr>
          <w:rFonts w:ascii="Maiandra GD" w:hAnsi="Maiandra GD"/>
          <w:color w:val="3B4E8E"/>
          <w:sz w:val="28"/>
          <w:szCs w:val="28"/>
        </w:rPr>
      </w:pPr>
      <w:r w:rsidRPr="00393307">
        <w:rPr>
          <w:rFonts w:ascii="Maiandra GD" w:hAnsi="Maiandra GD"/>
          <w:color w:val="3B4E8E"/>
          <w:sz w:val="28"/>
          <w:szCs w:val="28"/>
        </w:rPr>
        <w:t>Mindful Grove Counseling</w:t>
      </w:r>
    </w:p>
    <w:p w14:paraId="674AA25B" w14:textId="77777777" w:rsidR="008D7F58" w:rsidRPr="00D4282B" w:rsidRDefault="008D7F58" w:rsidP="008D7F58">
      <w:pPr>
        <w:spacing w:after="0"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204 Andover Street, Suite 403</w:t>
      </w:r>
    </w:p>
    <w:p w14:paraId="354369EE" w14:textId="77777777" w:rsidR="008D7F58" w:rsidRPr="00D4282B" w:rsidRDefault="008D7F58" w:rsidP="008D7F58">
      <w:pPr>
        <w:spacing w:after="0"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Andover, MA 01810</w:t>
      </w:r>
    </w:p>
    <w:p w14:paraId="7643A660" w14:textId="77777777" w:rsidR="008D7F58" w:rsidRPr="00D4282B" w:rsidRDefault="008D7F58" w:rsidP="008D7F58">
      <w:pPr>
        <w:pBdr>
          <w:bottom w:val="single" w:sz="12" w:space="1" w:color="auto"/>
        </w:pBdr>
        <w:spacing w:after="0" w:line="360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978-272-9960</w:t>
      </w:r>
    </w:p>
    <w:p w14:paraId="6860741E" w14:textId="1C52A5B1" w:rsidR="00A14886" w:rsidRDefault="00A14886" w:rsidP="008D7F58">
      <w:pPr>
        <w:spacing w:after="0" w:line="240" w:lineRule="auto"/>
      </w:pPr>
    </w:p>
    <w:p w14:paraId="29AB31AC" w14:textId="22A6C541" w:rsidR="008D7F58" w:rsidRDefault="008D7F58" w:rsidP="008D7F5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EMDR Consent Form</w:t>
      </w:r>
    </w:p>
    <w:p w14:paraId="1F5CBB0A" w14:textId="43803D9B" w:rsidR="00051C34" w:rsidRPr="00051C34" w:rsidRDefault="008D7F58" w:rsidP="008D7F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1C34">
        <w:rPr>
          <w:rFonts w:ascii="Arial" w:hAnsi="Arial" w:cs="Arial"/>
          <w:sz w:val="24"/>
          <w:szCs w:val="24"/>
        </w:rPr>
        <w:t xml:space="preserve">Client:____________________________________ DOB:_______________ </w:t>
      </w:r>
    </w:p>
    <w:p w14:paraId="36B21947" w14:textId="2295E3AB" w:rsidR="00051C34" w:rsidRPr="00051C34" w:rsidRDefault="00051C34" w:rsidP="00051C34">
      <w:pPr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>E</w:t>
      </w:r>
      <w:r w:rsidR="008D7F58" w:rsidRPr="00051C34">
        <w:rPr>
          <w:rFonts w:ascii="Arial" w:hAnsi="Arial" w:cs="Arial"/>
          <w:sz w:val="24"/>
          <w:szCs w:val="24"/>
        </w:rPr>
        <w:t>ye Movement Desensitization and Reprocessing (EMDR) methodology is a form of adaptive information processing which may help the brain unlock maladaptive material. I have been advised that EMDR is a treatment approach that has been widely validated by research on Post Traumatic Stress Disorder (PTSD)</w:t>
      </w:r>
      <w:r w:rsidRPr="00051C34">
        <w:rPr>
          <w:rFonts w:ascii="Arial" w:hAnsi="Arial" w:cs="Arial"/>
          <w:sz w:val="24"/>
          <w:szCs w:val="24"/>
        </w:rPr>
        <w:t xml:space="preserve"> and trauma</w:t>
      </w:r>
      <w:r w:rsidR="008D7F58" w:rsidRPr="00051C34">
        <w:rPr>
          <w:rFonts w:ascii="Arial" w:hAnsi="Arial" w:cs="Arial"/>
          <w:sz w:val="24"/>
          <w:szCs w:val="24"/>
        </w:rPr>
        <w:t>. Research is occurring on other ways EMDR can be applied.</w:t>
      </w:r>
    </w:p>
    <w:p w14:paraId="035E1B50" w14:textId="77777777" w:rsidR="00051C34" w:rsidRPr="00051C34" w:rsidRDefault="008D7F58" w:rsidP="00051C34">
      <w:pPr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 I have been specifically advised of the following: </w:t>
      </w:r>
    </w:p>
    <w:p w14:paraId="6025AD26" w14:textId="77777777" w:rsidR="00051C34" w:rsidRPr="00051C34" w:rsidRDefault="008D7F58" w:rsidP="00051C34">
      <w:pPr>
        <w:ind w:left="720"/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a) Distressing, unresolved memories may surface through the use of the EMDR procedure. </w:t>
      </w:r>
    </w:p>
    <w:p w14:paraId="162A7914" w14:textId="0D0F651D" w:rsidR="00051C34" w:rsidRPr="00051C34" w:rsidRDefault="008D7F58" w:rsidP="00051C34">
      <w:pPr>
        <w:ind w:left="720"/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>b) Some clients have experienced reactions during the treatment sessions that neither they, nor</w:t>
      </w:r>
      <w:r w:rsidR="00051C34" w:rsidRPr="00051C34">
        <w:rPr>
          <w:rFonts w:ascii="Arial" w:hAnsi="Arial" w:cs="Arial"/>
          <w:sz w:val="24"/>
          <w:szCs w:val="24"/>
        </w:rPr>
        <w:t xml:space="preserve"> </w:t>
      </w:r>
      <w:r w:rsidRPr="00051C34">
        <w:rPr>
          <w:rFonts w:ascii="Arial" w:hAnsi="Arial" w:cs="Arial"/>
          <w:sz w:val="24"/>
          <w:szCs w:val="24"/>
        </w:rPr>
        <w:t xml:space="preserve">the administering clinician, have anticipated including but not limited to high levels of emotional or physical sensations, disorientation, fear, nausea. </w:t>
      </w:r>
    </w:p>
    <w:p w14:paraId="4DD4773F" w14:textId="77777777" w:rsidR="00051C34" w:rsidRPr="00051C34" w:rsidRDefault="008D7F58" w:rsidP="00051C34">
      <w:pPr>
        <w:ind w:left="720"/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c) Subsequent to the treatment session, the processing of incidents and/or material may continue, and dreams, memories, flashbacks, feelings, etc. may surface. </w:t>
      </w:r>
    </w:p>
    <w:p w14:paraId="0387EFA0" w14:textId="31882F62" w:rsidR="00051C34" w:rsidRPr="00051C34" w:rsidRDefault="008D7F58" w:rsidP="00051C34">
      <w:pPr>
        <w:ind w:left="720"/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d) Those with limiting or special medical conditions (heart condition, ocular difficulties, etc.) should consult their medical professionals before participating in this therapeutic method. </w:t>
      </w:r>
    </w:p>
    <w:p w14:paraId="5895052C" w14:textId="77777777" w:rsidR="00051C34" w:rsidRPr="00051C34" w:rsidRDefault="008D7F58" w:rsidP="00051C34">
      <w:pPr>
        <w:ind w:firstLine="720"/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e) If you are involved I a legal case, be sure to discuss this with your therapist. </w:t>
      </w:r>
    </w:p>
    <w:p w14:paraId="21D99D23" w14:textId="508E8DE7" w:rsidR="00051C34" w:rsidRPr="00051C34" w:rsidRDefault="008D7F58" w:rsidP="00051C34">
      <w:pPr>
        <w:rPr>
          <w:rFonts w:ascii="Arial" w:hAnsi="Arial" w:cs="Arial"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Before beginning EMDR treatment, I have considered all of the above and I have obtained whatever additional input and/or professional advice I deemed necessary or appropriate. By my signature below I hereby consent to receiving EMDR treatment. My signature on this Consent is free from pressure or influence from any person or entity. I understand I may stop treatment at any time before or during any EMDR session and that more than one EMDR session is usually necessary in the treatment. </w:t>
      </w:r>
    </w:p>
    <w:p w14:paraId="7A785666" w14:textId="549511C4" w:rsidR="00051C34" w:rsidRPr="00051C34" w:rsidRDefault="00051C34" w:rsidP="00051C34">
      <w:pPr>
        <w:rPr>
          <w:rFonts w:ascii="Arial" w:hAnsi="Arial" w:cs="Arial"/>
          <w:sz w:val="24"/>
          <w:szCs w:val="24"/>
        </w:rPr>
      </w:pPr>
    </w:p>
    <w:p w14:paraId="2A2FF67A" w14:textId="77777777" w:rsidR="00051C34" w:rsidRDefault="00051C34" w:rsidP="00051C34">
      <w:pPr>
        <w:rPr>
          <w:rFonts w:ascii="Arial" w:hAnsi="Arial" w:cs="Arial"/>
          <w:sz w:val="24"/>
          <w:szCs w:val="24"/>
        </w:rPr>
      </w:pPr>
    </w:p>
    <w:p w14:paraId="1588A434" w14:textId="334CF3C1" w:rsidR="008D7F58" w:rsidRPr="00051C34" w:rsidRDefault="008D7F58" w:rsidP="00051C34">
      <w:pPr>
        <w:rPr>
          <w:rFonts w:ascii="Arial" w:hAnsi="Arial" w:cs="Arial"/>
          <w:b/>
          <w:bCs/>
          <w:sz w:val="24"/>
          <w:szCs w:val="24"/>
        </w:rPr>
      </w:pPr>
      <w:r w:rsidRPr="00051C34">
        <w:rPr>
          <w:rFonts w:ascii="Arial" w:hAnsi="Arial" w:cs="Arial"/>
          <w:sz w:val="24"/>
          <w:szCs w:val="24"/>
        </w:rPr>
        <w:t xml:space="preserve">Client </w:t>
      </w:r>
      <w:proofErr w:type="gramStart"/>
      <w:r w:rsidRPr="00051C34">
        <w:rPr>
          <w:rFonts w:ascii="Arial" w:hAnsi="Arial" w:cs="Arial"/>
          <w:sz w:val="24"/>
          <w:szCs w:val="24"/>
        </w:rPr>
        <w:t>Signature:_</w:t>
      </w:r>
      <w:proofErr w:type="gramEnd"/>
      <w:r w:rsidRPr="00051C34">
        <w:rPr>
          <w:rFonts w:ascii="Arial" w:hAnsi="Arial" w:cs="Arial"/>
          <w:sz w:val="24"/>
          <w:szCs w:val="24"/>
        </w:rPr>
        <w:t xml:space="preserve">_____________________________________ Date:___________ </w:t>
      </w:r>
    </w:p>
    <w:sectPr w:rsidR="008D7F58" w:rsidRPr="00051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8"/>
    <w:rsid w:val="00051C34"/>
    <w:rsid w:val="008D7F58"/>
    <w:rsid w:val="00A1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ABCA"/>
  <w15:chartTrackingRefBased/>
  <w15:docId w15:val="{488CB084-528C-4AD8-8000-51C49F6D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7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Noonan</dc:creator>
  <cp:keywords/>
  <dc:description/>
  <cp:lastModifiedBy>Tiffany Noonan</cp:lastModifiedBy>
  <cp:revision>1</cp:revision>
  <dcterms:created xsi:type="dcterms:W3CDTF">2019-10-21T15:33:00Z</dcterms:created>
  <dcterms:modified xsi:type="dcterms:W3CDTF">2019-10-21T15:53:00Z</dcterms:modified>
</cp:coreProperties>
</file>