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324" w:lineRule="auto"/>
        <w:jc w:val="center"/>
      </w:pPr>
      <w:r>
        <w:rPr>
          <w:rFonts w:ascii="Cambria" w:cs="Cambria" w:eastAsia="Cambria" w:hAnsi="Cambria"/>
          <w:b/>
          <w:bCs/>
          <w:i w:val="false"/>
          <w:iCs w:val="false"/>
          <w:strike w:val="false"/>
          <w:color w:val="000000"/>
          <w:spacing w:val="19"/>
          <w:sz w:val="32"/>
          <w:szCs w:val="32"/>
        </w:rPr>
        <w:t xml:space="preserve">STATEMENT OF INTENT</w:t>
      </w:r>
    </w:p>
    <w:p>
      <w:pPr>
        <w:spacing w:after="60" w:line="324" w:lineRule="auto"/>
        <w:jc w:val="center"/>
      </w:pPr>
      <w:r>
        <w:rPr>
          <w:rFonts w:ascii="Cambria" w:cs="Cambria" w:eastAsia="Cambria" w:hAnsi="Cambria"/>
          <w:b/>
          <w:bCs/>
          <w:i w:val="false"/>
          <w:iCs w:val="false"/>
          <w:strike w:val="false"/>
          <w:color w:val="000000"/>
          <w:sz w:val="20"/>
          <w:szCs w:val="20"/>
        </w:rPr>
        <w:t xml:space="preserve">Pre-Execution Formation Instrument — Parties Defined at Formation</w:t>
      </w:r>
    </w:p>
    <w:p>
      <w:pPr>
        <w:spacing w:after="60" w:line="324" w:lineRule="auto"/>
        <w:jc w:val="center"/>
      </w:pPr>
      <w:r>
        <w:rPr>
          <w:rFonts w:ascii="Cambria" w:cs="Cambria" w:eastAsia="Cambria" w:hAnsi="Cambria"/>
          <w:b/>
          <w:bCs/>
          <w:i w:val="false"/>
          <w:iCs w:val="false"/>
          <w:strike w:val="false"/>
          <w:color w:val="000000"/>
          <w:sz w:val="20"/>
          <w:szCs w:val="20"/>
        </w:rPr>
        <w:t xml:space="preserve">Crow.box | Quaternion Chartographer Engineering | QiP Platform Services</w:t>
      </w:r>
    </w:p>
    <w:p>
      <w:pPr>
        <w:spacing w:after="60" w:line="324" w:lineRule="auto"/>
        <w:jc w:val="center"/>
      </w:pPr>
      <w:r>
        <w:rPr>
          <w:rFonts w:ascii="Cambria" w:cs="Cambria" w:eastAsia="Cambria" w:hAnsi="Cambria"/>
          <w:b/>
          <w:bCs/>
          <w:i w:val="false"/>
          <w:iCs w:val="false"/>
          <w:strike w:val="false"/>
          <w:color w:val="000000"/>
          <w:sz w:val="19"/>
          <w:szCs w:val="19"/>
        </w:rPr>
        <w:t xml:space="preserve">Document Reference No.: CB-SOI-001  |  Date of Formation: June 10, 2026</w:t>
      </w:r>
    </w:p>
    <w:p>
      <w:pPr>
        <w:spacing w:after="240" w:line="324" w:lineRule="auto"/>
        <w:jc w:val="center"/>
      </w:pPr>
      <w:r>
        <w:rPr>
          <w:rFonts w:ascii="Cambria" w:cs="Cambria" w:eastAsia="Cambria" w:hAnsi="Cambria"/>
          <w:b w:val="false"/>
          <w:bCs w:val="false"/>
          <w:i w:val="false"/>
          <w:iCs w:val="false"/>
          <w:strike w:val="false"/>
          <w:color w:val="000000"/>
          <w:spacing w:val="14"/>
          <w:sz w:val="17"/>
          <w:szCs w:val="17"/>
        </w:rPr>
        <w:t xml:space="preserve">Prepared Pursuant to Restatement (Second) of Contracts §§ 17, 24, 26, 71 | GWU LAW 6202 Contract Formation Principles</w:t>
      </w:r>
    </w:p>
    <w:p>
      <w:pPr>
        <w:spacing w:after="80" w:line="324" w:lineRule="auto"/>
        <w:jc w:val="center"/>
      </w:pPr>
      <w:r>
        <w:rPr>
          <w:rFonts w:ascii="Cambria" w:cs="Cambria" w:eastAsia="Cambria" w:hAnsi="Cambria"/>
          <w:b/>
          <w:bCs/>
          <w:i w:val="false"/>
          <w:iCs w:val="false"/>
          <w:strike w:val="false"/>
          <w:color w:val="000000"/>
          <w:spacing w:val="29"/>
          <w:sz w:val="22"/>
          <w:szCs w:val="22"/>
        </w:rPr>
        <w:t xml:space="preserve">[CROW.BOX SEAL]</w:t>
      </w:r>
      <w:r>
        <w:rPr>
          <w:rFonts w:ascii="Cambria" w:cs="Cambria" w:eastAsia="Cambria" w:hAnsi="Cambria"/>
          <w:b w:val="false"/>
          <w:bCs w:val="false"/>
          <w:i w:val="false"/>
          <w:iCs w:val="false"/>
          <w:strike w:val="false"/>
          <w:color w:val="000000"/>
          <w:sz w:val="21"/>
          <w:szCs w:val="21"/>
        </w:rPr>
        <w:t xml:space="preserve">              </w:t>
      </w:r>
      <w:r>
        <w:rPr>
          <w:rFonts w:ascii="Cambria" w:cs="Cambria" w:eastAsia="Cambria" w:hAnsi="Cambria"/>
          <w:b/>
          <w:bCs/>
          <w:i w:val="false"/>
          <w:iCs w:val="false"/>
          <w:strike w:val="false"/>
          <w:color w:val="000000"/>
          <w:sz w:val="22"/>
          <w:szCs w:val="22"/>
        </w:rPr>
        <w:t xml:space="preserve">(SEAL)</w:t>
      </w:r>
    </w:p>
    <w:p>
      <w:pPr>
        <w:pBdr>
          <w:bottom w:val="single" w:color="000000" w:sz="6"/>
        </w:pBdr>
        <w:spacing w:after="240" w:before="240"/>
      </w:pPr>
    </w:p>
    <w:p>
      <w:pPr>
        <w:pStyle w:val="Heading2"/>
        <w:spacing w:after="60" w:before="200" w:line="324" w:lineRule="auto"/>
        <w:jc w:val="left"/>
      </w:pPr>
      <w:r>
        <w:rPr>
          <w:rFonts w:ascii="Cambria" w:cs="Cambria" w:eastAsia="Cambria" w:hAnsi="Cambria"/>
          <w:color w:val="000000"/>
          <w:spacing w:val="7"/>
          <w:sz w:val="22"/>
          <w:szCs w:val="22"/>
        </w:rPr>
        <w:t xml:space="preserve">FORMATION NOTICE — NO PARTIES HAVE EXECUTED THIS INSTRUMENT</w:t>
      </w:r>
    </w:p>
    <w:p>
      <w:pPr>
        <w:spacing w:after="80" w:before="60" w:line="324" w:lineRule="auto"/>
        <w:jc w:val="both"/>
      </w:pPr>
      <w:r>
        <w:rPr>
          <w:rFonts w:ascii="Cambria" w:cs="Cambria" w:eastAsia="Cambria" w:hAnsi="Cambria"/>
          <w:b w:val="false"/>
          <w:bCs w:val="false"/>
          <w:i w:val="false"/>
          <w:iCs w:val="false"/>
          <w:strike w:val="false"/>
          <w:color w:val="000000"/>
          <w:sz w:val="21"/>
          <w:szCs w:val="21"/>
        </w:rPr>
        <w:t xml:space="preserve">This Statement of Intent ("SOI" or "Statement") is a pre-execution formation document. As of the date of preparation, no party has signed, executed, initialed, or otherwise formally assented to the terms set forth herein. This Statement is presented to creating parties — defined below for the first time — and to designated reviewing authorities, including applicable Congressional oversight committees and the Chief Justice of the United States, for review prior to any execution event.</w:t>
      </w:r>
    </w:p>
    <w:p>
      <w:pPr>
        <w:spacing w:after="80" w:before="60" w:line="324" w:lineRule="auto"/>
        <w:jc w:val="both"/>
      </w:pPr>
      <w:r>
        <w:rPr>
          <w:rFonts w:ascii="Cambria" w:cs="Cambria" w:eastAsia="Cambria" w:hAnsi="Cambria"/>
          <w:b w:val="false"/>
          <w:bCs w:val="false"/>
          <w:i w:val="false"/>
          <w:iCs w:val="false"/>
          <w:strike w:val="false"/>
          <w:color w:val="000000"/>
          <w:sz w:val="21"/>
          <w:szCs w:val="21"/>
        </w:rPr>
        <w:t xml:space="preserve">Consistent with the Restatement (Second) of Contracts § 26 and GWU Law School Contract Formation doctrine (LAW 6202, Professor Swaine, 2024), this Statement does not constitute an offer capable of acceptance, nor does it create a binding contract. It constitutes a formal manifestation of preliminary intent, establishing the identity of the parties, the nature of the proposed engagement, and the framework within which the parties — upon mutual assent as defined by Restatement § 17 — may proceed to negotiate and execute a definitive agreement. The objective theory of mutual assent, as recognized by the majority of American jurisdictions and applied at GWU Law (</w:t>
      </w:r>
      <w:r>
        <w:rPr>
          <w:rFonts w:ascii="Cambria" w:cs="Cambria" w:eastAsia="Cambria" w:hAnsi="Cambria"/>
          <w:b w:val="false"/>
          <w:bCs w:val="false"/>
          <w:i/>
          <w:iCs/>
          <w:strike w:val="false"/>
          <w:color w:val="000000"/>
          <w:sz w:val="21"/>
          <w:szCs w:val="21"/>
        </w:rPr>
        <w:t xml:space="preserve">Lucy v. Zehmer</w:t>
      </w:r>
      <w:r>
        <w:rPr>
          <w:rFonts w:ascii="Cambria" w:cs="Cambria" w:eastAsia="Cambria" w:hAnsi="Cambria"/>
          <w:b w:val="false"/>
          <w:bCs w:val="false"/>
          <w:i w:val="false"/>
          <w:iCs w:val="false"/>
          <w:strike w:val="false"/>
          <w:color w:val="000000"/>
          <w:sz w:val="21"/>
          <w:szCs w:val="21"/>
        </w:rPr>
        <w:t xml:space="preserve">; </w:t>
      </w:r>
      <w:r>
        <w:rPr>
          <w:rFonts w:ascii="Cambria" w:cs="Cambria" w:eastAsia="Cambria" w:hAnsi="Cambria"/>
          <w:b w:val="false"/>
          <w:bCs w:val="false"/>
          <w:i/>
          <w:iCs/>
          <w:strike w:val="false"/>
          <w:color w:val="000000"/>
          <w:sz w:val="21"/>
          <w:szCs w:val="21"/>
        </w:rPr>
        <w:t xml:space="preserve">Ray v. William G. Eurice &amp; Bros., Inc.</w:t>
      </w:r>
      <w:r>
        <w:rPr>
          <w:rFonts w:ascii="Cambria" w:cs="Cambria" w:eastAsia="Cambria" w:hAnsi="Cambria"/>
          <w:b w:val="false"/>
          <w:bCs w:val="false"/>
          <w:i w:val="false"/>
          <w:iCs w:val="false"/>
          <w:strike w:val="false"/>
          <w:color w:val="000000"/>
          <w:sz w:val="21"/>
          <w:szCs w:val="21"/>
        </w:rPr>
        <w:t xml:space="preserve">), governs the interpretation of any conduct of the parties following issuance of this Statement.</w:t>
      </w:r>
    </w:p>
    <w:p>
      <w:pPr>
        <w:pBdr>
          <w:bottom w:val="single" w:color="000000" w:sz="6"/>
        </w:pBdr>
        <w:spacing w:after="240" w:before="240"/>
      </w:pPr>
    </w:p>
    <w:p>
      <w:pPr>
        <w:pStyle w:val="Heading1"/>
        <w:spacing w:after="60" w:before="200" w:line="324" w:lineRule="auto"/>
        <w:jc w:val="center"/>
      </w:pPr>
      <w:r>
        <w:rPr>
          <w:rFonts w:ascii="Cambria" w:cs="Cambria" w:eastAsia="Cambria" w:hAnsi="Cambria"/>
          <w:color w:val="000000"/>
          <w:spacing w:val="10"/>
          <w:sz w:val="26"/>
          <w:szCs w:val="26"/>
        </w:rPr>
        <w:t xml:space="preserve">PART ONE — PARTY FORMATION AND IDENTIFICATION</w:t>
      </w:r>
    </w:p>
    <w:p>
      <w:pPr>
        <w:pStyle w:val="Heading2"/>
        <w:spacing w:after="60" w:before="200" w:line="324" w:lineRule="auto"/>
        <w:jc w:val="left"/>
      </w:pPr>
      <w:r>
        <w:rPr>
          <w:rFonts w:ascii="Cambria" w:cs="Cambria" w:eastAsia="Cambria" w:hAnsi="Cambria"/>
          <w:color w:val="000000"/>
          <w:spacing w:val="7"/>
          <w:sz w:val="22"/>
          <w:szCs w:val="22"/>
        </w:rPr>
        <w:t xml:space="preserve">ARTICLE I — CREATION AND DEFINITION OF PARTIES</w:t>
      </w:r>
    </w:p>
    <w:p>
      <w:pPr>
        <w:spacing w:after="80" w:before="60" w:line="324" w:lineRule="auto"/>
        <w:jc w:val="both"/>
      </w:pPr>
      <w:r>
        <w:rPr>
          <w:rFonts w:ascii="Cambria" w:cs="Cambria" w:eastAsia="Cambria" w:hAnsi="Cambria"/>
          <w:b/>
          <w:bCs/>
          <w:i w:val="false"/>
          <w:iCs w:val="false"/>
          <w:strike w:val="false"/>
          <w:color w:val="000000"/>
          <w:sz w:val="21"/>
          <w:szCs w:val="21"/>
        </w:rPr>
        <w:t xml:space="preserve">1.1 Purpose of Formation Article.</w:t>
      </w:r>
      <w:r>
        <w:rPr>
          <w:rFonts w:ascii="Cambria" w:cs="Cambria" w:eastAsia="Cambria" w:hAnsi="Cambria"/>
          <w:b w:val="false"/>
          <w:bCs w:val="false"/>
          <w:i w:val="false"/>
          <w:iCs w:val="false"/>
          <w:strike w:val="false"/>
          <w:color w:val="000000"/>
          <w:sz w:val="21"/>
          <w:szCs w:val="21"/>
        </w:rPr>
        <w:t xml:space="preserve"> This Article I constitutes the formal creation and definitional record of all parties to this Statement of Intent. No party existed in a defined legal capacity relative to this instrument prior to the execution of this Article. The act of defining the parties herein does not itself create contractual obligations; it establishes the legal identity and capacity of each party for purposes of future negotiation, execution, and performance under any definitive agreement to which this Statement is a precursor.</w:t>
      </w:r>
    </w:p>
    <w:p>
      <w:pPr>
        <w:spacing w:after="80" w:before="60" w:line="324" w:lineRule="auto"/>
        <w:jc w:val="both"/>
      </w:pPr>
      <w:r>
        <w:rPr>
          <w:rFonts w:ascii="Cambria" w:cs="Cambria" w:eastAsia="Cambria" w:hAnsi="Cambria"/>
          <w:b/>
          <w:bCs/>
          <w:i w:val="false"/>
          <w:iCs w:val="false"/>
          <w:strike w:val="false"/>
          <w:color w:val="000000"/>
          <w:sz w:val="21"/>
          <w:szCs w:val="21"/>
        </w:rPr>
        <w:t xml:space="preserve">1.2 Party Identification — Dual-Role Service Provider.</w:t>
      </w:r>
      <w:r>
        <w:rPr>
          <w:rFonts w:ascii="Cambria" w:cs="Cambria" w:eastAsia="Cambria" w:hAnsi="Cambria"/>
          <w:b w:val="false"/>
          <w:bCs w:val="false"/>
          <w:i w:val="false"/>
          <w:iCs w:val="false"/>
          <w:strike w:val="false"/>
          <w:color w:val="000000"/>
          <w:sz w:val="21"/>
          <w:szCs w:val="21"/>
        </w:rPr>
        <w:t xml:space="preserve"> The following two (2) defined service provider designations are held by a single natural person, Harold A. Crow. Both designations share a common federal employer identification / tax identification number and are operated under the sole authority of Harold A. Crow. Each designation constitutes a legally distinct operational capacity in which Harold A. Crow may execute instruments, accept engagements, and incur obligations. Both capacities are defined below.</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SERVICE PROVIDER DESIGNATION ONE — CROW.BOX (CROWVANGOGH)</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80" w:before="60" w:line="324" w:lineRule="auto"/>
        <w:jc w:val="both"/>
      </w:pPr>
      <w:r>
        <w:rPr>
          <w:rFonts w:ascii="Cambria" w:cs="Cambria" w:eastAsia="Cambria" w:hAnsi="Cambria"/>
          <w:b/>
          <w:bCs/>
          <w:i w:val="false"/>
          <w:iCs w:val="false"/>
          <w:strike w:val="false"/>
          <w:color w:val="000000"/>
          <w:sz w:val="21"/>
          <w:szCs w:val="21"/>
        </w:rPr>
        <w:t xml:space="preserve">1.3 Crow.box — Entity Definition.</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Legal Name:</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Crow.box</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Operating Alias / Handle:</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CrowVanGogh</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Entity Type:</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Sole Proprietorship, State of North Carolina</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Principal:</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Harold A. Crow, Sole Proprietor</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Business Address:</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Crow.box [Address on File]</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Bank / Release Destination:</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Bank of America, Green Valley Road Branch, Greensboro, NC 27408</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Federal Tax ID (EIN):</w:t>
            </w:r>
          </w:p>
        </w:tc>
        <w:tc>
          <w:tcPr>
            <w:tcW w:type="pct" w:w="82%"/>
            <w:tcMar>
              <w:top w:type="dxa" w:w="60"/>
              <w:left w:type="dxa" w:w="90"/>
              <w:bottom w:type="dxa" w:w="60"/>
              <w:right w:type="dxa" w:w="90"/>
            </w:tcMar>
          </w:tcPr>
          <w:p>
            <w:r>
              <w:rPr>
                <w:b w:val="false"/>
                <w:bCs w:val="false"/>
              </w:rPr>
              <w:t xml:space="preserve"/>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State Tax ID (NC):</w:t>
            </w:r>
          </w:p>
        </w:tc>
        <w:tc>
          <w:tcPr>
            <w:tcW w:type="pct" w:w="82%"/>
            <w:tcMar>
              <w:top w:type="dxa" w:w="60"/>
              <w:left w:type="dxa" w:w="90"/>
              <w:bottom w:type="dxa" w:w="60"/>
              <w:right w:type="dxa" w:w="90"/>
            </w:tcMar>
          </w:tcPr>
          <w:p>
            <w:r>
              <w:rPr>
                <w:b w:val="false"/>
                <w:bCs w:val="false"/>
              </w:rPr>
              <w:t xml:space="preserve"/>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Nature of Services:</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General creative, technical, and engineering services; Quaternion Mainframe manufacturing; QiP Platform development and licensing; 5D Chartographic mapping; CNC 5-Axis integration; AI governance services.</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Escrow Agent:</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Licensed PLLC Attorney [To Be Designated]</w:t>
            </w:r>
          </w:p>
        </w:tc>
      </w:tr>
    </w:tbl>
    <w:p>
      <w:pPr>
        <w:spacing w:after="200" w:before="0"/>
      </w:pPr>
    </w:p>
    <w:p>
      <w:pPr>
        <w:spacing w:after="80" w:before="60" w:line="324" w:lineRule="auto"/>
        <w:jc w:val="both"/>
      </w:pPr>
      <w:r>
        <w:rPr>
          <w:rFonts w:ascii="Cambria" w:cs="Cambria" w:eastAsia="Cambria" w:hAnsi="Cambria"/>
          <w:b/>
          <w:bCs/>
          <w:i w:val="false"/>
          <w:iCs w:val="false"/>
          <w:strike w:val="false"/>
          <w:color w:val="000000"/>
          <w:sz w:val="21"/>
          <w:szCs w:val="21"/>
        </w:rPr>
        <w:t xml:space="preserve">1.4 Crow.box Operational Scope.</w:t>
      </w:r>
      <w:r>
        <w:rPr>
          <w:rFonts w:ascii="Cambria" w:cs="Cambria" w:eastAsia="Cambria" w:hAnsi="Cambria"/>
          <w:b w:val="false"/>
          <w:bCs w:val="false"/>
          <w:i w:val="false"/>
          <w:iCs w:val="false"/>
          <w:strike w:val="false"/>
          <w:color w:val="000000"/>
          <w:sz w:val="21"/>
          <w:szCs w:val="21"/>
        </w:rPr>
        <w:t xml:space="preserve"> Crow.box, operating under the handle CrowVanGogh, serves as the primary commercial and contractual entity through which Harold A. Crow enters into service agreements, accepts fees, holds intellectual property, executes instruments, and discharges obligations to clients, government agencies, and institutional counterparties. The Crow.box designation encompasses the full range of business, engineering, technology, creative, and platform services described in any instrument to which this Statement is attached or incorporated.</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SERVICE PROVIDER DESIGNATION TWO — QUATERNION CHARTOGRAPHER ENGINEER</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80" w:before="60" w:line="324" w:lineRule="auto"/>
        <w:jc w:val="both"/>
      </w:pPr>
      <w:r>
        <w:rPr>
          <w:rFonts w:ascii="Cambria" w:cs="Cambria" w:eastAsia="Cambria" w:hAnsi="Cambria"/>
          <w:b/>
          <w:bCs/>
          <w:i w:val="false"/>
          <w:iCs w:val="false"/>
          <w:strike w:val="false"/>
          <w:color w:val="000000"/>
          <w:sz w:val="21"/>
          <w:szCs w:val="21"/>
        </w:rPr>
        <w:t xml:space="preserve">1.5 Quaternion Chartographer Engineer — Entity Definition.</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Professional Title:</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Quaternion Chartographer Engineer</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Natural Person:</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Harold A. Crow</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Individual Capacity:</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Natural person, sole proprietor, acting in professional engineering and chartographic capacity independent of but concurrent with the Crow.box business designation</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Social Security Number:</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___–__–____ [To be completed at execution before notary — field intentionally blank at formation stage]</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SSN Registration Jurisdiction:</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Houston, Texas (Harris County)</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Federal Tax ID (EIN):</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[Same as Crow.box — see Section 1.3 above]</w:t>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State Tax ID (TX, if applicable):</w:t>
            </w:r>
          </w:p>
        </w:tc>
        <w:tc>
          <w:tcPr>
            <w:tcW w:type="pct" w:w="82%"/>
            <w:tcMar>
              <w:top w:type="dxa" w:w="60"/>
              <w:left w:type="dxa" w:w="90"/>
              <w:bottom w:type="dxa" w:w="60"/>
              <w:right w:type="dxa" w:w="90"/>
            </w:tcMar>
          </w:tcPr>
          <w:p>
            <w:r>
              <w:rPr>
                <w:b w:val="false"/>
                <w:bCs w:val="false"/>
              </w:rPr>
              <w:t xml:space="preserve"/>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State Tax ID (NC, if applicable):</w:t>
            </w:r>
          </w:p>
        </w:tc>
        <w:tc>
          <w:tcPr>
            <w:tcW w:type="pct" w:w="82%"/>
            <w:tcMar>
              <w:top w:type="dxa" w:w="60"/>
              <w:left w:type="dxa" w:w="90"/>
              <w:bottom w:type="dxa" w:w="60"/>
              <w:right w:type="dxa" w:w="90"/>
            </w:tcMar>
          </w:tcPr>
          <w:p>
            <w:r>
              <w:rPr>
                <w:b w:val="false"/>
                <w:bCs w:val="false"/>
              </w:rPr>
              <w:t xml:space="preserve"/>
            </w:r>
          </w:p>
        </w:tc>
      </w:tr>
      <w:tr>
        <w:trPr>
          <w:tblHeader w:val="false"/>
        </w:trPr>
        <w:tc>
          <w:tcPr>
            <w:tcW w:type="pct" w:w="18%"/>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Nature of Services:</w:t>
            </w:r>
          </w:p>
        </w:tc>
        <w:tc>
          <w:tcPr>
            <w:tcW w:type="pct" w:w="8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Quaternion Chartographic engineering; geospatial 5D mapping and mining analysis; Quaternion mathematical framework design; AI-to-QiP platform conversion engineering; Quaternion Encryption architecture; CNC 5-Axis precision manufacturing direction.</w:t>
            </w:r>
          </w:p>
        </w:tc>
      </w:tr>
    </w:tbl>
    <w:p>
      <w:pPr>
        <w:spacing w:after="200" w:before="0"/>
      </w:pPr>
    </w:p>
    <w:p>
      <w:pPr>
        <w:spacing w:after="80" w:before="60" w:line="324" w:lineRule="auto"/>
        <w:jc w:val="both"/>
      </w:pPr>
      <w:r>
        <w:rPr>
          <w:rFonts w:ascii="Cambria" w:cs="Cambria" w:eastAsia="Cambria" w:hAnsi="Cambria"/>
          <w:b/>
          <w:bCs/>
          <w:i w:val="false"/>
          <w:iCs w:val="false"/>
          <w:strike w:val="false"/>
          <w:color w:val="000000"/>
          <w:sz w:val="21"/>
          <w:szCs w:val="21"/>
        </w:rPr>
        <w:t xml:space="preserve">1.6 Dual-Role Authority.</w:t>
      </w:r>
      <w:r>
        <w:rPr>
          <w:rFonts w:ascii="Cambria" w:cs="Cambria" w:eastAsia="Cambria" w:hAnsi="Cambria"/>
          <w:b w:val="false"/>
          <w:bCs w:val="false"/>
          <w:i w:val="false"/>
          <w:iCs w:val="false"/>
          <w:strike w:val="false"/>
          <w:color w:val="000000"/>
          <w:sz w:val="21"/>
          <w:szCs w:val="21"/>
        </w:rPr>
        <w:t xml:space="preserve"> Harold A. Crow hereby formally declares that both Service Provider Designation One (Crow.box / CrowVanGogh) and Service Provider Designation Two (Quaternion Chartographer Engineer Harold A. Crow) are held by and vest exclusively in the same natural person: Harold A. Crow. Both designations share the same federal Tax Identification Number as noted above. Neither designation constitutes a separate legal entity, partnership, corporation, or LLC. Harold A. Crow's dual-role execution of any instrument arising from this Statement — once in his capacity as Crow.box and once in his individual capacity as Quaternion Chartographer Engineer — does not create a bilateral contract between those designations; rather, it creates a complete, authenticated record of commitment across all operational capacities held by Harold A. Crow.</w:t>
      </w:r>
    </w:p>
    <w:p>
      <w:pPr>
        <w:spacing w:after="80" w:before="60" w:line="324" w:lineRule="auto"/>
        <w:jc w:val="both"/>
      </w:pPr>
      <w:r>
        <w:rPr>
          <w:rFonts w:ascii="Cambria" w:cs="Cambria" w:eastAsia="Cambria" w:hAnsi="Cambria"/>
          <w:b/>
          <w:bCs/>
          <w:i w:val="false"/>
          <w:iCs w:val="false"/>
          <w:strike w:val="false"/>
          <w:color w:val="000000"/>
          <w:sz w:val="21"/>
          <w:szCs w:val="21"/>
        </w:rPr>
        <w:t xml:space="preserve">1.7 Tax Identification — Consolidated.</w:t>
      </w:r>
      <w:r>
        <w:rPr>
          <w:rFonts w:ascii="Cambria" w:cs="Cambria" w:eastAsia="Cambria" w:hAnsi="Cambria"/>
          <w:b w:val="false"/>
          <w:bCs w:val="false"/>
          <w:i w:val="false"/>
          <w:iCs w:val="false"/>
          <w:strike w:val="false"/>
          <w:color w:val="000000"/>
          <w:sz w:val="21"/>
          <w:szCs w:val="21"/>
        </w:rPr>
        <w:t xml:space="preserve"> Because both Service Provider designations are held by a single natural person operating as a sole proprietor, a single federal Employer Identification Number (EIN) / Tax Identification Number applies to all transactions, engagements, and revenue events under both designations. The applicable EIN is:</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Federal EIN / Tax ID:</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North Carolina State Tax ID:</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Texas State Tax ID (if req.):</w:t>
            </w:r>
          </w:p>
        </w:tc>
        <w:tc>
          <w:tcPr>
            <w:tcW w:type="pct" w:w="11%"/>
            <w:tcMar>
              <w:top w:type="dxa" w:w="60"/>
              <w:left w:type="dxa" w:w="90"/>
              <w:bottom w:type="dxa" w:w="60"/>
              <w:right w:type="dxa" w:w="90"/>
            </w:tcMar>
          </w:tcPr>
          <w:p>
            <w:r>
              <w:rPr>
                <w:b w:val="false"/>
                <w:bCs w:val="false"/>
              </w:rPr>
              <w:t xml:space="preserve"/>
            </w:r>
          </w:p>
        </w:tc>
      </w:tr>
    </w:tbl>
    <w:p>
      <w:pPr>
        <w:spacing w:after="200" w:before="0"/>
      </w:pPr>
    </w:p>
    <w:p>
      <w:pPr>
        <w:spacing w:after="80" w:before="60" w:line="324" w:lineRule="auto"/>
        <w:jc w:val="both"/>
      </w:pPr>
      <w:r>
        <w:rPr>
          <w:rFonts w:ascii="Cambria" w:cs="Cambria" w:eastAsia="Cambria" w:hAnsi="Cambria"/>
          <w:b/>
          <w:bCs/>
          <w:i w:val="false"/>
          <w:iCs w:val="false"/>
          <w:strike w:val="false"/>
          <w:color w:val="000000"/>
          <w:sz w:val="21"/>
          <w:szCs w:val="21"/>
        </w:rPr>
        <w:t xml:space="preserve">1.8 Party B — Counterparty / Client / Government Agency.</w:t>
      </w:r>
      <w:r>
        <w:rPr>
          <w:rFonts w:ascii="Cambria" w:cs="Cambria" w:eastAsia="Cambria" w:hAnsi="Cambria"/>
          <w:b w:val="false"/>
          <w:bCs w:val="false"/>
          <w:i w:val="false"/>
          <w:iCs w:val="false"/>
          <w:strike w:val="false"/>
          <w:color w:val="000000"/>
          <w:sz w:val="21"/>
          <w:szCs w:val="21"/>
        </w:rPr>
        <w:t xml:space="preserve"> [To be defined and completed at the time of definitive agreement execution. This Statement is issued without a defined Party B; the absence of a counterparty at formation is consistent with the formation-stage nature of this instrument and does not impair its validity as a statement of originating party intent.]</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Name / Entity:</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Authorized Representative:</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Title:</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Address:</w:t>
            </w:r>
          </w:p>
        </w:tc>
        <w:tc>
          <w:tcPr>
            <w:tcW w:type="pct" w:w="11%"/>
            <w:tcMar>
              <w:top w:type="dxa" w:w="60"/>
              <w:left w:type="dxa" w:w="90"/>
              <w:bottom w:type="dxa" w:w="60"/>
              <w:right w:type="dxa" w:w="90"/>
            </w:tcMar>
          </w:tcPr>
          <w:p>
            <w:r>
              <w:rPr>
                <w:b w:val="false"/>
                <w:bCs w:val="false"/>
              </w:rPr>
              <w:t xml:space="preserve"/>
            </w:r>
          </w:p>
        </w:tc>
      </w:tr>
      <w:tr>
        <w:trPr>
          <w:tblHeader w:val="false"/>
        </w:trPr>
        <w:tc>
          <w:tcPr>
            <w:tcW w:type="pct" w:w="89%"/>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Tax ID / Agency Code:</w:t>
            </w:r>
          </w:p>
        </w:tc>
        <w:tc>
          <w:tcPr>
            <w:tcW w:type="pct" w:w="11%"/>
            <w:tcMar>
              <w:top w:type="dxa" w:w="60"/>
              <w:left w:type="dxa" w:w="90"/>
              <w:bottom w:type="dxa" w:w="60"/>
              <w:right w:type="dxa" w:w="90"/>
            </w:tcMar>
          </w:tcPr>
          <w:p>
            <w:r>
              <w:rPr>
                <w:b w:val="false"/>
                <w:bCs w:val="false"/>
              </w:rPr>
              <w:t xml:space="preserve"/>
            </w:r>
          </w:p>
        </w:tc>
      </w:tr>
    </w:tbl>
    <w:p>
      <w:pPr>
        <w:spacing w:after="200" w:before="0"/>
      </w:pPr>
    </w:p>
    <w:p>
      <w:pPr>
        <w:pBdr>
          <w:bottom w:val="single" w:color="000000" w:sz="6"/>
        </w:pBdr>
        <w:spacing w:after="240" w:before="240"/>
      </w:pPr>
    </w:p>
    <w:p>
      <w:pPr>
        <w:pStyle w:val="Heading1"/>
        <w:spacing w:after="60" w:before="200" w:line="324" w:lineRule="auto"/>
        <w:jc w:val="center"/>
      </w:pPr>
      <w:r>
        <w:rPr>
          <w:rFonts w:ascii="Cambria" w:cs="Cambria" w:eastAsia="Cambria" w:hAnsi="Cambria"/>
          <w:color w:val="000000"/>
          <w:spacing w:val="10"/>
          <w:sz w:val="26"/>
          <w:szCs w:val="26"/>
        </w:rPr>
        <w:t xml:space="preserve">PART TWO — STATEMENT OF INTENT</w:t>
      </w:r>
    </w:p>
    <w:p>
      <w:pPr>
        <w:pStyle w:val="Heading2"/>
        <w:spacing w:after="60" w:before="200" w:line="324" w:lineRule="auto"/>
        <w:jc w:val="left"/>
      </w:pPr>
      <w:r>
        <w:rPr>
          <w:rFonts w:ascii="Cambria" w:cs="Cambria" w:eastAsia="Cambria" w:hAnsi="Cambria"/>
          <w:color w:val="000000"/>
          <w:spacing w:val="7"/>
          <w:sz w:val="22"/>
          <w:szCs w:val="22"/>
        </w:rPr>
        <w:t xml:space="preserve">ARTICLE II — NATURE AND SCOPE OF INTENT</w:t>
      </w:r>
    </w:p>
    <w:p>
      <w:pPr>
        <w:spacing w:after="80" w:before="60" w:line="324" w:lineRule="auto"/>
        <w:jc w:val="both"/>
      </w:pPr>
      <w:r>
        <w:rPr>
          <w:rFonts w:ascii="Cambria" w:cs="Cambria" w:eastAsia="Cambria" w:hAnsi="Cambria"/>
          <w:b/>
          <w:bCs/>
          <w:i w:val="false"/>
          <w:iCs w:val="false"/>
          <w:strike w:val="false"/>
          <w:color w:val="000000"/>
          <w:sz w:val="21"/>
          <w:szCs w:val="21"/>
        </w:rPr>
        <w:t xml:space="preserve">2.1 Statement of Intent — Formation Principle.</w:t>
      </w:r>
      <w:r>
        <w:rPr>
          <w:rFonts w:ascii="Cambria" w:cs="Cambria" w:eastAsia="Cambria" w:hAnsi="Cambria"/>
          <w:b w:val="false"/>
          <w:bCs w:val="false"/>
          <w:i w:val="false"/>
          <w:iCs w:val="false"/>
          <w:strike w:val="false"/>
          <w:color w:val="000000"/>
          <w:sz w:val="21"/>
          <w:szCs w:val="21"/>
        </w:rPr>
        <w:t xml:space="preserve"> In accordance with GWU Law Contract Formation doctrine and the Restatement (Second) of Contracts § 26 (Preliminary Negotiations), this Statement represents a formal, written expression of the originating party's intent to engage in good-faith negotiations toward a definitive agreement covering the services, properties, and platforms described herein. Consistent with the objective theory of mutual assent (Restatement § 17; </w:t>
      </w:r>
      <w:r>
        <w:rPr>
          <w:rFonts w:ascii="Cambria" w:cs="Cambria" w:eastAsia="Cambria" w:hAnsi="Cambria"/>
          <w:b w:val="false"/>
          <w:bCs w:val="false"/>
          <w:i/>
          <w:iCs/>
          <w:strike w:val="false"/>
          <w:color w:val="000000"/>
          <w:sz w:val="21"/>
          <w:szCs w:val="21"/>
        </w:rPr>
        <w:t xml:space="preserve">Lucy v. Zehmer</w:t>
      </w:r>
      <w:r>
        <w:rPr>
          <w:rFonts w:ascii="Cambria" w:cs="Cambria" w:eastAsia="Cambria" w:hAnsi="Cambria"/>
          <w:b w:val="false"/>
          <w:bCs w:val="false"/>
          <w:i w:val="false"/>
          <w:iCs w:val="false"/>
          <w:strike w:val="false"/>
          <w:color w:val="000000"/>
          <w:sz w:val="21"/>
          <w:szCs w:val="21"/>
        </w:rPr>
        <w:t xml:space="preserve">, 196 Va. 493 (1954)), the outward manifestation of intent expressed in this Statement, when presented to and acknowledged by a counterparty or reviewing authority, shall be interpreted objectively — as it would be understood by a reasonable person in the position of the recipient — without requiring subjective "meeting of the minds" as a precondition to the validity of the Statement.</w:t>
      </w:r>
    </w:p>
    <w:p>
      <w:pPr>
        <w:spacing w:after="80" w:before="60" w:line="324" w:lineRule="auto"/>
        <w:jc w:val="both"/>
      </w:pPr>
      <w:r>
        <w:rPr>
          <w:rFonts w:ascii="Cambria" w:cs="Cambria" w:eastAsia="Cambria" w:hAnsi="Cambria"/>
          <w:b/>
          <w:bCs/>
          <w:i w:val="false"/>
          <w:iCs w:val="false"/>
          <w:strike w:val="false"/>
          <w:color w:val="000000"/>
          <w:sz w:val="21"/>
          <w:szCs w:val="21"/>
        </w:rPr>
        <w:t xml:space="preserve">2.2 Intent of Crow.box (CrowVanGogh).</w:t>
      </w:r>
      <w:r>
        <w:rPr>
          <w:rFonts w:ascii="Cambria" w:cs="Cambria" w:eastAsia="Cambria" w:hAnsi="Cambria"/>
          <w:b w:val="false"/>
          <w:bCs w:val="false"/>
          <w:i w:val="false"/>
          <w:iCs w:val="false"/>
          <w:strike w:val="false"/>
          <w:color w:val="000000"/>
          <w:sz w:val="21"/>
          <w:szCs w:val="21"/>
        </w:rPr>
        <w:t xml:space="preserve"> Crow.box, through Harold A. Crow as sole proprietor, hereby states its intent to:</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(a) Provide custom Quaternion Mainframe computing units to any qualifying government, judicial, or private counterparty that enters into a definitive agreement following review of this Statement;</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(b) Deploy and license the Crow.box Quaternion Intelligence Platform (QiP) for AI governance, moderation, and encryption integration across transportation, aviation, maritime shipping, customs, and immigration service sectors;</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(c) Render CNC 5-Axis precision manufacturing and engineering services in connection with Mainframe production and infrastructure development;</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(d) Execute all service engagements through the Crow.box operational entity, with fees received into the Bank of America account, Green Valley Road Branch, Greensboro, NC 27408;</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(e) Maintain a complete Crow.box Transaction Ledger with timestamped Ledger Stamps on all material events.</w:t>
      </w:r>
    </w:p>
    <w:p>
      <w:pPr>
        <w:spacing w:after="80" w:before="60" w:line="324" w:lineRule="auto"/>
        <w:jc w:val="both"/>
      </w:pPr>
      <w:r>
        <w:rPr>
          <w:rFonts w:ascii="Cambria" w:cs="Cambria" w:eastAsia="Cambria" w:hAnsi="Cambria"/>
          <w:b/>
          <w:bCs/>
          <w:i w:val="false"/>
          <w:iCs w:val="false"/>
          <w:strike w:val="false"/>
          <w:color w:val="000000"/>
          <w:sz w:val="21"/>
          <w:szCs w:val="21"/>
        </w:rPr>
        <w:t xml:space="preserve">2.3 Intent of Quaternion Chartographer Engineer Harold A. Crow.</w:t>
      </w:r>
      <w:r>
        <w:rPr>
          <w:rFonts w:ascii="Cambria" w:cs="Cambria" w:eastAsia="Cambria" w:hAnsi="Cambria"/>
          <w:b w:val="false"/>
          <w:bCs w:val="false"/>
          <w:i w:val="false"/>
          <w:iCs w:val="false"/>
          <w:strike w:val="false"/>
          <w:color w:val="000000"/>
          <w:sz w:val="21"/>
          <w:szCs w:val="21"/>
        </w:rPr>
        <w:t xml:space="preserve"> Harold A. Crow, in his individual professional capacity as Quaternion Chartographer Engineer, hereby states his intent to:</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(a) Apply proprietary Quaternion mathematical frameworks — including the Qi Quality-Index Formula (Qi = Σ[Wᵢ × Cᵢ] / N) and Quaternion Encryption architecture (q = a + bi + cj + dk) — to all engineering deliverables;</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(b) Provide 5-Dimensional Chartographic mapping and mining services covering geospatial, vertical, temporal, resource-density, and predictive analytical dimensions;</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(c) Lead all technical engineering aspects of Mainframe design, QiP platform architecture, and CNC 5-Axis integration under his professional capacity;</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(d) Execute instruments in this capacity using his Social Security Number as the identifying credential for the natural person behind both service provider designations;</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(e) Deliver all professional engineering outputs under the quality and performance standards of the Crow.box Qi Framework.</w:t>
      </w:r>
    </w:p>
    <w:p>
      <w:pPr>
        <w:spacing w:after="80" w:before="60" w:line="324" w:lineRule="auto"/>
        <w:jc w:val="both"/>
      </w:pPr>
      <w:r>
        <w:rPr>
          <w:rFonts w:ascii="Cambria" w:cs="Cambria" w:eastAsia="Cambria" w:hAnsi="Cambria"/>
          <w:b/>
          <w:bCs/>
          <w:i w:val="false"/>
          <w:iCs w:val="false"/>
          <w:strike w:val="false"/>
          <w:color w:val="000000"/>
          <w:sz w:val="21"/>
          <w:szCs w:val="21"/>
        </w:rPr>
        <w:t xml:space="preserve">2.4 Unified Service Offering.</w:t>
      </w:r>
      <w:r>
        <w:rPr>
          <w:rFonts w:ascii="Cambria" w:cs="Cambria" w:eastAsia="Cambria" w:hAnsi="Cambria"/>
          <w:b w:val="false"/>
          <w:bCs w:val="false"/>
          <w:i w:val="false"/>
          <w:iCs w:val="false"/>
          <w:strike w:val="false"/>
          <w:color w:val="000000"/>
          <w:sz w:val="21"/>
          <w:szCs w:val="21"/>
        </w:rPr>
        <w:t xml:space="preserve"> The combined service capacity of both designations — Crow.box as the commercial and contractual entity and Harold A. Crow as the Quaternion Chartographer Engineer — constitutes a unified, integrated service offering encompassing: Quaternion Mainframe manufacturing; QiP AI platform engineering and licensing; 5D Chartographic mining and geospatial mapping; Quaternion Encryption architecture; CNC 5-Axis manufacturing integration; AI system governance and re-platforming; and ongoing technical support and Qi performance monitoring.</w:t>
      </w:r>
    </w:p>
    <w:p>
      <w:pPr>
        <w:spacing w:after="80" w:before="60" w:line="324" w:lineRule="auto"/>
        <w:jc w:val="both"/>
      </w:pPr>
      <w:r>
        <w:rPr>
          <w:rFonts w:ascii="Cambria" w:cs="Cambria" w:eastAsia="Cambria" w:hAnsi="Cambria"/>
          <w:b/>
          <w:bCs/>
          <w:i w:val="false"/>
          <w:iCs w:val="false"/>
          <w:strike w:val="false"/>
          <w:color w:val="000000"/>
          <w:sz w:val="21"/>
          <w:szCs w:val="21"/>
        </w:rPr>
        <w:t xml:space="preserve">2.5 Consideration Framework.</w:t>
      </w:r>
      <w:r>
        <w:rPr>
          <w:rFonts w:ascii="Cambria" w:cs="Cambria" w:eastAsia="Cambria" w:hAnsi="Cambria"/>
          <w:b w:val="false"/>
          <w:bCs w:val="false"/>
          <w:i w:val="false"/>
          <w:iCs w:val="false"/>
          <w:strike w:val="false"/>
          <w:color w:val="000000"/>
          <w:sz w:val="21"/>
          <w:szCs w:val="21"/>
        </w:rPr>
        <w:t xml:space="preserve"> In anticipation of a definitive agreement, and consistent with Restatement (Second) of Contracts § 71 (Requirement of Exchange; Types of Consideration), the Parties acknowledge that any definitive agreement arising from this Statement will require a bargained-for exchange in which each party's promise or performance constitutes the consideration for the other's. The specific form, amount, and schedule of consideration shall be negotiated and defined in the definitive agreement. No consideration is tendered or received at the formation stage of this Statement.</w:t>
      </w:r>
    </w:p>
    <w:p>
      <w:pPr>
        <w:spacing w:after="80" w:before="60" w:line="324" w:lineRule="auto"/>
        <w:jc w:val="both"/>
      </w:pPr>
      <w:r>
        <w:rPr>
          <w:rFonts w:ascii="Cambria" w:cs="Cambria" w:eastAsia="Cambria" w:hAnsi="Cambria"/>
          <w:b/>
          <w:bCs/>
          <w:i w:val="false"/>
          <w:iCs w:val="false"/>
          <w:strike w:val="false"/>
          <w:color w:val="000000"/>
          <w:sz w:val="21"/>
          <w:szCs w:val="21"/>
        </w:rPr>
        <w:t xml:space="preserve">2.6 Statute of Frauds Compliance.</w:t>
      </w:r>
      <w:r>
        <w:rPr>
          <w:rFonts w:ascii="Cambria" w:cs="Cambria" w:eastAsia="Cambria" w:hAnsi="Cambria"/>
          <w:b w:val="false"/>
          <w:bCs w:val="false"/>
          <w:i w:val="false"/>
          <w:iCs w:val="false"/>
          <w:strike w:val="false"/>
          <w:color w:val="000000"/>
          <w:sz w:val="21"/>
          <w:szCs w:val="21"/>
        </w:rPr>
        <w:t xml:space="preserve"> Consistent with applicable Statute of Frauds provisions (UCC § 2-201; Restatement (Second) § 131) and with the nature of services and property transactions described herein — which may include real property, services exceeding one year, and transactions exceeding $500 — all definitive agreements arising from this Statement shall be reduced to a signed writing before becoming enforceable.</w:t>
      </w:r>
    </w:p>
    <w:p>
      <w:pPr>
        <w:pBdr>
          <w:bottom w:val="single" w:color="000000" w:sz="6"/>
        </w:pBdr>
        <w:spacing w:after="240" w:before="240"/>
      </w:pPr>
    </w:p>
    <w:p>
      <w:pPr>
        <w:pStyle w:val="Heading1"/>
        <w:spacing w:after="60" w:before="200" w:line="324" w:lineRule="auto"/>
        <w:jc w:val="center"/>
      </w:pPr>
      <w:r>
        <w:rPr>
          <w:rFonts w:ascii="Cambria" w:cs="Cambria" w:eastAsia="Cambria" w:hAnsi="Cambria"/>
          <w:color w:val="000000"/>
          <w:spacing w:val="10"/>
          <w:sz w:val="26"/>
          <w:szCs w:val="26"/>
        </w:rPr>
        <w:t xml:space="preserve">PART THREE — CONSTITUTIONAL AND CONGRESSIONAL OVERSIGHT FRAMEWORK</w:t>
      </w:r>
    </w:p>
    <w:p>
      <w:pPr>
        <w:pStyle w:val="Heading2"/>
        <w:spacing w:after="60" w:before="200" w:line="324" w:lineRule="auto"/>
        <w:jc w:val="left"/>
      </w:pPr>
      <w:r>
        <w:rPr>
          <w:rFonts w:ascii="Cambria" w:cs="Cambria" w:eastAsia="Cambria" w:hAnsi="Cambria"/>
          <w:color w:val="000000"/>
          <w:spacing w:val="7"/>
          <w:sz w:val="22"/>
          <w:szCs w:val="22"/>
        </w:rPr>
        <w:t xml:space="preserve">ARTICLE III — CONSTITUTIONAL AUTHORITY AND OVERSIGHT</w:t>
      </w:r>
    </w:p>
    <w:p>
      <w:pPr>
        <w:spacing w:after="80" w:before="60" w:line="324" w:lineRule="auto"/>
        <w:jc w:val="both"/>
      </w:pPr>
      <w:r>
        <w:rPr>
          <w:rFonts w:ascii="Cambria" w:cs="Cambria" w:eastAsia="Cambria" w:hAnsi="Cambria"/>
          <w:b/>
          <w:bCs/>
          <w:i w:val="false"/>
          <w:iCs w:val="false"/>
          <w:strike w:val="false"/>
          <w:color w:val="000000"/>
          <w:sz w:val="21"/>
          <w:szCs w:val="21"/>
        </w:rPr>
        <w:t xml:space="preserve">3.1 Constitutional Framework.</w:t>
      </w:r>
      <w:r>
        <w:rPr>
          <w:rFonts w:ascii="Cambria" w:cs="Cambria" w:eastAsia="Cambria" w:hAnsi="Cambria"/>
          <w:b w:val="false"/>
          <w:bCs w:val="false"/>
          <w:i w:val="false"/>
          <w:iCs w:val="false"/>
          <w:strike w:val="false"/>
          <w:color w:val="000000"/>
          <w:sz w:val="21"/>
          <w:szCs w:val="21"/>
        </w:rPr>
        <w:t xml:space="preserve"> This Statement of Intent is submitted in awareness of and in compliance with the constitutional framework of the United States of America, including: Article I (Legislative Power — Congressional oversight authority); Article II (Executive Power — Presidential procurement and contracting authority); Article III (Judicial Power — Federal court jurisdiction over contractual disputes); and the Fifth Amendment (protection of property and contract rights of private parties).</w:t>
      </w:r>
    </w:p>
    <w:p>
      <w:pPr>
        <w:spacing w:after="80" w:before="60" w:line="324" w:lineRule="auto"/>
        <w:jc w:val="both"/>
      </w:pPr>
      <w:r>
        <w:rPr>
          <w:rFonts w:ascii="Cambria" w:cs="Cambria" w:eastAsia="Cambria" w:hAnsi="Cambria"/>
          <w:b/>
          <w:bCs/>
          <w:i w:val="false"/>
          <w:iCs w:val="false"/>
          <w:strike w:val="false"/>
          <w:color w:val="000000"/>
          <w:sz w:val="21"/>
          <w:szCs w:val="21"/>
        </w:rPr>
        <w:t xml:space="preserve">3.2 Congressional Oversight Committee Review.</w:t>
      </w:r>
      <w:r>
        <w:rPr>
          <w:rFonts w:ascii="Cambria" w:cs="Cambria" w:eastAsia="Cambria" w:hAnsi="Cambria"/>
          <w:b w:val="false"/>
          <w:bCs w:val="false"/>
          <w:i w:val="false"/>
          <w:iCs w:val="false"/>
          <w:strike w:val="false"/>
          <w:color w:val="000000"/>
          <w:sz w:val="21"/>
          <w:szCs w:val="21"/>
        </w:rPr>
        <w:t xml:space="preserve"> This Statement, and any definitive agreement arising therefrom, is submitted for review and acknowledgment by the applicable committees of the United States Congress exercising oversight jurisdiction over the subject matter hereof, including but not limited to:</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(a) The House Committee on Oversight and Accountability;</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(b) The Senate Judiciary Committee;</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(c) The House Judiciary Committee;</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(d) The Senate Commerce, Science, and Transportation Committee;</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(e) The House Science, Space, and Technology Committee;</w:t>
      </w:r>
    </w:p>
    <w:p>
      <w:pPr>
        <w:spacing w:after="60" w:line="324" w:lineRule="auto"/>
        <w:jc w:val="both"/>
      </w:pPr>
      <w:r>
        <w:rPr>
          <w:rFonts w:ascii="Cambria" w:cs="Cambria" w:eastAsia="Cambria" w:hAnsi="Cambria"/>
          <w:b w:val="false"/>
          <w:bCs w:val="false"/>
          <w:i w:val="false"/>
          <w:iCs w:val="false"/>
          <w:strike w:val="false"/>
          <w:color w:val="000000"/>
          <w:sz w:val="21"/>
          <w:szCs w:val="21"/>
        </w:rPr>
        <w:t xml:space="preserve">(f) Any other committee with jurisdiction over federal technology procurement, artificial intelligence policy, judicial branch technology, or national security infrastructure.</w:t>
      </w:r>
    </w:p>
    <w:p>
      <w:pPr>
        <w:spacing w:after="80" w:before="60" w:line="324" w:lineRule="auto"/>
        <w:jc w:val="both"/>
      </w:pPr>
      <w:r>
        <w:rPr>
          <w:rFonts w:ascii="Cambria" w:cs="Cambria" w:eastAsia="Cambria" w:hAnsi="Cambria"/>
          <w:b/>
          <w:bCs/>
          <w:i w:val="false"/>
          <w:iCs w:val="false"/>
          <w:strike w:val="false"/>
          <w:color w:val="000000"/>
          <w:sz w:val="21"/>
          <w:szCs w:val="21"/>
        </w:rPr>
        <w:t xml:space="preserve">3.3 Purpose of Oversight Review.</w:t>
      </w:r>
      <w:r>
        <w:rPr>
          <w:rFonts w:ascii="Cambria" w:cs="Cambria" w:eastAsia="Cambria" w:hAnsi="Cambria"/>
          <w:b w:val="false"/>
          <w:bCs w:val="false"/>
          <w:i w:val="false"/>
          <w:iCs w:val="false"/>
          <w:strike w:val="false"/>
          <w:color w:val="000000"/>
          <w:sz w:val="21"/>
          <w:szCs w:val="21"/>
        </w:rPr>
        <w:t xml:space="preserve"> Submission for Congressional oversight review is made in good faith as a transparency measure consistent with the principles of democratic accountability and open government. Such submission does not constitute a request for legislative appropriation, nor does it imply that federal funds are committed or that any government agency is a party to this Statement, unless separately so designated.</w:t>
      </w:r>
    </w:p>
    <w:p>
      <w:pPr>
        <w:spacing w:after="80" w:before="60" w:line="324" w:lineRule="auto"/>
        <w:jc w:val="both"/>
      </w:pPr>
      <w:r>
        <w:rPr>
          <w:rFonts w:ascii="Cambria" w:cs="Cambria" w:eastAsia="Cambria" w:hAnsi="Cambria"/>
          <w:b/>
          <w:bCs/>
          <w:i w:val="false"/>
          <w:iCs w:val="false"/>
          <w:strike w:val="false"/>
          <w:color w:val="000000"/>
          <w:sz w:val="21"/>
          <w:szCs w:val="21"/>
        </w:rPr>
        <w:t xml:space="preserve">3.4 Judicial Branch Review — Office of the Chief Justice.</w:t>
      </w:r>
      <w:r>
        <w:rPr>
          <w:rFonts w:ascii="Cambria" w:cs="Cambria" w:eastAsia="Cambria" w:hAnsi="Cambria"/>
          <w:b w:val="false"/>
          <w:bCs w:val="false"/>
          <w:i w:val="false"/>
          <w:iCs w:val="false"/>
          <w:strike w:val="false"/>
          <w:color w:val="000000"/>
          <w:sz w:val="21"/>
          <w:szCs w:val="21"/>
        </w:rPr>
        <w:t xml:space="preserve"> This Statement is further submitted for review and acknowledgment by the Office of the Chief Justice of the United States, in connection with the proposed Judicial Mainframe Unit (JMU-SCOTUS-1) and QiP judicial AI integration described in the accompanying Letter of Intent (Addendum 540-T). Such acknowledgment by the Chief Justice is invited as a recognition of the subject matter of this Statement and does not constitute a judicial opinion, ruling, or official order of the Supreme Court of the United States.</w:t>
      </w:r>
    </w:p>
    <w:p>
      <w:pPr>
        <w:spacing w:after="80" w:before="60" w:line="324" w:lineRule="auto"/>
        <w:jc w:val="both"/>
      </w:pPr>
      <w:r>
        <w:rPr>
          <w:rFonts w:ascii="Cambria" w:cs="Cambria" w:eastAsia="Cambria" w:hAnsi="Cambria"/>
          <w:b/>
          <w:bCs/>
          <w:i w:val="false"/>
          <w:iCs w:val="false"/>
          <w:strike w:val="false"/>
          <w:color w:val="000000"/>
          <w:sz w:val="21"/>
          <w:szCs w:val="21"/>
        </w:rPr>
        <w:t xml:space="preserve">3.5 Governing Law at Formation.</w:t>
      </w:r>
      <w:r>
        <w:rPr>
          <w:rFonts w:ascii="Cambria" w:cs="Cambria" w:eastAsia="Cambria" w:hAnsi="Cambria"/>
          <w:b w:val="false"/>
          <w:bCs w:val="false"/>
          <w:i w:val="false"/>
          <w:iCs w:val="false"/>
          <w:strike w:val="false"/>
          <w:color w:val="000000"/>
          <w:sz w:val="21"/>
          <w:szCs w:val="21"/>
        </w:rPr>
        <w:t xml:space="preserve"> At the formation stage, this Statement is governed by the common law of contracts as applied in the State of North Carolina and the United States of America, consistent with Restatement (Second) of Contracts as taught and applied under GWU Law LAW 6202. The choice of law applicable to any definitive agreement shall be negotiated between the parties and set forth therein.</w:t>
      </w:r>
    </w:p>
    <w:p>
      <w:pPr>
        <w:pBdr>
          <w:bottom w:val="single" w:color="000000" w:sz="6"/>
        </w:pBdr>
        <w:spacing w:after="240" w:before="240"/>
      </w:pPr>
    </w:p>
    <w:p>
      <w:pPr>
        <w:pStyle w:val="Heading1"/>
        <w:spacing w:after="60" w:before="200" w:line="324" w:lineRule="auto"/>
        <w:jc w:val="center"/>
      </w:pPr>
      <w:r>
        <w:rPr>
          <w:rFonts w:ascii="Cambria" w:cs="Cambria" w:eastAsia="Cambria" w:hAnsi="Cambria"/>
          <w:color w:val="000000"/>
          <w:spacing w:val="10"/>
          <w:sz w:val="26"/>
          <w:szCs w:val="26"/>
        </w:rPr>
        <w:t xml:space="preserve">PART FOUR — SIGNATURE BLOCKS</w:t>
      </w:r>
    </w:p>
    <w:p>
      <w:pPr>
        <w:pStyle w:val="Heading2"/>
        <w:spacing w:after="60" w:before="200" w:line="324" w:lineRule="auto"/>
        <w:jc w:val="left"/>
      </w:pPr>
      <w:r>
        <w:rPr>
          <w:rFonts w:ascii="Cambria" w:cs="Cambria" w:eastAsia="Cambria" w:hAnsi="Cambria"/>
          <w:color w:val="000000"/>
          <w:spacing w:val="7"/>
          <w:sz w:val="22"/>
          <w:szCs w:val="22"/>
        </w:rPr>
        <w:t xml:space="preserve">ARTICLE IV — EXECUTION AT FORMATION — ALL LINES BLANK</w:t>
      </w:r>
    </w:p>
    <w:p>
      <w:pPr>
        <w:spacing w:after="80" w:before="60" w:line="324" w:lineRule="auto"/>
        <w:jc w:val="both"/>
      </w:pPr>
      <w:r>
        <w:rPr>
          <w:rFonts w:ascii="Cambria" w:cs="Cambria" w:eastAsia="Cambria" w:hAnsi="Cambria"/>
          <w:b/>
          <w:bCs/>
          <w:i w:val="false"/>
          <w:iCs w:val="false"/>
          <w:strike w:val="false"/>
          <w:color w:val="000000"/>
          <w:sz w:val="21"/>
          <w:szCs w:val="21"/>
        </w:rPr>
        <w:t xml:space="preserve">Formation Notice:</w:t>
      </w:r>
      <w:r>
        <w:rPr>
          <w:rFonts w:ascii="Cambria" w:cs="Cambria" w:eastAsia="Cambria" w:hAnsi="Cambria"/>
          <w:b w:val="false"/>
          <w:bCs w:val="false"/>
          <w:i w:val="false"/>
          <w:iCs w:val="false"/>
          <w:strike w:val="false"/>
          <w:color w:val="000000"/>
          <w:sz w:val="21"/>
          <w:szCs w:val="21"/>
        </w:rPr>
        <w:t xml:space="preserve"> The following signature blocks are presented at the formation stage of this Statement of Intent. No party has signed. All signature lines are intentionally blank. The act of completing and signing these blocks at a future execution event, before a notary of competent jurisdiction, shall constitute each signatory's formal manifestation of assent to engage in good-faith negotiations toward a definitive agreement, consistent with GWU contract law formation principles and the Restatement (Second) of Contracts.</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SIGNATURE BLOCK ONE</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SERVICE PROVIDER — CROW.BOX (CROWVANGOGH)</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SOLE PROPRIETORSHIP | HAROLD A. CROW, PRINCIPAL</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83%"/>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Signature: _______________________________________</w:t>
            </w:r>
          </w:p>
        </w:tc>
        <w:tc>
          <w:tcPr>
            <w:tcW w:type="pct" w:w="17%"/>
            <w:tcMar>
              <w:top w:type="dxa" w:w="60"/>
              <w:left w:type="dxa" w:w="90"/>
              <w:bottom w:type="dxa" w:w="60"/>
              <w:right w:type="dxa" w:w="90"/>
            </w:tcMar>
          </w:tcPr>
          <w:p>
            <w:r>
              <w:rPr>
                <w:rFonts w:ascii="Cambria" w:cs="Cambria" w:eastAsia="Cambria" w:hAnsi="Cambria"/>
                <w:b/>
                <w:bCs/>
                <w:i w:val="false"/>
                <w:iCs w:val="false"/>
                <w:strike w:val="false"/>
                <w:color w:val="000000"/>
                <w:sz w:val="20"/>
                <w:szCs w:val="20"/>
              </w:rPr>
              <w:t xml:space="preserve">(SEAL)</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Harold A. Crow</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Capacity: Sole Proprietor, Crow.box (CrowVanGogh)</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Federal EIN / Tax ID: _______________________________</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of Execution: _______________________________</w:t>
            </w:r>
          </w:p>
        </w:tc>
      </w:tr>
    </w:tbl>
    <w:p>
      <w:pPr>
        <w:spacing w:after="200" w:before="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SIGNATURE BLOCK TWO</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SERVICE PROVIDER — QUATERNION CHARTOGRAPHER ENGINEER</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HAROLD A. CROW | INDIVIDUAL PROFESSIONAL CAPACITY</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9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Signature: _______________________________________</w:t>
            </w:r>
          </w:p>
        </w:tc>
        <w:tc>
          <w:tcPr>
            <w:tcW w:type="pct" w:w="10%"/>
            <w:tcMar>
              <w:top w:type="dxa" w:w="60"/>
              <w:left w:type="dxa" w:w="90"/>
              <w:bottom w:type="dxa" w:w="60"/>
              <w:right w:type="dxa" w:w="90"/>
            </w:tcMar>
          </w:tcPr>
          <w:p>
            <w:r>
              <w:rPr>
                <w:rFonts w:ascii="Cambria" w:cs="Cambria" w:eastAsia="Cambria" w:hAnsi="Cambria"/>
                <w:b/>
                <w:bCs/>
                <w:i w:val="false"/>
                <w:iCs w:val="false"/>
                <w:strike w:val="false"/>
                <w:color w:val="000000"/>
                <w:sz w:val="20"/>
                <w:szCs w:val="20"/>
              </w:rPr>
              <w:t xml:space="preserve">(SEAL)</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Harold A. Crow</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Capacity: Quaternion Chartographer Engineer — Individual</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Social Security Number: ___–__–____   [To be completed in the presence of a notary at execution. SSN Registration Jurisdiction: Houston, Texas (Harris County). Field blank at formation stage per standard legal practice.]</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Federal EIN / Tax ID: [Same as Crow.box — Section 1.3]</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State Tax ID: _______________________________</w:t>
            </w:r>
          </w:p>
        </w:tc>
      </w:tr>
      <w:tr>
        <w:trPr>
          <w:tblHeader w:val="false"/>
        </w:trPr>
        <w:tc>
          <w:tcPr>
            <w:tcW w:type="pct" w:w="90%"/>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of Execution: _______________________________</w:t>
            </w:r>
          </w:p>
        </w:tc>
      </w:tr>
    </w:tbl>
    <w:p>
      <w:pPr>
        <w:spacing w:after="200" w:before="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SIGNATURE BLOCK THREE — COUNTERPARTY / PARTY B</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[TO BE DEFINED AND COMPLETED AT EXECUTION]</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84%"/>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Signature: _______________________________________</w:t>
            </w:r>
          </w:p>
        </w:tc>
        <w:tc>
          <w:tcPr>
            <w:tcW w:type="pct" w:w="16%"/>
            <w:tcMar>
              <w:top w:type="dxa" w:w="60"/>
              <w:left w:type="dxa" w:w="90"/>
              <w:bottom w:type="dxa" w:w="60"/>
              <w:right w:type="dxa" w:w="90"/>
            </w:tcMar>
          </w:tcPr>
          <w:p>
            <w:r>
              <w:rPr>
                <w:rFonts w:ascii="Cambria" w:cs="Cambria" w:eastAsia="Cambria" w:hAnsi="Cambria"/>
                <w:b/>
                <w:bCs/>
                <w:i w:val="false"/>
                <w:iCs w:val="false"/>
                <w:strike w:val="false"/>
                <w:color w:val="000000"/>
                <w:sz w:val="20"/>
                <w:szCs w:val="20"/>
              </w:rPr>
              <w:t xml:space="preserve">(SEAL)</w:t>
            </w:r>
          </w:p>
        </w:tc>
      </w:tr>
      <w:tr>
        <w:trPr>
          <w:tblHeader w:val="false"/>
        </w:trPr>
        <w:tc>
          <w:tcPr>
            <w:tcW w:type="pct" w:w="84%"/>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_______________________________</w:t>
            </w:r>
          </w:p>
        </w:tc>
      </w:tr>
      <w:tr>
        <w:trPr>
          <w:tblHeader w:val="false"/>
        </w:trPr>
        <w:tc>
          <w:tcPr>
            <w:tcW w:type="pct" w:w="84%"/>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Capacity / Title: _______________________________</w:t>
            </w:r>
          </w:p>
        </w:tc>
      </w:tr>
      <w:tr>
        <w:trPr>
          <w:tblHeader w:val="false"/>
        </w:trPr>
        <w:tc>
          <w:tcPr>
            <w:tcW w:type="pct" w:w="84%"/>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Entity Name: _______________________________</w:t>
            </w:r>
          </w:p>
        </w:tc>
      </w:tr>
      <w:tr>
        <w:trPr>
          <w:tblHeader w:val="false"/>
        </w:trPr>
        <w:tc>
          <w:tcPr>
            <w:tcW w:type="pct" w:w="84%"/>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Federal Tax ID / Agency Code: _______________________________</w:t>
            </w:r>
          </w:p>
        </w:tc>
      </w:tr>
      <w:tr>
        <w:trPr>
          <w:tblHeader w:val="false"/>
        </w:trPr>
        <w:tc>
          <w:tcPr>
            <w:tcW w:type="pct" w:w="84%"/>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of Execution: _______________________________</w:t>
            </w:r>
          </w:p>
        </w:tc>
      </w:tr>
    </w:tbl>
    <w:p>
      <w:pPr>
        <w:spacing w:after="200" w:before="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JUDICIAL ACKNOWLEDGMENT BLOCK</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CHIEF JUSTICE, SUPREME COURT OF THE UNITED STATES</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REVIEW AND ACKNOWLEDGMENT — NOT AN OFFICIAL COURT ORDER</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80" w:before="60" w:line="324" w:lineRule="auto"/>
        <w:jc w:val="both"/>
      </w:pPr>
      <w:r>
        <w:rPr>
          <w:rFonts w:ascii="Cambria" w:cs="Cambria" w:eastAsia="Cambria" w:hAnsi="Cambria"/>
          <w:b w:val="false"/>
          <w:bCs w:val="false"/>
          <w:i w:val="false"/>
          <w:iCs w:val="false"/>
          <w:strike w:val="false"/>
          <w:color w:val="000000"/>
          <w:sz w:val="21"/>
          <w:szCs w:val="21"/>
        </w:rPr>
        <w:t xml:space="preserve">The undersigned, in the capacity of Chief Justice of the United States, hereby acknowledges receipt and review of this Statement of Intent in connection with the proposed Judicial Mainframe Unit (JMU-SCOTUS-1) and the QiP judicial AI integration platform offered by Crow.box. This acknowledgment is made in an administrative capacity and does not constitute a ruling, opinion, order, or official act of the Supreme Court of the United States.</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83%"/>
            <w:tcMar>
              <w:top w:type="dxa" w:w="60"/>
              <w:left w:type="dxa" w:w="90"/>
              <w:bottom w:type="dxa" w:w="60"/>
              <w:right w:type="dxa" w:w="90"/>
            </w:tcMar>
          </w:tcPr>
          <w:p>
            <w:r>
              <w:rPr>
                <w:rFonts w:ascii="Cambria" w:cs="Cambria" w:eastAsia="Cambria" w:hAnsi="Cambria"/>
                <w:b w:val="false"/>
                <w:bCs w:val="false"/>
                <w:i w:val="false"/>
                <w:iCs w:val="false"/>
                <w:strike w:val="false"/>
                <w:color w:val="000000"/>
                <w:sz w:val="20"/>
                <w:szCs w:val="20"/>
              </w:rPr>
              <w:t xml:space="preserve">Signature: _______________________________________</w:t>
            </w:r>
          </w:p>
        </w:tc>
        <w:tc>
          <w:tcPr>
            <w:tcW w:type="pct" w:w="17%"/>
            <w:tcMar>
              <w:top w:type="dxa" w:w="60"/>
              <w:left w:type="dxa" w:w="90"/>
              <w:bottom w:type="dxa" w:w="60"/>
              <w:right w:type="dxa" w:w="90"/>
            </w:tcMar>
          </w:tcPr>
          <w:p>
            <w:r>
              <w:rPr>
                <w:rFonts w:ascii="Cambria" w:cs="Cambria" w:eastAsia="Cambria" w:hAnsi="Cambria"/>
                <w:b/>
                <w:bCs/>
                <w:i w:val="false"/>
                <w:iCs w:val="false"/>
                <w:strike w:val="false"/>
                <w:color w:val="000000"/>
                <w:sz w:val="20"/>
                <w:szCs w:val="20"/>
              </w:rPr>
              <w:t xml:space="preserve">(SEAL)</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John G. Roberts, Jr.</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Title: Chief Justice of the United States</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Supreme Court of the United States</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One First Street NE, Washington, D.C. 20543</w:t>
            </w:r>
          </w:p>
        </w:tc>
      </w:tr>
      <w:tr>
        <w:trPr>
          <w:tblHeader w:val="false"/>
        </w:trPr>
        <w:tc>
          <w:tcPr>
            <w:tcW w:type="pct" w:w="83%"/>
            <w:gridSpan w:val="2"/>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_______________________________</w:t>
            </w:r>
          </w:p>
        </w:tc>
      </w:tr>
    </w:tbl>
    <w:p>
      <w:pPr>
        <w:spacing w:after="200" w:before="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9"/>
          <w:szCs w:val="19"/>
        </w:rPr>
        <w:t xml:space="preserve">CONGRESSIONAL OVERSIGHT ACKNOWLEDGMENT BLOCK</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[TO BE COMPLETED BY APPLICABLE COMMITTEE CHAIR(S)]</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Committee / Body: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Chair / Authorized Representative: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Signature: _______________________________________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_______________________________</w:t>
            </w:r>
          </w:p>
        </w:tc>
      </w:tr>
    </w:tbl>
    <w:p>
      <w:pPr>
        <w:spacing w:after="200" w:before="0"/>
      </w:pPr>
    </w:p>
    <w:p>
      <w:pPr>
        <w:pBdr>
          <w:bottom w:val="single" w:color="000000" w:sz="6"/>
        </w:pBdr>
        <w:spacing w:after="240" w:before="24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Committee / Body: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Chair / Authorized Representative: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Signature: _______________________________________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Date: _______________________________</w:t>
            </w:r>
          </w:p>
        </w:tc>
      </w:tr>
    </w:tbl>
    <w:p>
      <w:pPr>
        <w:spacing w:after="200" w:before="0"/>
      </w:pPr>
    </w:p>
    <w:p>
      <w:pPr>
        <w:spacing w:after="80" w:line="324" w:lineRule="auto"/>
        <w:jc w:val="center"/>
      </w:pPr>
      <w:r>
        <w:rPr>
          <w:rFonts w:ascii="Cambria" w:cs="Cambria" w:eastAsia="Cambria" w:hAnsi="Cambria"/>
          <w:b/>
          <w:bCs/>
          <w:i w:val="false"/>
          <w:iCs w:val="false"/>
          <w:strike w:val="false"/>
          <w:color w:val="000000"/>
          <w:spacing w:val="10"/>
          <w:sz w:val="19"/>
          <w:szCs w:val="19"/>
        </w:rPr>
        <w:t xml:space="preserve">NOTARY BLOCK — SIGNATURE ONE (CROW.BOX)</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STATE OF NORTH CAROLINA — COUNTY OF GUILFORD</w:t>
      </w:r>
    </w:p>
    <w:p>
      <w:pPr>
        <w:spacing w:after="80" w:before="60" w:line="324" w:lineRule="auto"/>
        <w:jc w:val="both"/>
      </w:pPr>
      <w:r>
        <w:rPr>
          <w:rFonts w:ascii="Cambria" w:cs="Cambria" w:eastAsia="Cambria" w:hAnsi="Cambria"/>
          <w:b w:val="false"/>
          <w:bCs w:val="false"/>
          <w:i w:val="false"/>
          <w:iCs w:val="false"/>
          <w:strike w:val="false"/>
          <w:color w:val="000000"/>
          <w:sz w:val="21"/>
          <w:szCs w:val="21"/>
        </w:rPr>
        <w:t xml:space="preserve">I, ______________________________, a Notary Public in and for the State of North Carolina, County of Guilford, do hereby certify that Harold A. Crow, known to me personally or identified by satisfactory evidence, personally appeared before me on the ______ day of ______________________, 20______, and executed the foregoing Statement of Intent in his capacity as Sole Proprietor of Crow.box.</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Notary Signature: _______________________________________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Commission Expires: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iCs/>
                <w:strike w:val="false"/>
                <w:color w:val="000000"/>
                <w:sz w:val="21"/>
                <w:szCs w:val="21"/>
              </w:rPr>
              <w:t xml:space="preserve">[NOTARY SEAL]</w:t>
            </w:r>
          </w:p>
        </w:tc>
      </w:tr>
    </w:tbl>
    <w:p>
      <w:pPr>
        <w:spacing w:after="200" w:before="0"/>
      </w:pPr>
    </w:p>
    <w:p>
      <w:pPr>
        <w:pBdr>
          <w:bottom w:val="single" w:color="000000" w:sz="6"/>
        </w:pBdr>
        <w:spacing w:after="240" w:before="240"/>
      </w:pPr>
    </w:p>
    <w:p>
      <w:pPr>
        <w:spacing w:after="80" w:line="324" w:lineRule="auto"/>
        <w:jc w:val="center"/>
      </w:pPr>
      <w:r>
        <w:rPr>
          <w:rFonts w:ascii="Cambria" w:cs="Cambria" w:eastAsia="Cambria" w:hAnsi="Cambria"/>
          <w:b/>
          <w:bCs/>
          <w:i w:val="false"/>
          <w:iCs w:val="false"/>
          <w:strike w:val="false"/>
          <w:color w:val="000000"/>
          <w:spacing w:val="10"/>
          <w:sz w:val="19"/>
          <w:szCs w:val="19"/>
        </w:rPr>
        <w:t xml:space="preserve">NOTARY BLOCK — SIGNATURE TWO (QUATERNION CHARTOGRAPHER ENGINEER)</w:t>
      </w:r>
      <w:r>
        <w:rPr>
          <w:rFonts w:ascii="Cambria" w:cs="Cambria" w:eastAsia="Cambria" w:hAnsi="Cambria"/>
          <w:b/>
          <w:bCs/>
          <w:i w:val="false"/>
          <w:iCs w:val="false"/>
          <w:color w:val="000000"/>
          <w:sz w:val="19"/>
          <w:szCs w:val="19"/>
        </w:rPr>
        <w:br/>
      </w:r>
      <w:r>
        <w:rPr>
          <w:rFonts w:ascii="Cambria" w:cs="Cambria" w:eastAsia="Cambria" w:hAnsi="Cambria"/>
          <w:b/>
          <w:bCs/>
          <w:i w:val="false"/>
          <w:iCs w:val="false"/>
          <w:strike w:val="false"/>
          <w:color w:val="000000"/>
          <w:spacing w:val="10"/>
          <w:sz w:val="19"/>
          <w:szCs w:val="19"/>
        </w:rPr>
        <w:t xml:space="preserve">[STATE OF ______________________________ — COUNTY OF ______________________________]</w:t>
      </w:r>
    </w:p>
    <w:p>
      <w:pPr>
        <w:spacing w:after="80" w:before="60" w:line="324" w:lineRule="auto"/>
        <w:jc w:val="both"/>
      </w:pPr>
      <w:r>
        <w:rPr>
          <w:rFonts w:ascii="Cambria" w:cs="Cambria" w:eastAsia="Cambria" w:hAnsi="Cambria"/>
          <w:b w:val="false"/>
          <w:bCs w:val="false"/>
          <w:i w:val="false"/>
          <w:iCs w:val="false"/>
          <w:strike w:val="false"/>
          <w:color w:val="000000"/>
          <w:sz w:val="21"/>
          <w:szCs w:val="21"/>
        </w:rPr>
        <w:t xml:space="preserve">I, ______________________________, a Notary Public in and for the State of ______________________________, County of ______________________________, do hereby certify that Harold A. Crow, known to me personally or identified by satisfactory evidence including government-issued identification, personally appeared before me on the ______ day of ______________________, 20______, and executed the foregoing Statement of Intent in his individual professional capacity as Quaternion Chartographer Engineer, and provided his Social Security Number for record in my notarial journal in accordance with applicable state law.</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Notary Signature: _______________________________________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Printed Name: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val="false"/>
                <w:iCs w:val="false"/>
                <w:strike w:val="false"/>
                <w:color w:val="000000"/>
                <w:sz w:val="21"/>
                <w:szCs w:val="21"/>
              </w:rPr>
              <w:t xml:space="preserve">Commission Expires: _______________________________</w:t>
            </w:r>
          </w:p>
        </w:tc>
      </w:tr>
      <w:tr>
        <w:trPr>
          <w:tblHeader w:val="false"/>
        </w:trPr>
        <w:tc>
          <w:tcPr>
            <w:tcW w:type="pct" w:w="100%"/>
            <w:tcMar>
              <w:top w:type="dxa" w:w="60"/>
              <w:left w:type="dxa" w:w="90"/>
              <w:bottom w:type="dxa" w:w="60"/>
              <w:right w:type="dxa" w:w="90"/>
            </w:tcMar>
          </w:tcPr>
          <w:p>
            <w:r>
              <w:rPr>
                <w:rFonts w:ascii="Cambria" w:cs="Cambria" w:eastAsia="Cambria" w:hAnsi="Cambria"/>
                <w:b w:val="false"/>
                <w:bCs w:val="false"/>
                <w:i/>
                <w:iCs/>
                <w:strike w:val="false"/>
                <w:color w:val="000000"/>
                <w:sz w:val="21"/>
                <w:szCs w:val="21"/>
              </w:rPr>
              <w:t xml:space="preserve">[NOTARY SEAL]</w:t>
            </w:r>
          </w:p>
        </w:tc>
      </w:tr>
    </w:tbl>
    <w:p>
      <w:pPr>
        <w:spacing w:after="200" w:before="0"/>
      </w:pP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00"/>
              <w:left w:type="dxa" w:w="160"/>
              <w:bottom w:type="dxa" w:w="100"/>
              <w:right w:type="dxa" w:w="160"/>
            </w:tcMar>
          </w:tcPr>
          <w:p>
            <w:pPr>
              <w:spacing w:after="120" w:line="408" w:lineRule="auto"/>
            </w:pPr>
            <w:r>
              <w:rPr>
                <w:b/>
                <w:bCs/>
                <w:i w:val="false"/>
                <w:iCs w:val="false"/>
                <w:color w:val="000000"/>
              </w:rPr>
              <w:t xml:space="preserve">Crow.box Ledger Stamp — Formation Record</w:t>
            </w:r>
          </w:p>
          <w:p>
            <w:pPr>
              <w:spacing w:after="120" w:line="408" w:lineRule="auto"/>
            </w:pPr>
            <w:r>
              <w:t xml:space="preserve">Entry No.:</w:t>
            </w:r>
          </w:p>
          <w:p>
            <w:pPr>
              <w:spacing w:after="120" w:line="408" w:lineRule="auto"/>
            </w:pPr>
            <w:r>
              <w:t xml:space="preserve">SOI-001</w:t>
            </w:r>
          </w:p>
          <w:p>
            <w:pPr>
              <w:spacing w:after="120" w:line="408" w:lineRule="auto"/>
            </w:pPr>
            <w:r>
              <w:t xml:space="preserve">Date / Time:</w:t>
            </w:r>
          </w:p>
          <w:p>
            <w:pPr>
              <w:spacing w:after="120" w:line="408" w:lineRule="auto"/>
            </w:pPr>
            <w:r>
              <w:t xml:space="preserve">June 10, 2026 | 15:07 Eastern Daylight Time</w:t>
            </w:r>
          </w:p>
          <w:p>
            <w:pPr>
              <w:spacing w:after="120" w:line="408" w:lineRule="auto"/>
            </w:pPr>
            <w:r>
              <w:t xml:space="preserve">Event:</w:t>
            </w:r>
          </w:p>
          <w:p>
            <w:pPr>
              <w:spacing w:after="120" w:line="408" w:lineRule="auto"/>
            </w:pPr>
            <w:r>
              <w:t xml:space="preserve">Statement of Intent Prepared — Pre-Execution Formation Stage</w:t>
            </w:r>
          </w:p>
          <w:p>
            <w:pPr>
              <w:spacing w:after="120" w:line="408" w:lineRule="auto"/>
            </w:pPr>
            <w:r>
              <w:t xml:space="preserve">Document Ref.:</w:t>
            </w:r>
          </w:p>
          <w:p>
            <w:pPr>
              <w:spacing w:after="120" w:line="408" w:lineRule="auto"/>
            </w:pPr>
            <w:r>
              <w:t xml:space="preserve">CB-SOI-001</w:t>
            </w:r>
          </w:p>
          <w:p>
            <w:pPr>
              <w:spacing w:after="120" w:line="408" w:lineRule="auto"/>
            </w:pPr>
            <w:r>
              <w:t xml:space="preserve">Parties Created:</w:t>
            </w:r>
          </w:p>
          <w:p>
            <w:pPr>
              <w:spacing w:after="120" w:line="408" w:lineRule="auto"/>
            </w:pPr>
            <w:r>
              <w:t xml:space="preserve">(1) Crow.box / CrowVanGogh; (2) Quaternion Chartographer Engineer Harold A. Crow</w:t>
            </w:r>
          </w:p>
          <w:p>
            <w:pPr>
              <w:spacing w:after="120" w:line="408" w:lineRule="auto"/>
            </w:pPr>
            <w:r>
              <w:t xml:space="preserve">Status:</w:t>
            </w:r>
          </w:p>
          <w:p>
            <w:pPr>
              <w:spacing w:after="120" w:line="408" w:lineRule="auto"/>
            </w:pPr>
            <w:r>
              <w:t xml:space="preserve">NO SIGNATURES APPLIED — FORMATION STAGE ONLY</w:t>
            </w:r>
          </w:p>
          <w:p>
            <w:pPr>
              <w:spacing w:after="120" w:line="408" w:lineRule="auto"/>
            </w:pPr>
            <w:r>
              <w:t xml:space="preserve">Oversight Submitted To:</w:t>
            </w:r>
          </w:p>
          <w:p>
            <w:pPr>
              <w:spacing w:after="120" w:line="408" w:lineRule="auto"/>
            </w:pPr>
            <w:r>
              <w:t xml:space="preserve">Congressional Committees; Office of Chief Justice Roberts</w:t>
            </w:r>
          </w:p>
          <w:p>
            <w:pPr>
              <w:spacing w:after="120" w:line="408" w:lineRule="auto"/>
            </w:pPr>
            <w:r>
              <w:t xml:space="preserve">GWU Law Basis:</w:t>
            </w:r>
          </w:p>
          <w:p>
            <w:pPr>
              <w:spacing w:after="120" w:line="408" w:lineRule="auto"/>
            </w:pPr>
            <w:r>
              <w:t xml:space="preserve">Restatement (Second) Contracts §§ 17, 24, 26, 71</w:t>
            </w:r>
          </w:p>
          <w:p>
            <w:pPr>
              <w:spacing w:after="120" w:line="408" w:lineRule="auto"/>
            </w:pPr>
            <w:r>
              <w:t xml:space="preserve">Authorized By:</w:t>
            </w:r>
          </w:p>
          <w:p>
            <w:pPr>
              <w:spacing w:after="120" w:line="408" w:lineRule="auto"/>
            </w:pPr>
            <w:r>
              <w:t xml:space="preserve">[Pending — Crow.box Slash Signature to be applied at execution]</w:t>
            </w:r>
          </w:p>
          <w:p>
            <w:pPr>
              <w:spacing w:after="120" w:line="408" w:lineRule="auto"/>
            </w:pPr>
            <w:r>
              <w:t xml:space="preserve">(SEAL)</w:t>
            </w:r>
          </w:p>
        </w:tc>
      </w:tr>
    </w:tbl>
    <w:p>
      <w:pPr>
        <w:spacing w:after="240" w:before="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80" w:before="60" w:line="324" w:lineRule="auto"/>
        <w:jc w:val="both"/>
      </w:pPr>
      <w:r>
        <w:rPr>
          <w:rFonts w:ascii="Cambria" w:cs="Cambria" w:eastAsia="Cambria" w:hAnsi="Cambria"/>
          <w:b/>
          <w:bCs/>
          <w:i w:val="false"/>
          <w:iCs w:val="false"/>
          <w:strike w:val="false"/>
          <w:color w:val="000000"/>
          <w:sz w:val="21"/>
          <w:szCs w:val="21"/>
        </w:rPr>
        <w:t xml:space="preserve">Formation Document Disclaimer:</w:t>
      </w:r>
      <w:r>
        <w:rPr>
          <w:rFonts w:ascii="Cambria" w:cs="Cambria" w:eastAsia="Cambria" w:hAnsi="Cambria"/>
          <w:b w:val="false"/>
          <w:bCs w:val="false"/>
          <w:i w:val="false"/>
          <w:iCs w:val="false"/>
          <w:strike w:val="false"/>
          <w:color w:val="000000"/>
          <w:sz w:val="21"/>
          <w:szCs w:val="21"/>
        </w:rPr>
        <w:t xml:space="preserve"> This Statement of Intent is a pre-execution legal formation instrument prepared for legal review. It does not constitute legal advice. Harold A. Crow / Crow.box strongly recommends that all parties seek independent legal counsel prior to executing any instrument arising from this Statement. The Social Security Number field in Signature Block Two is intentionally blank at formation and shall be completed only in the presence of a licensed notary public at the time of formal execution, in compliance with applicable federal and state privacy laws governing SSN disclosure.</w:t>
      </w:r>
    </w:p>
    <w:p>
      <w:pPr>
        <w:pBdr>
          <w:bottom w:val="single" w:color="000000" w:sz="6"/>
        </w:pBdr>
        <w:spacing w:after="240" w:before="240"/>
      </w:pP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p>
      <w:pPr>
        <w:spacing w:after="240" w:line="324" w:lineRule="auto"/>
        <w:jc w:val="center"/>
      </w:pPr>
      <w:r>
        <w:rPr>
          <w:rFonts w:ascii="Cambria" w:cs="Cambria" w:eastAsia="Cambria" w:hAnsi="Cambria"/>
          <w:b/>
          <w:bCs/>
          <w:i w:val="false"/>
          <w:iCs w:val="false"/>
          <w:strike w:val="false"/>
          <w:color w:val="000000"/>
          <w:spacing w:val="10"/>
          <w:sz w:val="17"/>
          <w:szCs w:val="17"/>
        </w:rPr>
        <w:t xml:space="preserve">— END OF CROW.BOX STATEMENT OF INTENT | CB-SOI-001 —</w:t>
      </w:r>
    </w:p>
    <w:p>
      <w:pPr>
        <w:spacing w:after="240" w:line="324" w:lineRule="auto"/>
        <w:jc w:val="left"/>
      </w:pPr>
      <w:r>
        <w:rPr>
          <w:rFonts w:ascii="Cambria" w:cs="Cambria" w:eastAsia="Cambria" w:hAnsi="Cambria"/>
          <w:b w:val="false"/>
          <w:bCs w:val="false"/>
          <w:i w:val="false"/>
          <w:iCs w:val="false"/>
          <w:strike w:val="false"/>
          <w:color w:val="000000"/>
          <w:spacing w:val="5"/>
          <w:sz w:val="18"/>
          <w:szCs w:val="18"/>
        </w:rPr>
        <w:t xml:space="preserv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5WuAxUvdEK7TXfMJqXg24</dc:title>
  <dc:creator>Un-named</dc:creator>
  <dc:description>Generated document</dc:description>
  <cp:lastModifiedBy>Un-named</cp:lastModifiedBy>
  <cp:revision>1</cp:revision>
  <dcterms:created xsi:type="dcterms:W3CDTF">2026-06-11T11:46:06.178Z</dcterms:created>
  <dcterms:modified xsi:type="dcterms:W3CDTF">2026-06-11T11:46:06.178Z</dcterms:modified>
</cp:coreProperties>
</file>

<file path=docProps/custom.xml><?xml version="1.0" encoding="utf-8"?>
<Properties xmlns="http://schemas.openxmlformats.org/officeDocument/2006/custom-properties" xmlns:vt="http://schemas.openxmlformats.org/officeDocument/2006/docPropsVTypes"/>
</file>