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BB94C" w14:textId="77777777" w:rsidR="00670398" w:rsidRDefault="00F759F1">
      <w:pPr>
        <w:jc w:val="center"/>
      </w:pPr>
      <w:r>
        <w:rPr>
          <w:noProof/>
        </w:rPr>
        <w:drawing>
          <wp:inline distT="0" distB="0" distL="0" distR="0" wp14:anchorId="1AC7C2BC" wp14:editId="7C865ECA">
            <wp:extent cx="1234440" cy="1234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234440" cy="1234440"/>
                    </a:xfrm>
                    <a:prstGeom prst="rect">
                      <a:avLst/>
                    </a:prstGeom>
                  </pic:spPr>
                </pic:pic>
              </a:graphicData>
            </a:graphic>
          </wp:inline>
        </w:drawing>
      </w:r>
    </w:p>
    <w:p w14:paraId="24005142" w14:textId="77777777" w:rsidR="00670398" w:rsidRDefault="00F759F1">
      <w:pPr>
        <w:jc w:val="center"/>
      </w:pPr>
      <w:r>
        <w:rPr>
          <w:b/>
          <w:color w:val="006E46"/>
          <w:sz w:val="46"/>
        </w:rPr>
        <w:t>Independent Review and Evaluation</w:t>
      </w:r>
    </w:p>
    <w:p w14:paraId="3B3A10BE" w14:textId="77777777" w:rsidR="00670398" w:rsidRDefault="00F759F1">
      <w:pPr>
        <w:jc w:val="center"/>
      </w:pPr>
      <w:r>
        <w:rPr>
          <w:b/>
          <w:sz w:val="36"/>
        </w:rPr>
        <w:t>Granton Information Centre’s Advice Service</w:t>
      </w:r>
    </w:p>
    <w:p w14:paraId="3DA1129A" w14:textId="77777777" w:rsidR="00670398" w:rsidRDefault="00F759F1">
      <w:pPr>
        <w:jc w:val="center"/>
      </w:pPr>
      <w:r>
        <w:rPr>
          <w:i/>
          <w:sz w:val="24"/>
        </w:rPr>
        <w:t>Public website version</w:t>
      </w:r>
    </w:p>
    <w:p w14:paraId="67538605" w14:textId="77777777" w:rsidR="00670398" w:rsidRDefault="00670398"/>
    <w:tbl>
      <w:tblPr>
        <w:tblStyle w:val="TableGrid"/>
        <w:tblW w:w="0" w:type="auto"/>
        <w:jc w:val="center"/>
        <w:tblLook w:val="04A0" w:firstRow="1" w:lastRow="0" w:firstColumn="1" w:lastColumn="0" w:noHBand="0" w:noVBand="1"/>
      </w:tblPr>
      <w:tblGrid>
        <w:gridCol w:w="5035"/>
        <w:gridCol w:w="5035"/>
      </w:tblGrid>
      <w:tr w:rsidR="00670398" w14:paraId="29B2210E" w14:textId="77777777">
        <w:trPr>
          <w:cantSplit/>
          <w:jc w:val="center"/>
        </w:trPr>
        <w:tc>
          <w:tcPr>
            <w:tcW w:w="5040" w:type="dxa"/>
            <w:vAlign w:val="center"/>
          </w:tcPr>
          <w:p w14:paraId="0A495320" w14:textId="77777777" w:rsidR="00670398" w:rsidRDefault="00F759F1">
            <w:r>
              <w:rPr>
                <w:b/>
              </w:rPr>
              <w:t>Review period</w:t>
            </w:r>
          </w:p>
        </w:tc>
        <w:tc>
          <w:tcPr>
            <w:tcW w:w="5040" w:type="dxa"/>
            <w:vAlign w:val="center"/>
          </w:tcPr>
          <w:p w14:paraId="3A0695EB" w14:textId="77777777" w:rsidR="00670398" w:rsidRDefault="00F759F1">
            <w:r>
              <w:t>1 April 2025 to 31 March 2026</w:t>
            </w:r>
          </w:p>
        </w:tc>
      </w:tr>
      <w:tr w:rsidR="00670398" w14:paraId="5520A838" w14:textId="77777777">
        <w:trPr>
          <w:cantSplit/>
          <w:jc w:val="center"/>
        </w:trPr>
        <w:tc>
          <w:tcPr>
            <w:tcW w:w="5040" w:type="dxa"/>
            <w:vAlign w:val="center"/>
          </w:tcPr>
          <w:p w14:paraId="31AAD0E8" w14:textId="77777777" w:rsidR="00670398" w:rsidRDefault="00F759F1">
            <w:r>
              <w:rPr>
                <w:b/>
              </w:rPr>
              <w:t>Independent external reviewer</w:t>
            </w:r>
          </w:p>
        </w:tc>
        <w:tc>
          <w:tcPr>
            <w:tcW w:w="5040" w:type="dxa"/>
            <w:vAlign w:val="center"/>
          </w:tcPr>
          <w:p w14:paraId="011D1E51" w14:textId="77777777" w:rsidR="00670398" w:rsidRDefault="00F759F1">
            <w:r>
              <w:t>Benjamin Napier, Chief Executive, Citizens Advice Edinburgh</w:t>
            </w:r>
          </w:p>
        </w:tc>
      </w:tr>
      <w:tr w:rsidR="00670398" w14:paraId="0D3BB85D" w14:textId="77777777">
        <w:trPr>
          <w:cantSplit/>
          <w:jc w:val="center"/>
        </w:trPr>
        <w:tc>
          <w:tcPr>
            <w:tcW w:w="5040" w:type="dxa"/>
            <w:vAlign w:val="center"/>
          </w:tcPr>
          <w:p w14:paraId="60E25F49" w14:textId="77777777" w:rsidR="00670398" w:rsidRDefault="00F759F1">
            <w:r>
              <w:rPr>
                <w:b/>
              </w:rPr>
              <w:t>Final approval date</w:t>
            </w:r>
          </w:p>
        </w:tc>
        <w:tc>
          <w:tcPr>
            <w:tcW w:w="5040" w:type="dxa"/>
            <w:vAlign w:val="center"/>
          </w:tcPr>
          <w:p w14:paraId="676E4AE2" w14:textId="77777777" w:rsidR="00670398" w:rsidRDefault="00F759F1">
            <w:r>
              <w:t>2 September 2026</w:t>
            </w:r>
          </w:p>
        </w:tc>
      </w:tr>
      <w:tr w:rsidR="00670398" w14:paraId="1145B7A2" w14:textId="77777777">
        <w:trPr>
          <w:cantSplit/>
          <w:jc w:val="center"/>
        </w:trPr>
        <w:tc>
          <w:tcPr>
            <w:tcW w:w="5040" w:type="dxa"/>
            <w:vAlign w:val="center"/>
          </w:tcPr>
          <w:p w14:paraId="471C8FB7" w14:textId="77777777" w:rsidR="00670398" w:rsidRDefault="00F759F1">
            <w:r>
              <w:rPr>
                <w:b/>
              </w:rPr>
              <w:t>Purpose of this version</w:t>
            </w:r>
          </w:p>
        </w:tc>
        <w:tc>
          <w:tcPr>
            <w:tcW w:w="5040" w:type="dxa"/>
            <w:vAlign w:val="center"/>
          </w:tcPr>
          <w:p w14:paraId="2DC247B5" w14:textId="77777777" w:rsidR="00670398" w:rsidRDefault="00F759F1">
            <w:r>
              <w:t>Accessible public summary of the independent review and its findings</w:t>
            </w:r>
          </w:p>
        </w:tc>
      </w:tr>
    </w:tbl>
    <w:p w14:paraId="3AA28344" w14:textId="77777777" w:rsidR="00670398" w:rsidRDefault="00670398"/>
    <w:p w14:paraId="07929123" w14:textId="77777777" w:rsidR="00670398" w:rsidRDefault="00F759F1">
      <w:pPr>
        <w:jc w:val="center"/>
      </w:pPr>
      <w:r>
        <w:t>This public version presents the main findings, evidence and improvement priorities from GIC’s independently reviewed evaluation in a concise and accessible format.</w:t>
      </w:r>
    </w:p>
    <w:p w14:paraId="1CD69F7E" w14:textId="77777777" w:rsidR="00670398" w:rsidRDefault="00F759F1">
      <w:r>
        <w:br w:type="page"/>
      </w:r>
    </w:p>
    <w:p w14:paraId="70B16BF4" w14:textId="77777777" w:rsidR="00670398" w:rsidRDefault="00F759F1">
      <w:pPr>
        <w:pStyle w:val="Heading1"/>
      </w:pPr>
      <w:r>
        <w:lastRenderedPageBreak/>
        <w:t>1. About the review</w:t>
      </w:r>
    </w:p>
    <w:p w14:paraId="61875EE8" w14:textId="77777777" w:rsidR="00670398" w:rsidRDefault="00F759F1">
      <w:r>
        <w:t>Granton Information Centre (GIC) commissioned an independent review and evaluation of its advice service for the period 1 April 2025 to 31 March 2026. The review considered whether the service remains relevant to community need, how effectively and efficiently it operates, the impact of the advice provided, and the areas that should be prioritised for future improvement.</w:t>
      </w:r>
    </w:p>
    <w:p w14:paraId="2150E072" w14:textId="77777777" w:rsidR="00670398" w:rsidRDefault="00F759F1">
      <w:r>
        <w:t>The review was independently considered by Benjamin Napier, Chief Executive of Citizens Advice Edinburgh. He reviewed the report and key supporting evidence, raised further questions where clarification was needed, and confirmed that the conclusions and recommendations were supported by the evidence reviewed.</w:t>
      </w:r>
    </w:p>
    <w:p w14:paraId="36BF3A0D" w14:textId="77777777" w:rsidR="00670398" w:rsidRDefault="00F759F1">
      <w:pPr>
        <w:pStyle w:val="Heading1"/>
      </w:pPr>
      <w:r>
        <w:t>2. What evidence was considered</w:t>
      </w:r>
    </w:p>
    <w:p w14:paraId="6122C6E2" w14:textId="77777777" w:rsidR="00670398" w:rsidRDefault="00F759F1">
      <w:r>
        <w:t>The review used a mixture of quantitative and qualitative evidence. This included service activity and financial gain information, client demographics and geographic reach, case outcomes, the 2025–26 annual report, 155 client feedback responses, structured feedback from four external partners and referrers, and external and internal quality-assurance information.</w:t>
      </w:r>
    </w:p>
    <w:p w14:paraId="0E34B4DB" w14:textId="77777777" w:rsidR="00670398" w:rsidRDefault="00F759F1">
      <w:pPr>
        <w:pStyle w:val="Heading1"/>
      </w:pPr>
      <w:r>
        <w:t>3. Service activity and impact</w:t>
      </w:r>
    </w:p>
    <w:p w14:paraId="170AE67D" w14:textId="77777777" w:rsidR="00670398" w:rsidRDefault="00F759F1">
      <w:r>
        <w:t>During 2025–26, GIC delivered a high volume of advice and casework and recorded substantial direct benefit for clients.</w:t>
      </w:r>
    </w:p>
    <w:tbl>
      <w:tblPr>
        <w:tblStyle w:val="TableGrid"/>
        <w:tblW w:w="0" w:type="auto"/>
        <w:jc w:val="center"/>
        <w:tblLook w:val="04A0" w:firstRow="1" w:lastRow="0" w:firstColumn="1" w:lastColumn="0" w:noHBand="0" w:noVBand="1"/>
      </w:tblPr>
      <w:tblGrid>
        <w:gridCol w:w="5035"/>
        <w:gridCol w:w="5035"/>
      </w:tblGrid>
      <w:tr w:rsidR="00670398" w14:paraId="5DBB29E1" w14:textId="77777777">
        <w:trPr>
          <w:cantSplit/>
          <w:jc w:val="center"/>
        </w:trPr>
        <w:tc>
          <w:tcPr>
            <w:tcW w:w="5040" w:type="dxa"/>
          </w:tcPr>
          <w:p w14:paraId="18391457" w14:textId="77777777" w:rsidR="00670398" w:rsidRDefault="00F759F1">
            <w:r>
              <w:rPr>
                <w:b/>
              </w:rPr>
              <w:t>Measure</w:t>
            </w:r>
          </w:p>
        </w:tc>
        <w:tc>
          <w:tcPr>
            <w:tcW w:w="5040" w:type="dxa"/>
          </w:tcPr>
          <w:p w14:paraId="60CE19A8" w14:textId="77777777" w:rsidR="00670398" w:rsidRDefault="00F759F1">
            <w:r>
              <w:rPr>
                <w:b/>
              </w:rPr>
              <w:t>2025–26 result</w:t>
            </w:r>
          </w:p>
        </w:tc>
      </w:tr>
      <w:tr w:rsidR="00670398" w14:paraId="2E2694E0" w14:textId="77777777">
        <w:trPr>
          <w:cantSplit/>
          <w:jc w:val="center"/>
        </w:trPr>
        <w:tc>
          <w:tcPr>
            <w:tcW w:w="5040" w:type="dxa"/>
          </w:tcPr>
          <w:p w14:paraId="7042937F" w14:textId="77777777" w:rsidR="00670398" w:rsidRDefault="00F759F1">
            <w:r>
              <w:t>Individual clients</w:t>
            </w:r>
          </w:p>
        </w:tc>
        <w:tc>
          <w:tcPr>
            <w:tcW w:w="5040" w:type="dxa"/>
          </w:tcPr>
          <w:p w14:paraId="45216B85" w14:textId="77777777" w:rsidR="00670398" w:rsidRDefault="00F759F1">
            <w:r>
              <w:t>3,075</w:t>
            </w:r>
          </w:p>
        </w:tc>
      </w:tr>
      <w:tr w:rsidR="00670398" w14:paraId="70C14DE7" w14:textId="77777777">
        <w:trPr>
          <w:cantSplit/>
          <w:jc w:val="center"/>
        </w:trPr>
        <w:tc>
          <w:tcPr>
            <w:tcW w:w="5040" w:type="dxa"/>
          </w:tcPr>
          <w:p w14:paraId="192A1AC3" w14:textId="77777777" w:rsidR="00670398" w:rsidRDefault="00F759F1">
            <w:r>
              <w:t>Cases worked on</w:t>
            </w:r>
          </w:p>
        </w:tc>
        <w:tc>
          <w:tcPr>
            <w:tcW w:w="5040" w:type="dxa"/>
          </w:tcPr>
          <w:p w14:paraId="7F5165F4" w14:textId="77777777" w:rsidR="00670398" w:rsidRDefault="00F759F1">
            <w:r>
              <w:t>4,088</w:t>
            </w:r>
          </w:p>
        </w:tc>
      </w:tr>
      <w:tr w:rsidR="00670398" w14:paraId="7D6D9555" w14:textId="77777777">
        <w:trPr>
          <w:cantSplit/>
          <w:jc w:val="center"/>
        </w:trPr>
        <w:tc>
          <w:tcPr>
            <w:tcW w:w="5040" w:type="dxa"/>
          </w:tcPr>
          <w:p w14:paraId="42D69852" w14:textId="77777777" w:rsidR="00670398" w:rsidRDefault="00F759F1">
            <w:r>
              <w:t>Recorded financial gains</w:t>
            </w:r>
          </w:p>
        </w:tc>
        <w:tc>
          <w:tcPr>
            <w:tcW w:w="5040" w:type="dxa"/>
          </w:tcPr>
          <w:p w14:paraId="3D9E4FF1" w14:textId="77777777" w:rsidR="00670398" w:rsidRDefault="00F759F1">
            <w:r>
              <w:t>£4,719,734.77</w:t>
            </w:r>
          </w:p>
        </w:tc>
      </w:tr>
      <w:tr w:rsidR="00670398" w14:paraId="781A8685" w14:textId="77777777">
        <w:trPr>
          <w:cantSplit/>
          <w:jc w:val="center"/>
        </w:trPr>
        <w:tc>
          <w:tcPr>
            <w:tcW w:w="5040" w:type="dxa"/>
          </w:tcPr>
          <w:p w14:paraId="7006D457" w14:textId="77777777" w:rsidR="00670398" w:rsidRDefault="00F759F1">
            <w:r>
              <w:t>Clients with a recorded financial gain</w:t>
            </w:r>
          </w:p>
        </w:tc>
        <w:tc>
          <w:tcPr>
            <w:tcW w:w="5040" w:type="dxa"/>
          </w:tcPr>
          <w:p w14:paraId="510CEE30" w14:textId="77777777" w:rsidR="00670398" w:rsidRDefault="00F759F1">
            <w:r>
              <w:t>619</w:t>
            </w:r>
          </w:p>
        </w:tc>
      </w:tr>
      <w:tr w:rsidR="00670398" w14:paraId="2C14282F" w14:textId="77777777">
        <w:trPr>
          <w:cantSplit/>
          <w:jc w:val="center"/>
        </w:trPr>
        <w:tc>
          <w:tcPr>
            <w:tcW w:w="5040" w:type="dxa"/>
          </w:tcPr>
          <w:p w14:paraId="2CA7896A" w14:textId="77777777" w:rsidR="00670398" w:rsidRDefault="00F759F1">
            <w:r>
              <w:t>Positive welfare-rights outcomes</w:t>
            </w:r>
          </w:p>
        </w:tc>
        <w:tc>
          <w:tcPr>
            <w:tcW w:w="5040" w:type="dxa"/>
          </w:tcPr>
          <w:p w14:paraId="324F6CF8" w14:textId="77777777" w:rsidR="00670398" w:rsidRDefault="00F759F1">
            <w:r>
              <w:t>74.4% of recorded closed-case outcomes</w:t>
            </w:r>
          </w:p>
        </w:tc>
      </w:tr>
    </w:tbl>
    <w:p w14:paraId="1C564E7F" w14:textId="77777777" w:rsidR="00670398" w:rsidRDefault="00F759F1">
      <w:r>
        <w:t>Client feedback also showed strong reported outcomes. 94.8% rated the service very good or excellent, 86.5% said the advice helped resolve their issue, 79.4% reported increased knowledge and confidence, 69.7% said they were financially better off, 95.5% said they would seek GIC advice again and 94.8% said they would recommend the service.</w:t>
      </w:r>
    </w:p>
    <w:p w14:paraId="360E1330" w14:textId="77777777" w:rsidR="00670398" w:rsidRDefault="00F759F1">
      <w:pPr>
        <w:pStyle w:val="Heading1"/>
      </w:pPr>
      <w:r>
        <w:t>4. Service remit and continuing relevance</w:t>
      </w:r>
    </w:p>
    <w:p w14:paraId="5502E2FD" w14:textId="77777777" w:rsidR="00670398" w:rsidRDefault="00F759F1">
      <w:r>
        <w:t>GIC’s purpose is to tackle poverty by providing free, confidential and independent information, advice, advocacy and representation. Its main areas of work are welfare benefits, debt and money advice, housing advice, and support with access to charitable grants and referrals for food, clothing and fuel assistance.</w:t>
      </w:r>
    </w:p>
    <w:p w14:paraId="6ACAF9D8" w14:textId="77777777" w:rsidR="00670398" w:rsidRDefault="00F759F1">
      <w:r>
        <w:t>The review found that this remit remains strongly relevant. The evidence showed significant reach into communities experiencing financial hardship and deprivation, and among people affected by ill health, disability, insecure housing and difficulty navigating complex benefit and advice systems.</w:t>
      </w:r>
    </w:p>
    <w:p w14:paraId="07DFCFEE" w14:textId="77777777" w:rsidR="00670398" w:rsidRDefault="00F759F1">
      <w:r>
        <w:t>GIC delivers advice from its main office and through community, health and outreach settings. Partner and referral feedback indicated that this model improves access, particularly for people who benefit from receiving advice in trusted local settings.</w:t>
      </w:r>
    </w:p>
    <w:p w14:paraId="303885B3" w14:textId="77777777" w:rsidR="00670398" w:rsidRDefault="00F759F1">
      <w:r>
        <w:br w:type="page"/>
      </w:r>
    </w:p>
    <w:p w14:paraId="036DEC43" w14:textId="77777777" w:rsidR="00670398" w:rsidRDefault="00F759F1">
      <w:pPr>
        <w:pStyle w:val="Heading1"/>
      </w:pPr>
      <w:r>
        <w:lastRenderedPageBreak/>
        <w:t>5. Specialist advice and representation</w:t>
      </w:r>
    </w:p>
    <w:p w14:paraId="2B0D7DB7" w14:textId="77777777" w:rsidR="00670398" w:rsidRDefault="00F759F1">
      <w:r>
        <w:t>GIC has applied for Type III accreditation in Welfare Benefits, Housing and Money/Debt. The independent SNSIAP peer-review process recorded the remit reviewed as Types I, II and III in all three matter categories and confirmed a compliant outcome in each area.</w:t>
      </w:r>
    </w:p>
    <w:p w14:paraId="3F9C91DF" w14:textId="77777777" w:rsidR="00670398" w:rsidRDefault="00F759F1">
      <w:r>
        <w:t>GIC currently delivers Type III Welfare Benefits and Money/Debt work. Type III Housing advice and representation is temporarily paused because sufficiently experienced supervision is not currently available. GIC intends to resume this work only when appropriate supervision, staff competence and training, funding and service capacity are demonstrably in place.</w:t>
      </w:r>
    </w:p>
    <w:p w14:paraId="74950148" w14:textId="77777777" w:rsidR="00670398" w:rsidRDefault="00F759F1">
      <w:pPr>
        <w:pStyle w:val="Heading1"/>
      </w:pPr>
      <w:r>
        <w:t>6. What clients and partners told us</w:t>
      </w:r>
    </w:p>
    <w:p w14:paraId="135F2F3B" w14:textId="77777777" w:rsidR="00670398" w:rsidRDefault="00F759F1">
      <w:r>
        <w:t>Client comments consistently described advisers as knowledgeable, patient, compassionate and clear. Clients reported reduced stress, increased confidence, successful benefit claims, increased income and support with forms, reviews and appeals that they would otherwise have found difficult to manage.</w:t>
      </w:r>
    </w:p>
    <w:p w14:paraId="45A39884" w14:textId="77777777" w:rsidR="00670398" w:rsidRDefault="00F759F1">
      <w:r>
        <w:t>External partners and referrers also described GIC as highly relevant and effective, with strong communication, specialist knowledge and positive outcomes for the people they refer. The most consistent concern raised by partners related to appointment capacity and ease of booking when demand is high.</w:t>
      </w:r>
    </w:p>
    <w:p w14:paraId="301ECEA1" w14:textId="77777777" w:rsidR="00670398" w:rsidRDefault="00F759F1">
      <w:pPr>
        <w:pStyle w:val="Heading1"/>
      </w:pPr>
      <w:r>
        <w:t>7. Efficiency, quality and sustainability</w:t>
      </w:r>
    </w:p>
    <w:p w14:paraId="28E9C5B0" w14:textId="77777777" w:rsidR="00670398" w:rsidRDefault="00F759F1">
      <w:r>
        <w:t>The review found that GIC delivers substantial activity and positive outcomes using its available resources. Management monitors staffing, caseloads, appointments and service capacity. Funding uncertainty, staff turnover, absence and recruitment can create pressure on service resilience, so appointment demand, waiting times and follow-up capacity require continuing review.</w:t>
      </w:r>
    </w:p>
    <w:p w14:paraId="2B51CA8E" w14:textId="77777777" w:rsidR="00670398" w:rsidRDefault="00F759F1">
      <w:r>
        <w:t>External SNSIAP peer review examined 36 cases across Welfare Benefits, Housing and Money/Debt. GIC achieved 91% in each topic and was confirmed compliant in all three areas by the Peer Review Moderation Committee. Internal quality assurance also includes regular case review, supervision and follow-up of improvement actions.</w:t>
      </w:r>
    </w:p>
    <w:p w14:paraId="7BD46659" w14:textId="77777777" w:rsidR="00670398" w:rsidRDefault="00F759F1">
      <w:pPr>
        <w:pStyle w:val="Heading1"/>
        <w:pageBreakBefore/>
      </w:pPr>
      <w:r>
        <w:lastRenderedPageBreak/>
        <w:t>8. Main findings</w:t>
      </w:r>
    </w:p>
    <w:tbl>
      <w:tblPr>
        <w:tblStyle w:val="TableGrid"/>
        <w:tblW w:w="0" w:type="auto"/>
        <w:jc w:val="center"/>
        <w:tblLook w:val="04A0" w:firstRow="1" w:lastRow="0" w:firstColumn="1" w:lastColumn="0" w:noHBand="0" w:noVBand="1"/>
      </w:tblPr>
      <w:tblGrid>
        <w:gridCol w:w="5035"/>
        <w:gridCol w:w="5035"/>
      </w:tblGrid>
      <w:tr w:rsidR="00670398" w14:paraId="373425CC" w14:textId="77777777">
        <w:trPr>
          <w:cantSplit/>
          <w:jc w:val="center"/>
        </w:trPr>
        <w:tc>
          <w:tcPr>
            <w:tcW w:w="5040" w:type="dxa"/>
          </w:tcPr>
          <w:p w14:paraId="1E677073" w14:textId="77777777" w:rsidR="00670398" w:rsidRDefault="00F759F1">
            <w:r>
              <w:rPr>
                <w:b/>
              </w:rPr>
              <w:t>Area</w:t>
            </w:r>
          </w:p>
        </w:tc>
        <w:tc>
          <w:tcPr>
            <w:tcW w:w="5040" w:type="dxa"/>
          </w:tcPr>
          <w:p w14:paraId="0151B908" w14:textId="77777777" w:rsidR="00670398" w:rsidRDefault="00F759F1">
            <w:r>
              <w:rPr>
                <w:b/>
              </w:rPr>
              <w:t>Finding</w:t>
            </w:r>
          </w:p>
        </w:tc>
      </w:tr>
      <w:tr w:rsidR="00670398" w14:paraId="1583ACEA" w14:textId="77777777">
        <w:trPr>
          <w:cantSplit/>
          <w:jc w:val="center"/>
        </w:trPr>
        <w:tc>
          <w:tcPr>
            <w:tcW w:w="5040" w:type="dxa"/>
          </w:tcPr>
          <w:p w14:paraId="669ADE4C" w14:textId="77777777" w:rsidR="00670398" w:rsidRDefault="00F759F1">
            <w:r>
              <w:t>Relevance</w:t>
            </w:r>
          </w:p>
        </w:tc>
        <w:tc>
          <w:tcPr>
            <w:tcW w:w="5040" w:type="dxa"/>
          </w:tcPr>
          <w:p w14:paraId="5E4EF115" w14:textId="77777777" w:rsidR="00670398" w:rsidRDefault="00F759F1">
            <w:r>
              <w:t>GIC’s remit remains strongly aligned with the needs of the communities and client groups it serves.</w:t>
            </w:r>
          </w:p>
        </w:tc>
      </w:tr>
      <w:tr w:rsidR="00670398" w14:paraId="027861E5" w14:textId="77777777">
        <w:trPr>
          <w:cantSplit/>
          <w:jc w:val="center"/>
        </w:trPr>
        <w:tc>
          <w:tcPr>
            <w:tcW w:w="5040" w:type="dxa"/>
          </w:tcPr>
          <w:p w14:paraId="778D5144" w14:textId="77777777" w:rsidR="00670398" w:rsidRDefault="00F759F1">
            <w:r>
              <w:t>Effectiveness</w:t>
            </w:r>
          </w:p>
        </w:tc>
        <w:tc>
          <w:tcPr>
            <w:tcW w:w="5040" w:type="dxa"/>
          </w:tcPr>
          <w:p w14:paraId="037389C1" w14:textId="77777777" w:rsidR="00670398" w:rsidRDefault="00F759F1">
            <w:r>
              <w:t>Client feedback, case outcomes and financial gains provide strong evidence that the advice service is effective.</w:t>
            </w:r>
          </w:p>
        </w:tc>
      </w:tr>
      <w:tr w:rsidR="00670398" w14:paraId="76D6FA40" w14:textId="77777777">
        <w:trPr>
          <w:cantSplit/>
          <w:jc w:val="center"/>
        </w:trPr>
        <w:tc>
          <w:tcPr>
            <w:tcW w:w="5040" w:type="dxa"/>
          </w:tcPr>
          <w:p w14:paraId="5F504B2E" w14:textId="77777777" w:rsidR="00670398" w:rsidRDefault="00F759F1">
            <w:r>
              <w:t>Impact</w:t>
            </w:r>
          </w:p>
        </w:tc>
        <w:tc>
          <w:tcPr>
            <w:tcW w:w="5040" w:type="dxa"/>
          </w:tcPr>
          <w:p w14:paraId="26611E5F" w14:textId="77777777" w:rsidR="00670398" w:rsidRDefault="00F759F1">
            <w:r>
              <w:t>The service provides clear financial, confidence and wellbeing benefits for many clients.</w:t>
            </w:r>
          </w:p>
        </w:tc>
      </w:tr>
      <w:tr w:rsidR="00670398" w14:paraId="7761736B" w14:textId="77777777">
        <w:trPr>
          <w:cantSplit/>
          <w:jc w:val="center"/>
        </w:trPr>
        <w:tc>
          <w:tcPr>
            <w:tcW w:w="5040" w:type="dxa"/>
          </w:tcPr>
          <w:p w14:paraId="304B5DFD" w14:textId="77777777" w:rsidR="00670398" w:rsidRDefault="00F759F1">
            <w:r>
              <w:t>Accessibility</w:t>
            </w:r>
          </w:p>
        </w:tc>
        <w:tc>
          <w:tcPr>
            <w:tcW w:w="5040" w:type="dxa"/>
          </w:tcPr>
          <w:p w14:paraId="56618CC0" w14:textId="77777777" w:rsidR="00670398" w:rsidRDefault="00F759F1">
            <w:r>
              <w:t>Office, outreach and partnership delivery support access, although appointment availability and booking routes require continued attention.</w:t>
            </w:r>
          </w:p>
        </w:tc>
      </w:tr>
      <w:tr w:rsidR="00670398" w14:paraId="5D9C5764" w14:textId="77777777">
        <w:trPr>
          <w:cantSplit/>
          <w:jc w:val="center"/>
        </w:trPr>
        <w:tc>
          <w:tcPr>
            <w:tcW w:w="5040" w:type="dxa"/>
          </w:tcPr>
          <w:p w14:paraId="7095CF9F" w14:textId="77777777" w:rsidR="00670398" w:rsidRDefault="00F759F1">
            <w:r>
              <w:t>Partnership working</w:t>
            </w:r>
          </w:p>
        </w:tc>
        <w:tc>
          <w:tcPr>
            <w:tcW w:w="5040" w:type="dxa"/>
          </w:tcPr>
          <w:p w14:paraId="3E4AFB6D" w14:textId="77777777" w:rsidR="00670398" w:rsidRDefault="00F759F1">
            <w:r>
              <w:t>External partners report strong referral pathways, communication, responsiveness and joined-up support.</w:t>
            </w:r>
          </w:p>
        </w:tc>
      </w:tr>
      <w:tr w:rsidR="00670398" w14:paraId="344D20BB" w14:textId="77777777">
        <w:trPr>
          <w:cantSplit/>
          <w:jc w:val="center"/>
        </w:trPr>
        <w:tc>
          <w:tcPr>
            <w:tcW w:w="5040" w:type="dxa"/>
          </w:tcPr>
          <w:p w14:paraId="51D18C84" w14:textId="77777777" w:rsidR="00670398" w:rsidRDefault="00F759F1">
            <w:r>
              <w:t>Quality assurance</w:t>
            </w:r>
          </w:p>
        </w:tc>
        <w:tc>
          <w:tcPr>
            <w:tcW w:w="5040" w:type="dxa"/>
          </w:tcPr>
          <w:p w14:paraId="6F088116" w14:textId="77777777" w:rsidR="00670398" w:rsidRDefault="00F759F1">
            <w:r>
              <w:t>External moderation confirmed compliance, while internal case review and improvement planning support continuous development.</w:t>
            </w:r>
          </w:p>
        </w:tc>
      </w:tr>
    </w:tbl>
    <w:p w14:paraId="0DED639A" w14:textId="77777777" w:rsidR="00670398" w:rsidRDefault="00F759F1">
      <w:pPr>
        <w:pStyle w:val="Heading1"/>
      </w:pPr>
      <w:r>
        <w:t>9. Improvement priorities</w:t>
      </w:r>
    </w:p>
    <w:p w14:paraId="6712D13A" w14:textId="77777777" w:rsidR="00670398" w:rsidRDefault="00F759F1">
      <w:r>
        <w:t>The review identified a number of practical priorities for continued improvement. These have been incorporated into GIC’s action planning and will be monitored by management.</w:t>
      </w:r>
    </w:p>
    <w:p w14:paraId="57F18672" w14:textId="77777777" w:rsidR="00670398" w:rsidRDefault="00F759F1">
      <w:pPr>
        <w:pStyle w:val="ListBullet"/>
      </w:pPr>
      <w:r>
        <w:t>Review appointment demand, waiting times and booking routes, including access for people who cannot telephone at the opening time.</w:t>
      </w:r>
    </w:p>
    <w:p w14:paraId="67BF9E3A" w14:textId="77777777" w:rsidR="00670398" w:rsidRDefault="00F759F1">
      <w:pPr>
        <w:pStyle w:val="ListBullet"/>
      </w:pPr>
      <w:r>
        <w:t>Provide clear and consistent information to clients and referrers about documents or case details needed before appointments.</w:t>
      </w:r>
    </w:p>
    <w:p w14:paraId="3D25F69B" w14:textId="77777777" w:rsidR="00670398" w:rsidRDefault="00F759F1">
      <w:pPr>
        <w:pStyle w:val="ListBullet"/>
      </w:pPr>
      <w:r>
        <w:t>Review adverse client feedback and record learning or service changes arising from it.</w:t>
      </w:r>
    </w:p>
    <w:p w14:paraId="7472627C" w14:textId="77777777" w:rsidR="00670398" w:rsidRDefault="00F759F1">
      <w:pPr>
        <w:pStyle w:val="ListBullet"/>
      </w:pPr>
      <w:r>
        <w:t>Continue structured stakeholder feedback as part of service review and planning.</w:t>
      </w:r>
    </w:p>
    <w:p w14:paraId="63392881" w14:textId="77777777" w:rsidR="00670398" w:rsidRDefault="00F759F1">
      <w:pPr>
        <w:pStyle w:val="ListBullet"/>
      </w:pPr>
      <w:r>
        <w:t>Strengthen capacity and consistency in specialist Money/Debt work through training, supervision and case review.</w:t>
      </w:r>
    </w:p>
    <w:p w14:paraId="22D3C7A3" w14:textId="77777777" w:rsidR="00670398" w:rsidRDefault="00F759F1">
      <w:pPr>
        <w:pStyle w:val="ListBullet"/>
      </w:pPr>
      <w:r>
        <w:t>Complete a readiness assessment before any resumption of Type III Housing advice or representation.</w:t>
      </w:r>
    </w:p>
    <w:p w14:paraId="319E8BD6" w14:textId="77777777" w:rsidR="00670398" w:rsidRDefault="00F759F1">
      <w:pPr>
        <w:pStyle w:val="ListBullet"/>
      </w:pPr>
      <w:r>
        <w:t>Continue work to strengthen Management Committee capacity and resilience.</w:t>
      </w:r>
    </w:p>
    <w:p w14:paraId="2A675F7E" w14:textId="77777777" w:rsidR="00670398" w:rsidRDefault="00F759F1">
      <w:pPr>
        <w:pStyle w:val="ListBullet"/>
      </w:pPr>
      <w:r>
        <w:t>Continue implementation and monitoring of the Peer Review Improvement Action Plan.</w:t>
      </w:r>
    </w:p>
    <w:p w14:paraId="5AC73AF1" w14:textId="77777777" w:rsidR="00670398" w:rsidRDefault="00F759F1">
      <w:pPr>
        <w:pStyle w:val="Heading1"/>
      </w:pPr>
      <w:r>
        <w:t>10. Overall conclusion</w:t>
      </w:r>
    </w:p>
    <w:p w14:paraId="282D050C" w14:textId="77777777" w:rsidR="00670398" w:rsidRDefault="00F759F1">
      <w:r>
        <w:t>The independent review concluded that GIC’s advice service remains highly relevant to the communities it serves and delivers substantial benefit to clients. The combination of specialist advice, local outreach and partnership working responds to clear needs associated with poverty, disability, ill health, housing insecurity and complex benefit systems.</w:t>
      </w:r>
    </w:p>
    <w:p w14:paraId="62275A80" w14:textId="77777777" w:rsidR="00670398" w:rsidRDefault="00F759F1">
      <w:r>
        <w:t>The service should continue, alongside focused improvement in appointment access, information provided before appointments, learning from feedback, stakeholder engagement, specialist service capacity, governance resilience and the implementation of external quality-review actions.</w:t>
      </w:r>
    </w:p>
    <w:sectPr w:rsidR="00670398"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E445" w14:textId="77777777" w:rsidR="00F759F1" w:rsidRDefault="00F759F1">
      <w:pPr>
        <w:spacing w:after="0" w:line="240" w:lineRule="auto"/>
      </w:pPr>
      <w:r>
        <w:separator/>
      </w:r>
    </w:p>
  </w:endnote>
  <w:endnote w:type="continuationSeparator" w:id="0">
    <w:p w14:paraId="35F020E7" w14:textId="77777777" w:rsidR="00F759F1" w:rsidRDefault="00F75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3CF1" w14:textId="77777777" w:rsidR="00670398" w:rsidRDefault="00F759F1">
    <w:pPr>
      <w:pStyle w:val="Footer"/>
      <w:jc w:val="center"/>
    </w:pPr>
    <w:proofErr w:type="spellStart"/>
    <w:r>
      <w:rPr>
        <w:color w:val="646464"/>
        <w:sz w:val="16"/>
      </w:rPr>
      <w:t>Granton</w:t>
    </w:r>
    <w:proofErr w:type="spellEnd"/>
    <w:r>
      <w:rPr>
        <w:color w:val="646464"/>
        <w:sz w:val="16"/>
      </w:rPr>
      <w:t xml:space="preserve"> Information Centre | Independent Review and Evaluation 2025–26 | Public website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39536" w14:textId="77777777" w:rsidR="00F759F1" w:rsidRDefault="00F759F1">
      <w:pPr>
        <w:spacing w:after="0" w:line="240" w:lineRule="auto"/>
      </w:pPr>
      <w:r>
        <w:separator/>
      </w:r>
    </w:p>
  </w:footnote>
  <w:footnote w:type="continuationSeparator" w:id="0">
    <w:p w14:paraId="2463CA33" w14:textId="77777777" w:rsidR="00F759F1" w:rsidRDefault="00F759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3834865">
    <w:abstractNumId w:val="8"/>
  </w:num>
  <w:num w:numId="2" w16cid:durableId="762147540">
    <w:abstractNumId w:val="6"/>
  </w:num>
  <w:num w:numId="3" w16cid:durableId="267935148">
    <w:abstractNumId w:val="5"/>
  </w:num>
  <w:num w:numId="4" w16cid:durableId="248278181">
    <w:abstractNumId w:val="4"/>
  </w:num>
  <w:num w:numId="5" w16cid:durableId="750812577">
    <w:abstractNumId w:val="7"/>
  </w:num>
  <w:num w:numId="6" w16cid:durableId="1812941772">
    <w:abstractNumId w:val="3"/>
  </w:num>
  <w:num w:numId="7" w16cid:durableId="2022080509">
    <w:abstractNumId w:val="2"/>
  </w:num>
  <w:num w:numId="8" w16cid:durableId="1238131777">
    <w:abstractNumId w:val="1"/>
  </w:num>
  <w:num w:numId="9" w16cid:durableId="1584219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416D"/>
    <w:rsid w:val="00670398"/>
    <w:rsid w:val="006837BC"/>
    <w:rsid w:val="00AA1D8D"/>
    <w:rsid w:val="00B47730"/>
    <w:rsid w:val="00CB0664"/>
    <w:rsid w:val="00F759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4D409"/>
  <w14:defaultImageDpi w14:val="300"/>
  <w15:docId w15:val="{8C860D9D-FDC6-4B6A-B434-A3E5C6A38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6E4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6E4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6E4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46A90E3644624196B71C81DEB2B2C3" ma:contentTypeVersion="13" ma:contentTypeDescription="Create a new document." ma:contentTypeScope="" ma:versionID="b7e6078b53b4a47358b7e9db0827b3b6">
  <xsd:schema xmlns:xsd="http://www.w3.org/2001/XMLSchema" xmlns:xs="http://www.w3.org/2001/XMLSchema" xmlns:p="http://schemas.microsoft.com/office/2006/metadata/properties" xmlns:ns2="674983a6-2dc5-434f-83f2-307a1af03546" xmlns:ns3="7d07430b-02db-4d7b-924f-9fc22f0ce928" targetNamespace="http://schemas.microsoft.com/office/2006/metadata/properties" ma:root="true" ma:fieldsID="01ff2145f8c046b1a82b0cbfe122a7d3" ns2:_="" ns3:_="">
    <xsd:import namespace="674983a6-2dc5-434f-83f2-307a1af03546"/>
    <xsd:import namespace="7d07430b-02db-4d7b-924f-9fc22f0ce9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983a6-2dc5-434f-83f2-307a1af03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747388-afa9-47a6-b7ac-88d79034a19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07430b-02db-4d7b-924f-9fc22f0ce9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d7fbc3-c16c-4e21-812d-ead011e89b0a}" ma:internalName="TaxCatchAll" ma:showField="CatchAllData" ma:web="7d07430b-02db-4d7b-924f-9fc22f0ce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4983a6-2dc5-434f-83f2-307a1af03546">
      <Terms xmlns="http://schemas.microsoft.com/office/infopath/2007/PartnerControls"/>
    </lcf76f155ced4ddcb4097134ff3c332f>
    <TaxCatchAll xmlns="7d07430b-02db-4d7b-924f-9fc22f0ce928"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94CAD8D-180F-4A39-B726-D58123439C95}"/>
</file>

<file path=customXml/itemProps3.xml><?xml version="1.0" encoding="utf-8"?>
<ds:datastoreItem xmlns:ds="http://schemas.openxmlformats.org/officeDocument/2006/customXml" ds:itemID="{3EC53E51-38DA-4C06-940B-7469902BF005}"/>
</file>

<file path=customXml/itemProps4.xml><?xml version="1.0" encoding="utf-8"?>
<ds:datastoreItem xmlns:ds="http://schemas.openxmlformats.org/officeDocument/2006/customXml" ds:itemID="{FB748D30-25F2-4C09-A9DC-4E98CDDCF3CD}"/>
</file>

<file path=docProps/app.xml><?xml version="1.0" encoding="utf-8"?>
<Properties xmlns="http://schemas.openxmlformats.org/officeDocument/2006/extended-properties" xmlns:vt="http://schemas.openxmlformats.org/officeDocument/2006/docPropsVTypes">
  <Template>Normal</Template>
  <TotalTime>0</TotalTime>
  <Pages>4</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Gail Milner</cp:lastModifiedBy>
  <cp:revision>2</cp:revision>
  <dcterms:created xsi:type="dcterms:W3CDTF">2026-09-03T15:42:00Z</dcterms:created>
  <dcterms:modified xsi:type="dcterms:W3CDTF">2026-09-03T15:42:00Z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0x0101007646A90E3644624196B71C81DEB2B2C3</vt:lpwstr>
  </property>
</Properties>
</file>