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1489182" cy="1489182"/>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7"/>
                    <a:srcRect b="0" l="0" r="0" t="0"/>
                    <a:stretch>
                      <a:fillRect/>
                    </a:stretch>
                  </pic:blipFill>
                  <pic:spPr>
                    <a:xfrm>
                      <a:off x="0" y="0"/>
                      <a:ext cx="1489182" cy="148918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spacing w:after="0" w:lineRule="auto"/>
        <w:rPr>
          <w:b w:val="1"/>
          <w:sz w:val="48"/>
          <w:szCs w:val="48"/>
        </w:rPr>
      </w:pPr>
      <w:r w:rsidDel="00000000" w:rsidR="00000000" w:rsidRPr="00000000">
        <w:rPr>
          <w:rFonts w:ascii="Calibri" w:cs="Calibri" w:eastAsia="Calibri" w:hAnsi="Calibri"/>
          <w:b w:val="1"/>
          <w:color w:val="7030a0"/>
          <w:sz w:val="72"/>
          <w:szCs w:val="72"/>
          <w:rtl w:val="0"/>
        </w:rPr>
        <w:t xml:space="preserve">|</w:t>
      </w:r>
      <w:r w:rsidDel="00000000" w:rsidR="00000000" w:rsidRPr="00000000">
        <w:rPr>
          <w:rFonts w:ascii="Calibri" w:cs="Calibri" w:eastAsia="Calibri" w:hAnsi="Calibri"/>
          <w:color w:val="000000"/>
          <w:sz w:val="48"/>
          <w:szCs w:val="48"/>
          <w:rtl w:val="0"/>
        </w:rPr>
        <w:t xml:space="preserve"> </w:t>
      </w:r>
      <w:r w:rsidDel="00000000" w:rsidR="00000000" w:rsidRPr="00000000">
        <w:rPr>
          <w:rFonts w:ascii="Calibri" w:cs="Calibri" w:eastAsia="Calibri" w:hAnsi="Calibri"/>
          <w:b w:val="1"/>
          <w:color w:val="000000"/>
          <w:sz w:val="48"/>
          <w:szCs w:val="48"/>
          <w:rtl w:val="0"/>
        </w:rPr>
        <w:t xml:space="preserve">Health and Safety Policy </w:t>
      </w:r>
      <w:r w:rsidDel="00000000" w:rsidR="00000000" w:rsidRPr="00000000">
        <w:rPr>
          <w:rtl w:val="0"/>
        </w:rPr>
      </w:r>
    </w:p>
    <w:p w:rsidR="00000000" w:rsidDel="00000000" w:rsidP="00000000" w:rsidRDefault="00000000" w:rsidRPr="00000000" w14:paraId="00000005">
      <w:pPr>
        <w:spacing w:after="0" w:lineRule="auto"/>
        <w:rPr>
          <w:b w:val="1"/>
          <w:sz w:val="48"/>
          <w:szCs w:val="48"/>
        </w:rPr>
      </w:pPr>
      <w:r w:rsidDel="00000000" w:rsidR="00000000" w:rsidRPr="00000000">
        <w:rPr>
          <w:rtl w:val="0"/>
        </w:rPr>
      </w:r>
    </w:p>
    <w:p w:rsidR="00000000" w:rsidDel="00000000" w:rsidP="00000000" w:rsidRDefault="00000000" w:rsidRPr="00000000" w14:paraId="00000006">
      <w:pPr>
        <w:tabs>
          <w:tab w:val="center" w:leader="none" w:pos="1873"/>
          <w:tab w:val="center" w:leader="none" w:pos="4802"/>
          <w:tab w:val="center" w:leader="none" w:pos="7386"/>
        </w:tabs>
        <w:spacing w:after="0" w:line="256" w:lineRule="auto"/>
        <w:rPr>
          <w:sz w:val="24"/>
          <w:szCs w:val="24"/>
        </w:rPr>
      </w:pPr>
      <w:r w:rsidDel="00000000" w:rsidR="00000000" w:rsidRPr="00000000">
        <w:rPr>
          <w:b w:val="1"/>
          <w:color w:val="00120a"/>
          <w:sz w:val="20"/>
          <w:szCs w:val="20"/>
          <w:rtl w:val="0"/>
        </w:rPr>
        <w:t xml:space="preserve">This policy was reviewed: </w:t>
        <w:tab/>
        <w:t xml:space="preserve"> </w:t>
        <w:tab/>
        <w:t xml:space="preserve"> </w:t>
      </w:r>
      <w:r w:rsidDel="00000000" w:rsidR="00000000" w:rsidRPr="00000000">
        <w:rPr>
          <w:rtl w:val="0"/>
        </w:rPr>
      </w:r>
    </w:p>
    <w:p w:rsidR="00000000" w:rsidDel="00000000" w:rsidP="00000000" w:rsidRDefault="00000000" w:rsidRPr="00000000" w14:paraId="00000007">
      <w:pPr>
        <w:spacing w:after="147" w:line="256" w:lineRule="auto"/>
        <w:ind w:left="450" w:firstLine="0"/>
        <w:rPr>
          <w:sz w:val="24"/>
          <w:szCs w:val="24"/>
        </w:rPr>
      </w:pPr>
      <w:r w:rsidDel="00000000" w:rsidR="00000000" w:rsidRPr="00000000">
        <w:rPr>
          <w:rtl w:val="0"/>
        </w:rPr>
      </w:r>
    </w:p>
    <w:p w:rsidR="00000000" w:rsidDel="00000000" w:rsidP="00000000" w:rsidRDefault="00000000" w:rsidRPr="00000000" w14:paraId="00000008">
      <w:pPr>
        <w:tabs>
          <w:tab w:val="center" w:leader="none" w:pos="1448"/>
          <w:tab w:val="center" w:leader="none" w:pos="4802"/>
          <w:tab w:val="center" w:leader="none" w:pos="6154"/>
        </w:tabs>
        <w:spacing w:after="200" w:line="256" w:lineRule="auto"/>
        <w:rPr>
          <w:sz w:val="24"/>
          <w:szCs w:val="24"/>
        </w:rPr>
      </w:pPr>
      <w:r w:rsidDel="00000000" w:rsidR="00000000" w:rsidRPr="00000000">
        <w:rPr>
          <w:rtl w:val="0"/>
        </w:rPr>
        <w:tab/>
      </w:r>
      <w:r w:rsidDel="00000000" w:rsidR="00000000" w:rsidRPr="00000000">
        <w:rPr>
          <w:b w:val="1"/>
          <w:color w:val="7030a0"/>
          <w:sz w:val="20"/>
          <w:szCs w:val="20"/>
          <w:rtl w:val="0"/>
        </w:rPr>
        <w:t xml:space="preserve">Date:</w:t>
      </w:r>
      <w:r w:rsidDel="00000000" w:rsidR="00000000" w:rsidRPr="00000000">
        <w:rPr>
          <w:color w:val="7030a0"/>
          <w:sz w:val="20"/>
          <w:szCs w:val="20"/>
          <w:rtl w:val="0"/>
        </w:rPr>
        <w:t xml:space="preserve"> </w:t>
      </w:r>
      <w:r w:rsidDel="00000000" w:rsidR="00000000" w:rsidRPr="00000000">
        <w:rPr>
          <w:sz w:val="20"/>
          <w:szCs w:val="20"/>
          <w:rtl w:val="0"/>
        </w:rPr>
        <w:t xml:space="preserve">August 2024 </w:t>
        <w:tab/>
      </w:r>
      <w:r w:rsidDel="00000000" w:rsidR="00000000" w:rsidRPr="00000000">
        <w:rPr>
          <w:b w:val="1"/>
          <w:color w:val="00a55c"/>
          <w:sz w:val="20"/>
          <w:szCs w:val="20"/>
          <w:rtl w:val="0"/>
        </w:rPr>
        <w:t xml:space="preserve"> </w:t>
        <w:tab/>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9">
      <w:pPr>
        <w:tabs>
          <w:tab w:val="center" w:leader="none" w:pos="1426"/>
          <w:tab w:val="center" w:leader="none" w:pos="4802"/>
          <w:tab w:val="center" w:leader="none" w:pos="5102"/>
        </w:tabs>
        <w:spacing w:after="200" w:line="256" w:lineRule="auto"/>
        <w:rPr>
          <w:sz w:val="24"/>
          <w:szCs w:val="24"/>
        </w:rPr>
      </w:pPr>
      <w:r w:rsidDel="00000000" w:rsidR="00000000" w:rsidRPr="00000000">
        <w:rPr>
          <w:rtl w:val="0"/>
        </w:rPr>
        <w:tab/>
      </w:r>
      <w:r w:rsidDel="00000000" w:rsidR="00000000" w:rsidRPr="00000000">
        <w:rPr>
          <w:b w:val="1"/>
          <w:color w:val="7030a0"/>
          <w:sz w:val="20"/>
          <w:szCs w:val="20"/>
          <w:rtl w:val="0"/>
        </w:rPr>
        <w:t xml:space="preserve">By:</w:t>
      </w:r>
      <w:r w:rsidDel="00000000" w:rsidR="00000000" w:rsidRPr="00000000">
        <w:rPr>
          <w:color w:val="7030a0"/>
          <w:sz w:val="20"/>
          <w:szCs w:val="20"/>
          <w:rtl w:val="0"/>
        </w:rPr>
        <w:t xml:space="preserve"> </w:t>
      </w:r>
      <w:r w:rsidDel="00000000" w:rsidR="00000000" w:rsidRPr="00000000">
        <w:rPr>
          <w:sz w:val="20"/>
          <w:szCs w:val="20"/>
          <w:rtl w:val="0"/>
        </w:rPr>
        <w:t xml:space="preserve">John Coates </w:t>
        <w:tab/>
      </w:r>
      <w:r w:rsidDel="00000000" w:rsidR="00000000" w:rsidRPr="00000000">
        <w:rPr>
          <w:b w:val="1"/>
          <w:color w:val="00a55c"/>
          <w:sz w:val="20"/>
          <w:szCs w:val="20"/>
          <w:rtl w:val="0"/>
        </w:rPr>
        <w:t xml:space="preserve"> </w:t>
        <w:tab/>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A">
      <w:pPr>
        <w:tabs>
          <w:tab w:val="center" w:leader="none" w:pos="2240"/>
          <w:tab w:val="center" w:leader="none" w:pos="4802"/>
          <w:tab w:val="center" w:leader="none" w:pos="6623"/>
        </w:tabs>
        <w:spacing w:after="363" w:line="256" w:lineRule="auto"/>
        <w:rPr>
          <w:b w:val="1"/>
          <w:sz w:val="48"/>
          <w:szCs w:val="48"/>
        </w:rPr>
      </w:pPr>
      <w:r w:rsidDel="00000000" w:rsidR="00000000" w:rsidRPr="00000000">
        <w:rPr>
          <w:rtl w:val="0"/>
        </w:rPr>
        <w:tab/>
      </w:r>
      <w:r w:rsidDel="00000000" w:rsidR="00000000" w:rsidRPr="00000000">
        <w:rPr>
          <w:b w:val="1"/>
          <w:color w:val="7030a0"/>
          <w:sz w:val="20"/>
          <w:szCs w:val="20"/>
          <w:rtl w:val="0"/>
        </w:rPr>
        <w:t xml:space="preserve">Policy will be reviewed: </w:t>
      </w:r>
      <w:r w:rsidDel="00000000" w:rsidR="00000000" w:rsidRPr="00000000">
        <w:rPr>
          <w:sz w:val="20"/>
          <w:szCs w:val="20"/>
          <w:rtl w:val="0"/>
        </w:rPr>
        <w:t xml:space="preserve"> August 2025</w:t>
        <w:tab/>
      </w:r>
      <w:r w:rsidDel="00000000" w:rsidR="00000000" w:rsidRPr="00000000">
        <w:rPr>
          <w:b w:val="1"/>
          <w:color w:val="00a55c"/>
          <w:sz w:val="20"/>
          <w:szCs w:val="20"/>
          <w:rtl w:val="0"/>
        </w:rPr>
        <w:t xml:space="preserve"> </w:t>
        <w:tab/>
      </w:r>
      <w:r w:rsidDel="00000000" w:rsidR="00000000" w:rsidRPr="00000000">
        <w:rPr>
          <w:b w:val="1"/>
          <w:color w:val="7030a0"/>
          <w:sz w:val="20"/>
          <w:szCs w:val="20"/>
          <w:rtl w:val="0"/>
        </w:rPr>
        <w:t xml:space="preserve">Frequency of review:</w:t>
      </w:r>
      <w:r w:rsidDel="00000000" w:rsidR="00000000" w:rsidRPr="00000000">
        <w:rPr>
          <w:color w:val="7030a0"/>
          <w:sz w:val="20"/>
          <w:szCs w:val="20"/>
          <w:rtl w:val="0"/>
        </w:rPr>
        <w:t xml:space="preserve"> </w:t>
      </w:r>
      <w:r w:rsidDel="00000000" w:rsidR="00000000" w:rsidRPr="00000000">
        <w:rPr>
          <w:sz w:val="20"/>
          <w:szCs w:val="20"/>
          <w:rtl w:val="0"/>
        </w:rPr>
        <w:t xml:space="preserve">Every 1 year</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At 1</w:t>
      </w:r>
      <w:r w:rsidDel="00000000" w:rsidR="00000000" w:rsidRPr="00000000">
        <w:rPr>
          <w:sz w:val="24"/>
          <w:szCs w:val="24"/>
          <w:vertAlign w:val="superscript"/>
          <w:rtl w:val="0"/>
        </w:rPr>
        <w:t xml:space="preserve">st</w:t>
      </w:r>
      <w:r w:rsidDel="00000000" w:rsidR="00000000" w:rsidRPr="00000000">
        <w:rPr>
          <w:sz w:val="24"/>
          <w:szCs w:val="24"/>
          <w:rtl w:val="0"/>
        </w:rPr>
        <w:t xml:space="preserve"> With Education Our Health and Safety Policy is to: protect the health, safety and wellbeing of all individuals within and accessing the services of 1</w:t>
      </w:r>
      <w:r w:rsidDel="00000000" w:rsidR="00000000" w:rsidRPr="00000000">
        <w:rPr>
          <w:sz w:val="24"/>
          <w:szCs w:val="24"/>
          <w:vertAlign w:val="superscript"/>
          <w:rtl w:val="0"/>
        </w:rPr>
        <w:t xml:space="preserve">st</w:t>
      </w:r>
      <w:r w:rsidDel="00000000" w:rsidR="00000000" w:rsidRPr="00000000">
        <w:rPr>
          <w:sz w:val="24"/>
          <w:szCs w:val="24"/>
          <w:rtl w:val="0"/>
        </w:rPr>
        <w:t xml:space="preserve"> With Education. In line with government guidelines on Health and Safety, we will monitor practices and procedures and ensure that all who use and are within the services are aware of them. </w:t>
      </w:r>
    </w:p>
    <w:p w:rsidR="00000000" w:rsidDel="00000000" w:rsidP="00000000" w:rsidRDefault="00000000" w:rsidRPr="00000000" w14:paraId="0000000F">
      <w:pPr>
        <w:rPr/>
      </w:pPr>
      <w:hyperlink r:id="rId8">
        <w:r w:rsidDel="00000000" w:rsidR="00000000" w:rsidRPr="00000000">
          <w:rPr>
            <w:color w:val="0000ff"/>
            <w:u w:val="single"/>
            <w:rtl w:val="0"/>
          </w:rPr>
          <w:t xml:space="preserve">HSE: Information about health and safety at work</w:t>
        </w:r>
      </w:hyperlink>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color w:val="7030a0"/>
          <w:sz w:val="40"/>
          <w:szCs w:val="40"/>
        </w:rPr>
      </w:pPr>
      <w:r w:rsidDel="00000000" w:rsidR="00000000" w:rsidRPr="00000000">
        <w:rPr>
          <w:b w:val="1"/>
          <w:color w:val="7030a0"/>
          <w:sz w:val="40"/>
          <w:szCs w:val="40"/>
          <w:rtl w:val="0"/>
        </w:rPr>
        <w:t xml:space="preserve">1 |Managing Health and Safety at 1</w:t>
      </w:r>
      <w:r w:rsidDel="00000000" w:rsidR="00000000" w:rsidRPr="00000000">
        <w:rPr>
          <w:b w:val="1"/>
          <w:color w:val="7030a0"/>
          <w:sz w:val="40"/>
          <w:szCs w:val="40"/>
          <w:vertAlign w:val="superscript"/>
          <w:rtl w:val="0"/>
        </w:rPr>
        <w:t xml:space="preserve">st</w:t>
      </w:r>
      <w:r w:rsidDel="00000000" w:rsidR="00000000" w:rsidRPr="00000000">
        <w:rPr>
          <w:b w:val="1"/>
          <w:color w:val="7030a0"/>
          <w:sz w:val="40"/>
          <w:szCs w:val="40"/>
          <w:rtl w:val="0"/>
        </w:rPr>
        <w:t xml:space="preserve"> With Education</w:t>
      </w:r>
    </w:p>
    <w:p w:rsidR="00000000" w:rsidDel="00000000" w:rsidP="00000000" w:rsidRDefault="00000000" w:rsidRPr="00000000" w14:paraId="00000012">
      <w:pPr>
        <w:rPr>
          <w:b w:val="1"/>
          <w:color w:val="7030a0"/>
          <w:sz w:val="24"/>
          <w:szCs w:val="24"/>
        </w:rPr>
      </w:pPr>
      <w:r w:rsidDel="00000000" w:rsidR="00000000" w:rsidRPr="00000000">
        <w:rPr>
          <w:sz w:val="24"/>
          <w:szCs w:val="24"/>
          <w:rtl w:val="0"/>
        </w:rPr>
        <w:t xml:space="preserve">1</w:t>
      </w:r>
      <w:r w:rsidDel="00000000" w:rsidR="00000000" w:rsidRPr="00000000">
        <w:rPr>
          <w:sz w:val="24"/>
          <w:szCs w:val="24"/>
          <w:vertAlign w:val="superscript"/>
          <w:rtl w:val="0"/>
        </w:rPr>
        <w:t xml:space="preserve">st</w:t>
      </w:r>
      <w:r w:rsidDel="00000000" w:rsidR="00000000" w:rsidRPr="00000000">
        <w:rPr>
          <w:sz w:val="24"/>
          <w:szCs w:val="24"/>
          <w:rtl w:val="0"/>
        </w:rPr>
        <w:t xml:space="preserve"> With Education operates from settings including public spaces (such as libraries) or the pupils’ homes.  Before using any public spaces 1</w:t>
      </w:r>
      <w:r w:rsidDel="00000000" w:rsidR="00000000" w:rsidRPr="00000000">
        <w:rPr>
          <w:sz w:val="24"/>
          <w:szCs w:val="24"/>
          <w:vertAlign w:val="superscript"/>
          <w:rtl w:val="0"/>
        </w:rPr>
        <w:t xml:space="preserve">st</w:t>
      </w:r>
      <w:r w:rsidDel="00000000" w:rsidR="00000000" w:rsidRPr="00000000">
        <w:rPr>
          <w:sz w:val="24"/>
          <w:szCs w:val="24"/>
          <w:rtl w:val="0"/>
        </w:rPr>
        <w:t xml:space="preserve"> With Education will conduct a Health and Safety visit and complete a Risk Assessment for each venue. 1</w:t>
      </w:r>
      <w:r w:rsidDel="00000000" w:rsidR="00000000" w:rsidRPr="00000000">
        <w:rPr>
          <w:sz w:val="24"/>
          <w:szCs w:val="24"/>
          <w:vertAlign w:val="superscript"/>
          <w:rtl w:val="0"/>
        </w:rPr>
        <w:t xml:space="preserve">st</w:t>
      </w:r>
      <w:r w:rsidDel="00000000" w:rsidR="00000000" w:rsidRPr="00000000">
        <w:rPr>
          <w:sz w:val="24"/>
          <w:szCs w:val="24"/>
          <w:rtl w:val="0"/>
        </w:rPr>
        <w:t xml:space="preserve"> With Education will make sure they are aware of the potential risks associated with each setting, which includes the behaviour of students within a setting. If any risks are identified within a setting, then steps will be taken to mitigate them. Students using the service will be made aware of the importance of following the Health and Safety procedures (including use of equipment and behaviour).</w:t>
      </w:r>
      <w:r w:rsidDel="00000000" w:rsidR="00000000" w:rsidRPr="00000000">
        <w:rPr>
          <w:rtl w:val="0"/>
        </w:rPr>
      </w:r>
    </w:p>
    <w:p w:rsidR="00000000" w:rsidDel="00000000" w:rsidP="00000000" w:rsidRDefault="00000000" w:rsidRPr="00000000" w14:paraId="00000013">
      <w:pPr>
        <w:rPr>
          <w:b w:val="1"/>
          <w:color w:val="7030a0"/>
          <w:sz w:val="40"/>
          <w:szCs w:val="40"/>
        </w:rPr>
      </w:pPr>
      <w:r w:rsidDel="00000000" w:rsidR="00000000" w:rsidRPr="00000000">
        <w:rPr>
          <w:rtl w:val="0"/>
        </w:rPr>
      </w:r>
    </w:p>
    <w:p w:rsidR="00000000" w:rsidDel="00000000" w:rsidP="00000000" w:rsidRDefault="00000000" w:rsidRPr="00000000" w14:paraId="00000014">
      <w:pPr>
        <w:rPr>
          <w:b w:val="1"/>
          <w:color w:val="7030a0"/>
          <w:sz w:val="40"/>
          <w:szCs w:val="40"/>
        </w:rPr>
      </w:pPr>
      <w:r w:rsidDel="00000000" w:rsidR="00000000" w:rsidRPr="00000000">
        <w:rPr>
          <w:b w:val="1"/>
          <w:color w:val="7030a0"/>
          <w:sz w:val="40"/>
          <w:szCs w:val="40"/>
          <w:rtl w:val="0"/>
        </w:rPr>
        <w:t xml:space="preserve">2 |Practices, Procedures and Reporting</w:t>
      </w:r>
    </w:p>
    <w:p w:rsidR="00000000" w:rsidDel="00000000" w:rsidP="00000000" w:rsidRDefault="00000000" w:rsidRPr="00000000" w14:paraId="00000015">
      <w:pPr>
        <w:rPr>
          <w:b w:val="1"/>
          <w:color w:val="7030a0"/>
          <w:sz w:val="40"/>
          <w:szCs w:val="40"/>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1</w:t>
      </w:r>
      <w:r w:rsidDel="00000000" w:rsidR="00000000" w:rsidRPr="00000000">
        <w:rPr>
          <w:sz w:val="24"/>
          <w:szCs w:val="24"/>
          <w:vertAlign w:val="superscript"/>
          <w:rtl w:val="0"/>
        </w:rPr>
        <w:t xml:space="preserve">st</w:t>
      </w:r>
      <w:r w:rsidDel="00000000" w:rsidR="00000000" w:rsidRPr="00000000">
        <w:rPr>
          <w:sz w:val="24"/>
          <w:szCs w:val="24"/>
          <w:rtl w:val="0"/>
        </w:rPr>
        <w:t xml:space="preserve"> With Education expects that many of the Health and Safety risks in terms of behaviour are mitigated through the information given at the time of referral and through the observation of students using the service. All staff working for 1</w:t>
      </w:r>
      <w:r w:rsidDel="00000000" w:rsidR="00000000" w:rsidRPr="00000000">
        <w:rPr>
          <w:sz w:val="24"/>
          <w:szCs w:val="24"/>
          <w:vertAlign w:val="superscript"/>
          <w:rtl w:val="0"/>
        </w:rPr>
        <w:t xml:space="preserve">st</w:t>
      </w:r>
      <w:r w:rsidDel="00000000" w:rsidR="00000000" w:rsidRPr="00000000">
        <w:rPr>
          <w:sz w:val="24"/>
          <w:szCs w:val="24"/>
          <w:rtl w:val="0"/>
        </w:rPr>
        <w:t xml:space="preserve"> With Education will receive relevant and update First Aid Training. Any incidents that occur during our session will be recorded on incident form and reported to the relevant authorities if necessary.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color w:val="7030a0"/>
          <w:sz w:val="40"/>
          <w:szCs w:val="40"/>
        </w:rPr>
      </w:pPr>
      <w:r w:rsidDel="00000000" w:rsidR="00000000" w:rsidRPr="00000000">
        <w:rPr>
          <w:b w:val="1"/>
          <w:color w:val="7030a0"/>
          <w:sz w:val="40"/>
          <w:szCs w:val="40"/>
          <w:rtl w:val="0"/>
        </w:rPr>
        <w:t xml:space="preserve">3 |Reviewing Health and Safety Performance</w:t>
      </w:r>
    </w:p>
    <w:p w:rsidR="00000000" w:rsidDel="00000000" w:rsidP="00000000" w:rsidRDefault="00000000" w:rsidRPr="00000000" w14:paraId="00000019">
      <w:pPr>
        <w:rPr>
          <w:b w:val="1"/>
          <w:color w:val="7030a0"/>
          <w:sz w:val="40"/>
          <w:szCs w:val="40"/>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Termly reports will be available detailing: </w:t>
      </w:r>
    </w:p>
    <w:p w:rsidR="00000000" w:rsidDel="00000000" w:rsidP="00000000" w:rsidRDefault="00000000" w:rsidRPr="00000000" w14:paraId="0000001B">
      <w:pPr>
        <w:rPr>
          <w:sz w:val="24"/>
          <w:szCs w:val="24"/>
        </w:rPr>
      </w:pPr>
      <w:r w:rsidDel="00000000" w:rsidR="00000000" w:rsidRPr="00000000">
        <w:rPr>
          <w:sz w:val="24"/>
          <w:szCs w:val="24"/>
          <w:rtl w:val="0"/>
        </w:rPr>
        <w:t xml:space="preserve">● Number of accidents .</w:t>
      </w:r>
    </w:p>
    <w:p w:rsidR="00000000" w:rsidDel="00000000" w:rsidP="00000000" w:rsidRDefault="00000000" w:rsidRPr="00000000" w14:paraId="0000001C">
      <w:pPr>
        <w:rPr>
          <w:b w:val="1"/>
          <w:color w:val="7030a0"/>
          <w:sz w:val="24"/>
          <w:szCs w:val="24"/>
        </w:rPr>
      </w:pPr>
      <w:r w:rsidDel="00000000" w:rsidR="00000000" w:rsidRPr="00000000">
        <w:rPr>
          <w:sz w:val="24"/>
          <w:szCs w:val="24"/>
          <w:rtl w:val="0"/>
        </w:rPr>
        <w:t xml:space="preserve">● Number of incidents.</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135963"/>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hs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sxSUfMuIegVfZwAmULvhgYya0A==">CgMxLjA4AHIhMXU0c2lydmhsV2h5b0VZRGQ4bWxLMGdVZUpOcVJPb2ht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2022-09-28T11:42:00Z</dcterms:created>
  <dc:creator>Colin Coates</dc:creator>
</cp:coreProperties>
</file>