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after="160"/>
        <w:jc w:val="center"/>
      </w:pPr>
      <w:r>
        <w:rPr>
          <w:b/>
          <w:color w:val="B47A00"/>
          <w:sz w:val="22"/>
        </w:rPr>
        <w:t>STATE OF LOC NATION GLOBAL PUBLIC BENEFIT CORPORATION</w:t>
      </w:r>
    </w:p>
    <w:p>
      <w:pPr>
        <w:pStyle w:val="Title"/>
        <w:jc w:val="center"/>
      </w:pPr>
      <w:r>
        <w:t>Terms and Conditions</w:t>
      </w:r>
    </w:p>
    <w:p>
      <w:pPr>
        <w:jc w:val="center"/>
      </w:pPr>
      <w:r>
        <w:rPr>
          <w:color w:val="31546F"/>
          <w:sz w:val="28"/>
        </w:rPr>
        <w:t>Website, Loan and Grant Platform, LND Network, and Back-End Software Services</w:t>
      </w:r>
    </w:p>
    <w:p>
      <w:pPr>
        <w:spacing w:before="480"/>
        <w:jc w:val="center"/>
      </w:pPr>
      <w:r>
        <w:rPr>
          <w:i/>
        </w:rPr>
        <w:t>Effective: September 1, 2026 | Version 1.0</w:t>
      </w:r>
    </w:p>
    <w:p>
      <w:pPr>
        <w:pStyle w:val="LeadCallout"/>
        <w:jc w:val="center"/>
      </w:pPr>
      <w:r>
        <w:t>U.S./Georgia launch draft | Users 18 and older | Separate affirmative clickwrap consents</w:t>
      </w:r>
    </w:p>
    <w:p>
      <w:r>
        <w:br w:type="page"/>
      </w:r>
    </w:p>
    <w:p>
      <w:pPr>
        <w:pStyle w:val="Heading1"/>
      </w:pPr>
      <w:r>
        <w:t>IMPORTANT — AGREEMENT TO THESE TERMS</w:t>
      </w:r>
    </w:p>
    <w:p>
      <w:r>
        <w:t>These Terms and Conditions ("Terms") are a binding agreement between you and State of Loc Nation Global Public Benefit Corporation ("SOLN GPBC," "SOLN," "we," "us," or "our"). They govern your access to https://stateoflocnation.com, the SOLN loan and grant platform, LND account and transaction tools, merchant and institutional portals, and related software and services (collectively, the "Services").</w:t>
      </w:r>
    </w:p>
    <w:p>
      <w:pPr>
        <w:pStyle w:val="LeadCallout"/>
      </w:pPr>
      <w:r>
        <w:t>The Services are established and administered within the SOLN Sovereign Polity and its public-benefit program jurisdiction for underfunded, unrepresented, and historically redlined persons, businesses, institutions, and communities nationally and globally. By accepting these Terms, you enter the SOLN program framework and agree to its applicable governance, eligibility, ledger, transaction, and community-benefit rules, together with the external law identified in the agreement governing the particular product or transaction.</w:t>
      </w:r>
    </w:p>
    <w:p>
      <w:pPr>
        <w:pStyle w:val="LeadCallout"/>
      </w:pPr>
      <w:r>
        <w:t>BY SELECTING THE UNCHECKED BOX LABELED “I AGREE TO THE TERMS AND CONDITIONS” AND THEN SELECTING “CREATE ACCOUNT,” “SUBMIT APPLICATION,” “ACCEPT AWARD,” “ACCEPT LOAN,” “SEND,” “PAY,” OR AN EQUIVALENT BUTTON, YOU AFFIRMATIVELY AGREE TO THE VERSION DISPLAYED TO YOU. A LINK ALONE, CONTINUED BROWSING, SILENCE, OR A PRECHECKED BOX DOES NOT CREATE ACCEPTANCE.</w:t>
      </w:r>
    </w:p>
    <w:p>
      <w:pPr>
        <w:pStyle w:val="Heading1"/>
      </w:pPr>
      <w:r>
        <w:t>1. Eligibility and Authority</w:t>
      </w:r>
    </w:p>
    <w:p>
      <w:pPr>
        <w:pStyle w:val="ListBullet"/>
      </w:pPr>
      <w:r>
        <w:t>You must be at least 18 years old and legally capable of entering a contract.</w:t>
      </w:r>
    </w:p>
    <w:p>
      <w:pPr>
        <w:pStyle w:val="ListBullet"/>
      </w:pPr>
      <w:r>
        <w:t>You must provide accurate, current, and complete information and promptly update it.</w:t>
      </w:r>
    </w:p>
    <w:p>
      <w:pPr>
        <w:pStyle w:val="ListBullet"/>
      </w:pPr>
      <w:r>
        <w:t>If acting for a business, institution, trust, sponsor, merchant, or other organization, you represent that you have authority to bind it.</w:t>
      </w:r>
    </w:p>
    <w:p>
      <w:pPr>
        <w:pStyle w:val="ListBullet"/>
      </w:pPr>
      <w:r>
        <w:t>Access may be limited by location, product eligibility, sanctions, licensing, partner requirements, or other lawful criteria.</w:t>
      </w:r>
    </w:p>
    <w:p>
      <w:pPr>
        <w:pStyle w:val="Heading1"/>
      </w:pPr>
      <w:r>
        <w:t>2. Separate Agreements and Order of Control</w:t>
      </w:r>
    </w:p>
    <w:p>
      <w:r>
        <w:t>These Terms govern platform access. A specific loan agreement, promissory note, grant award, program agreement, merchant agreement, institutional agreement, fee schedule, privacy notice, electronic records consent, or transaction confirmation may impose additional terms. For a conflict, the product- or transaction-specific agreement controls for that subject; mandatory law controls over all agreements.</w:t>
      </w:r>
    </w:p>
    <w:p>
      <w:pPr>
        <w:pStyle w:val="Heading1"/>
      </w:pPr>
      <w:r>
        <w:t>3. Accounts, Credentials, and Security</w:t>
      </w:r>
    </w:p>
    <w:p>
      <w:pPr>
        <w:pStyle w:val="ListBullet"/>
      </w:pPr>
      <w:r>
        <w:t>Maintain one accurate account unless we authorize otherwise.</w:t>
      </w:r>
    </w:p>
    <w:p>
      <w:pPr>
        <w:pStyle w:val="ListBullet"/>
      </w:pPr>
      <w:r>
        <w:t>Keep credentials, authentication methods, QR codes, devices, and recovery information secure.</w:t>
      </w:r>
    </w:p>
    <w:p>
      <w:pPr>
        <w:pStyle w:val="ListBullet"/>
      </w:pPr>
      <w:r>
        <w:t>Do not share access or permit an unauthorized person to initiate activity.</w:t>
      </w:r>
    </w:p>
    <w:p>
      <w:pPr>
        <w:pStyle w:val="ListBullet"/>
      </w:pPr>
      <w:r>
        <w:t>Promptly report suspected compromise, error, unauthorized transaction, identity theft, or lost device.</w:t>
      </w:r>
    </w:p>
    <w:p>
      <w:pPr>
        <w:pStyle w:val="ListBullet"/>
      </w:pPr>
      <w:r>
        <w:t>We may require identity, authority, source-of-funds, beneficial-ownership, or other verification before allowing access or transactions.</w:t>
      </w:r>
    </w:p>
    <w:p>
      <w:pPr>
        <w:pStyle w:val="Heading1"/>
      </w:pPr>
      <w:r>
        <w:t>4. Loan Applications and Loans</w:t>
      </w:r>
    </w:p>
    <w:p>
      <w:r>
        <w:t>Submitting an application is a request for consideration, not a promise of approval or funding. Approval, amount, price, repayment schedule, collateral, guaranty, covenants, fees, currency rail, disbursement, servicing, default, and remedies are governed by the final loan disclosures and signed loan agreement. Required disclosures must be presented before consummation. If consumer reports are used, a separate authorization and lawful permissible purpose are required.</w:t>
      </w:r>
    </w:p>
    <w:p>
      <w:r>
        <w:t>SOLN GPBC will not discriminate on a prohibited basis. When required, applicants will receive notice of action taken and specific principal reasons for adverse action. Special-purpose or community-focused credit programs must be documented and administered under applicable law.</w:t>
      </w:r>
    </w:p>
    <w:p>
      <w:pPr>
        <w:pStyle w:val="Heading1"/>
      </w:pPr>
      <w:r>
        <w:t>5. Grants and Sponsored Programs</w:t>
      </w:r>
    </w:p>
    <w:p>
      <w:r>
        <w:t>A grant is not a loan and does not require repayment unless the award agreement expressly provides a lawful recapture remedy for fraud, ineligibility, misuse, duplication, material breach, or unspent restricted funds. Each grant agreement will state the award amount and currency, permitted uses, milestones, reporting, documentation, monitoring, tax responsibility, closeout, publicity choices, and any sponsor conditions. Application does not guarantee an award.</w:t>
      </w:r>
    </w:p>
    <w:p>
      <w:pPr>
        <w:pStyle w:val="Heading1"/>
      </w:pPr>
      <w:r>
        <w:t>6. LND and USD Terms</w:t>
      </w:r>
    </w:p>
    <w:p>
      <w:pPr>
        <w:pStyle w:val="ListBullet"/>
      </w:pPr>
      <w:r>
        <w:t>LND and USD are separate rails, balances, and records. Your agreement and transaction confirmation identify what you receive, owe, send, or accept.</w:t>
      </w:r>
    </w:p>
    <w:p>
      <w:pPr>
        <w:pStyle w:val="ListBullet"/>
      </w:pPr>
      <w:r>
        <w:t>The publicly stated reference is 1 LND = $750 USD. A reference value is not a promise that USD is available, reserved, redeemable, insured, or automatically payable.</w:t>
      </w:r>
    </w:p>
    <w:p>
      <w:pPr>
        <w:pStyle w:val="ListBullet"/>
      </w:pPr>
      <w:r>
        <w:t>USD is delivered only through a separately identified USD funding source, payment method, and settlement process.</w:t>
      </w:r>
    </w:p>
    <w:p>
      <w:pPr>
        <w:pStyle w:val="ListBullet"/>
      </w:pPr>
      <w:r>
        <w:t>An LND grant or loan generally posts as an LND ledger credit and circulates within participating accounts or merchants; repayment currency and charges are stated in the applicable agreement.</w:t>
      </w:r>
    </w:p>
    <w:p>
      <w:pPr>
        <w:pStyle w:val="ListBullet"/>
      </w:pPr>
      <w:r>
        <w:t>A dual-rail award or conversion requires express terms stating the rate, amount, fees, limits, liquidity source, settlement provider, timing, reversibility, tax treatment, and failure procedure.</w:t>
      </w:r>
    </w:p>
    <w:p>
      <w:pPr>
        <w:pStyle w:val="ListBullet"/>
      </w:pPr>
      <w:r>
        <w:t>LND acceptance by a merchant or institution is governed by that participant’s agreement; acceptance is not universal.</w:t>
      </w:r>
    </w:p>
    <w:p>
      <w:pPr>
        <w:pStyle w:val="ListBullet"/>
      </w:pPr>
      <w:r>
        <w:t>LND is not represented by these Terms as a deposit account insured by the FDIC or NCUA, or as legal tender of the United States.</w:t>
      </w:r>
    </w:p>
    <w:p>
      <w:pPr>
        <w:pStyle w:val="Heading1"/>
      </w:pPr>
      <w:r>
        <w:t>7. Transactions, QR Codes, and Confirmations</w:t>
      </w:r>
    </w:p>
    <w:p>
      <w:r>
        <w:t>Before authorizing a transfer, you must review the recipient, account or QR identifier, amount, currency rail, fees, and total. Selecting the final “Send,” “Pay,” “Accept,” or equivalent control is your electronic instruction for the displayed transaction. A confirmation or receipt records the instruction but does not change governing settlement, error-resolution, reversal, or refund rights.</w:t>
      </w:r>
    </w:p>
    <w:p>
      <w:r>
        <w:t>Transactions may be delayed, declined, held, reversed, or restricted for verification, insufficient balance, error, fraud, sanctions, legal process, technical failure, participant rules, or risk controls. We will provide notices and error-resolution rights required by applicable law and product terms.</w:t>
      </w:r>
    </w:p>
    <w:p>
      <w:pPr>
        <w:pStyle w:val="Heading1"/>
      </w:pPr>
      <w:r>
        <w:t>8. Fees, Interest, Taxes, and No Hidden Charges</w:t>
      </w:r>
    </w:p>
    <w:p>
      <w:r>
        <w:t>No interest, finance charge, subscription fee, implementation fee, servicing fee, conversion charge, or other material price is owed unless it is clearly disclosed and affirmatively accepted in the applicable agreement or transaction screen. You are responsible for taxes unless law or a written agreement states otherwise. Third-party charges must be separately identified where known.</w:t>
      </w:r>
    </w:p>
    <w:p>
      <w:pPr>
        <w:pStyle w:val="Heading1"/>
      </w:pPr>
      <w:r>
        <w:t>9. Software and Institutional Services</w:t>
      </w:r>
    </w:p>
    <w:p>
      <w:r>
        <w:t>Subject to payment and compliance, SOLN GPBC grants an authorized customer a limited, nonexclusive, nontransferable, revocable right to use the software during the applicable subscription term. Customer data remains the customer’s data, subject to the rights needed to host, process, secure, support, reconcile, and comply with law. Service levels, implementation, support, integrations, data export, and termination assistance are governed by the applicable order form or institutional agreement.</w:t>
      </w:r>
    </w:p>
    <w:p>
      <w:pPr>
        <w:pStyle w:val="Heading1"/>
      </w:pPr>
      <w:r>
        <w:t>10. Acceptable Use</w:t>
      </w:r>
    </w:p>
    <w:p>
      <w:pPr>
        <w:pStyle w:val="ListBullet"/>
      </w:pPr>
      <w:r>
        <w:t>Do not use the Services for fraud, deception, money laundering, sanctions evasion, unauthorized payments, illegal goods or services, harassment, infringement, or unlawful discrimination.</w:t>
      </w:r>
    </w:p>
    <w:p>
      <w:pPr>
        <w:pStyle w:val="ListBullet"/>
      </w:pPr>
      <w:r>
        <w:t>Do not submit false identities, documents, eligibility facts, transaction descriptions, or authority claims.</w:t>
      </w:r>
    </w:p>
    <w:p>
      <w:pPr>
        <w:pStyle w:val="ListBullet"/>
      </w:pPr>
      <w:r>
        <w:t>Do not probe, bypass, disrupt, reverse engineer, scrape, overload, introduce malware, or access another account without authorization.</w:t>
      </w:r>
    </w:p>
    <w:p>
      <w:pPr>
        <w:pStyle w:val="ListBullet"/>
      </w:pPr>
      <w:r>
        <w:t>Do not misuse community-priority criteria, grant restrictions, lending decisions, QR codes, chargebacks, disputes, or conversion functions.</w:t>
      </w:r>
    </w:p>
    <w:p>
      <w:pPr>
        <w:pStyle w:val="ListBullet"/>
      </w:pPr>
      <w:r>
        <w:t>Do not represent that SOLN GPBC guaranteed a return, redemption, approval, government benefit, universal acceptance, or USD settlement unless the executed agreement expressly states it.</w:t>
      </w:r>
    </w:p>
    <w:p>
      <w:pPr>
        <w:pStyle w:val="Heading1"/>
      </w:pPr>
      <w:r>
        <w:t>11. Intellectual Property</w:t>
      </w:r>
    </w:p>
    <w:p>
      <w:r>
        <w:t>The Services, software, workflows, content, designs, names, marks, documentation, and technology are owned by SOLN GPBC or its licensors and protected by applicable law. No license is granted except the limited right to use the Services under these Terms. Feedback may be used without restriction or compensation, provided it does not identify you contrary to the Privacy Policy.</w:t>
      </w:r>
    </w:p>
    <w:p>
      <w:pPr>
        <w:pStyle w:val="Heading1"/>
      </w:pPr>
      <w:r>
        <w:t>12. Third-Party Services</w:t>
      </w:r>
    </w:p>
    <w:p>
      <w:r>
        <w:t>The Services may connect to banks, payment processors, identity providers, credit bureaus, cloud providers, wallets, merchants, and other third parties. Their separate terms and privacy practices may apply. SOLN GPBC is responsible only to the extent stated in an executed agreement or required by law.</w:t>
      </w:r>
    </w:p>
    <w:p>
      <w:pPr>
        <w:pStyle w:val="Heading1"/>
      </w:pPr>
      <w:r>
        <w:t>13. Suspension and Termination</w:t>
      </w:r>
    </w:p>
    <w:p>
      <w:r>
        <w:t>We may restrict or suspend access when reasonably necessary for security, suspected fraud, verification, legal compliance, nonpayment, material breach, system integrity, or participant protection. We may terminate an account after notice where required. Termination does not eliminate accrued obligations, repayment duties, audit rights, dispute rights, retention duties, or provisions intended to survive.</w:t>
      </w:r>
    </w:p>
    <w:p>
      <w:pPr>
        <w:pStyle w:val="Heading1"/>
      </w:pPr>
      <w:r>
        <w:t>14. Disclaimers</w:t>
      </w:r>
    </w:p>
    <w:p>
      <w:r>
        <w:t>Except for express written commitments and rights that cannot lawfully be waived, the Services are provided “as is” and “as available.” SOLN GPBC does not guarantee approval, funding, grant selection, uninterrupted access, universal merchant acceptance, USD convertibility, investment return, tax outcome, credit improvement, or suitability for a particular purpose. Nothing in the Services is individualized legal, tax, accounting, or investment advice.</w:t>
      </w:r>
    </w:p>
    <w:p>
      <w:pPr>
        <w:pStyle w:val="Heading1"/>
      </w:pPr>
      <w:r>
        <w:t>15. Limitation of Liability</w:t>
      </w:r>
    </w:p>
    <w:p>
      <w:r>
        <w:t>To the fullest extent permitted by law, SOLN GPBC will not be liable for indirect, incidental, special, exemplary, punitive, or consequential damages, or lost profits, data, opportunity, or goodwill, arising from the Services. Any aggregate cap must be stated in the applicable product agreement. This section does not limit liability that cannot lawfully be limited, including liability arising from fraud, willful misconduct, or statutory consumer rights where applicable.</w:t>
      </w:r>
    </w:p>
    <w:p>
      <w:pPr>
        <w:pStyle w:val="Heading1"/>
      </w:pPr>
      <w:r>
        <w:t>16. Indemnification</w:t>
      </w:r>
    </w:p>
    <w:p>
      <w:r>
        <w:t>Business, merchant, institutional, and sponsor users agree to defend and indemnify SOLN GPBC from third-party claims arising from their unlawful use, data, instructions, breach, or violation of another’s rights, except to the extent caused by SOLN GPBC. Consumer obligations under this section apply only to the extent permitted by law.</w:t>
      </w:r>
    </w:p>
    <w:p>
      <w:pPr>
        <w:pStyle w:val="Heading1"/>
      </w:pPr>
      <w:r>
        <w:t>17. Complaints and Disputes</w:t>
      </w:r>
    </w:p>
    <w:p>
      <w:r>
        <w:t>Contact info@stateoflocnation.com first with the account, transaction, or application reference and requested resolution. Nothing in these Terms limits a right to submit a complaint to a regulator or exercise a nonwaivable statutory right.</w:t>
      </w:r>
    </w:p>
    <w:p>
      <w:pPr>
        <w:pStyle w:val="LeadCallout"/>
      </w:pPr>
      <w:r>
        <w:t>Governing framework, law, and forum: The SOLN Sovereign Polity framework governs SOLN program administration, internal ledger rules, community-priority criteria, and public-benefit participation. Georgia law governs these platform Terms, together with mandatory law applicable to the product, transaction, or participant. Unless a separate signed agreement contains a legally reviewed dispute clause, disputes will be brought in a court or tribunal with lawful jurisdiction and venue. No arbitration, class-action waiver, jury waiver, confession of judgment, or shortened limitations period is created merely by these platform Terms.</w:t>
      </w:r>
    </w:p>
    <w:p>
      <w:pPr>
        <w:pStyle w:val="Heading1"/>
      </w:pPr>
      <w:r>
        <w:t>18. Electronic Records and Signatures</w:t>
      </w:r>
    </w:p>
    <w:p>
      <w:r>
        <w:t>Electronic records and signatures may be used only after the separate Electronic Records and Signature Consent is presented and accepted where required. That consent must disclose hardware and software requirements, how to obtain paper copies, whether fees apply, how to update contact information, how to withdraw consent, and the scope and consequences of withdrawal. Users must be able to download or print the Terms before accepting.</w:t>
      </w:r>
    </w:p>
    <w:p>
      <w:pPr>
        <w:pStyle w:val="Heading1"/>
      </w:pPr>
      <w:r>
        <w:t>19. Changes to Terms</w:t>
      </w:r>
    </w:p>
    <w:p>
      <w:r>
        <w:t>We may update these Terms prospectively. Material changes will be presented with advance notice where required and a new affirmative acceptance before they govern future use. Changes will not retroactively rewrite a completed transaction or signed loan, grant, or institutional agreement. We retain version history and acceptance evidence.</w:t>
      </w:r>
    </w:p>
    <w:p>
      <w:pPr>
        <w:pStyle w:val="Heading1"/>
      </w:pPr>
      <w:r>
        <w:t>20. General Terms</w:t>
      </w:r>
    </w:p>
    <w:p>
      <w:r>
        <w:t>These Terms and incorporated agreements are the entire agreement for their subject. If a provision is unenforceable, the remainder continues and the provision is limited to the minimum extent necessary. Failure to enforce is not a waiver. Assignment by you requires written consent; SOLN GPBC may assign in connection with a lawful merger, financing, reorganization, servicing transfer, or asset transfer, subject to required notices. Headings are for convenience. Notices may be delivered through the account, email, website, or mail as permitted by law.</w:t>
      </w:r>
    </w:p>
    <w:p>
      <w:pPr>
        <w:pStyle w:val="Heading1"/>
      </w:pPr>
      <w:r>
        <w:t>21. Contact</w:t>
      </w:r>
    </w:p>
    <w:p>
      <w:r>
        <w:t>State of Loc Nation Global Public Benefit Corporation</w:t>
        <w:br/>
        <w:t>Mailing and legal-notice address: 8 The Green, Dover, Delaware 19901</w:t>
        <w:br/>
        <w:t>Website: https://stateoflocnation.com</w:t>
        <w:br/>
        <w:t>Email: info@stateoflocnation.com</w:t>
        <w:br/>
        <w:t>Phone: 770-647-3915</w:t>
      </w:r>
    </w:p>
    <w:p>
      <w:pPr>
        <w:pStyle w:val="Heading1"/>
      </w:pPr>
      <w:r>
        <w:t>Appendix A — Clickwrap Acceptance Architecture</w:t>
      </w:r>
    </w:p>
    <w:tbl>
      <w:tblPr>
        <w:tblStyle w:val="TableGrid"/>
        <w:tblW w:type="dxa" w:w="9360"/>
        <w:jc w:val="left"/>
        <w:tblLayout w:type="fixed"/>
        <w:tblLook w:firstColumn="1" w:firstRow="1" w:lastColumn="0" w:lastRow="0" w:noHBand="0" w:noVBand="1" w:val="04A0"/>
        <w:tblInd w:w="120" w:type="dxa"/>
      </w:tblPr>
      <w:tblGrid>
        <w:gridCol w:w="1600"/>
        <w:gridCol w:w="5000"/>
        <w:gridCol w:w="2760"/>
      </w:tblGrid>
      <w:tr>
        <w:trPr>
          <w:cantSplit/>
        </w:trPr>
        <w:tc>
          <w:tcPr>
            <w:tcW w:type="dxa" w:w="1600"/>
            <w:shd w:fill="E8EEF5"/>
            <w:vAlign w:val="center"/>
            <w:tcMar>
              <w:top w:w="80" w:type="dxa"/>
              <w:start w:w="120" w:type="dxa"/>
              <w:bottom w:w="80" w:type="dxa"/>
              <w:end w:w="120" w:type="dxa"/>
            </w:tcMar>
          </w:tcPr>
          <w:p>
            <w:r>
              <w:rPr>
                <w:b/>
                <w:color w:val="102A43"/>
              </w:rPr>
              <w:t>Moment</w:t>
            </w:r>
          </w:p>
        </w:tc>
        <w:tc>
          <w:tcPr>
            <w:tcW w:type="dxa" w:w="5000"/>
            <w:shd w:fill="E8EEF5"/>
            <w:vAlign w:val="center"/>
            <w:tcMar>
              <w:top w:w="80" w:type="dxa"/>
              <w:start w:w="120" w:type="dxa"/>
              <w:bottom w:w="80" w:type="dxa"/>
              <w:end w:w="120" w:type="dxa"/>
            </w:tcMar>
          </w:tcPr>
          <w:p>
            <w:r>
              <w:rPr>
                <w:b/>
                <w:color w:val="102A43"/>
              </w:rPr>
              <w:t>Required unchecked control</w:t>
            </w:r>
          </w:p>
        </w:tc>
        <w:tc>
          <w:tcPr>
            <w:tcW w:type="dxa" w:w="2760"/>
            <w:shd w:fill="E8EEF5"/>
            <w:vAlign w:val="center"/>
            <w:tcMar>
              <w:top w:w="80" w:type="dxa"/>
              <w:start w:w="120" w:type="dxa"/>
              <w:bottom w:w="80" w:type="dxa"/>
              <w:end w:w="120" w:type="dxa"/>
            </w:tcMar>
          </w:tcPr>
          <w:p>
            <w:r>
              <w:rPr>
                <w:b/>
                <w:color w:val="102A43"/>
              </w:rPr>
              <w:t>What the final button means</w:t>
            </w:r>
          </w:p>
        </w:tc>
      </w:tr>
      <w:tr>
        <w:trPr>
          <w:cantSplit/>
        </w:trPr>
        <w:tc>
          <w:tcPr>
            <w:tcW w:type="dxa" w:w="1600"/>
            <w:vAlign w:val="top"/>
            <w:tcMar>
              <w:top w:w="80" w:type="dxa"/>
              <w:start w:w="120" w:type="dxa"/>
              <w:bottom w:w="80" w:type="dxa"/>
              <w:end w:w="120" w:type="dxa"/>
            </w:tcMar>
          </w:tcPr>
          <w:p>
            <w:r>
              <w:t>Create account</w:t>
            </w:r>
          </w:p>
        </w:tc>
        <w:tc>
          <w:tcPr>
            <w:tcW w:type="dxa" w:w="5000"/>
            <w:vAlign w:val="top"/>
            <w:tcMar>
              <w:top w:w="80" w:type="dxa"/>
              <w:start w:w="120" w:type="dxa"/>
              <w:bottom w:w="80" w:type="dxa"/>
              <w:end w:w="120" w:type="dxa"/>
            </w:tcMar>
          </w:tcPr>
          <w:p>
            <w:r>
              <w:t>☐ I agree to the Terms and Conditions.</w:t>
              <w:br/>
              <w:t>☐ I acknowledge receipt of the Privacy Policy.</w:t>
              <w:br/>
              <w:t>☐ I consent to electronic records and signatures.</w:t>
            </w:r>
          </w:p>
        </w:tc>
        <w:tc>
          <w:tcPr>
            <w:tcW w:type="dxa" w:w="2760"/>
            <w:vAlign w:val="top"/>
            <w:tcMar>
              <w:top w:w="80" w:type="dxa"/>
              <w:start w:w="120" w:type="dxa"/>
              <w:bottom w:w="80" w:type="dxa"/>
              <w:end w:w="120" w:type="dxa"/>
            </w:tcMar>
          </w:tcPr>
          <w:p>
            <w:r>
              <w:t>“Create Account” forms the platform agreement and records the separate acknowledgments/consents.</w:t>
            </w:r>
          </w:p>
        </w:tc>
      </w:tr>
      <w:tr>
        <w:trPr>
          <w:cantSplit/>
        </w:trPr>
        <w:tc>
          <w:tcPr>
            <w:tcW w:type="dxa" w:w="1600"/>
            <w:vAlign w:val="top"/>
            <w:tcMar>
              <w:top w:w="80" w:type="dxa"/>
              <w:start w:w="120" w:type="dxa"/>
              <w:bottom w:w="80" w:type="dxa"/>
              <w:end w:w="120" w:type="dxa"/>
            </w:tcMar>
          </w:tcPr>
          <w:p>
            <w:r>
              <w:t>Submit loan application</w:t>
            </w:r>
          </w:p>
        </w:tc>
        <w:tc>
          <w:tcPr>
            <w:tcW w:type="dxa" w:w="5000"/>
            <w:vAlign w:val="top"/>
            <w:tcMar>
              <w:top w:w="80" w:type="dxa"/>
              <w:start w:w="120" w:type="dxa"/>
              <w:bottom w:w="80" w:type="dxa"/>
              <w:end w:w="120" w:type="dxa"/>
            </w:tcMar>
          </w:tcPr>
          <w:p>
            <w:r>
              <w:t>☐ I certify the application is complete and accurate.</w:t>
              <w:br/>
              <w:t>☐ I authorize application verification.</w:t>
              <w:br/>
              <w:t>☐ [If used] I authorize a consumer report for this application.</w:t>
            </w:r>
          </w:p>
        </w:tc>
        <w:tc>
          <w:tcPr>
            <w:tcW w:type="dxa" w:w="2760"/>
            <w:vAlign w:val="top"/>
            <w:tcMar>
              <w:top w:w="80" w:type="dxa"/>
              <w:start w:w="120" w:type="dxa"/>
              <w:bottom w:w="80" w:type="dxa"/>
              <w:end w:w="120" w:type="dxa"/>
            </w:tcMar>
          </w:tcPr>
          <w:p>
            <w:r>
              <w:t>“Submit Application” sends a credit request; it is not loan acceptance.</w:t>
            </w:r>
          </w:p>
        </w:tc>
      </w:tr>
      <w:tr>
        <w:trPr>
          <w:cantSplit/>
        </w:trPr>
        <w:tc>
          <w:tcPr>
            <w:tcW w:type="dxa" w:w="1600"/>
            <w:vAlign w:val="top"/>
            <w:tcMar>
              <w:top w:w="80" w:type="dxa"/>
              <w:start w:w="120" w:type="dxa"/>
              <w:bottom w:w="80" w:type="dxa"/>
              <w:end w:w="120" w:type="dxa"/>
            </w:tcMar>
          </w:tcPr>
          <w:p>
            <w:r>
              <w:t>Accept loan</w:t>
            </w:r>
          </w:p>
        </w:tc>
        <w:tc>
          <w:tcPr>
            <w:tcW w:type="dxa" w:w="5000"/>
            <w:vAlign w:val="top"/>
            <w:tcMar>
              <w:top w:w="80" w:type="dxa"/>
              <w:start w:w="120" w:type="dxa"/>
              <w:bottom w:w="80" w:type="dxa"/>
              <w:end w:w="120" w:type="dxa"/>
            </w:tcMar>
          </w:tcPr>
          <w:p>
            <w:r>
              <w:t>☐ I received and agree to the loan agreement and required disclosures.</w:t>
              <w:br/>
              <w:t>☐ I confirm the repayment currency and payment schedule.</w:t>
            </w:r>
          </w:p>
        </w:tc>
        <w:tc>
          <w:tcPr>
            <w:tcW w:type="dxa" w:w="2760"/>
            <w:vAlign w:val="top"/>
            <w:tcMar>
              <w:top w:w="80" w:type="dxa"/>
              <w:start w:w="120" w:type="dxa"/>
              <w:bottom w:w="80" w:type="dxa"/>
              <w:end w:w="120" w:type="dxa"/>
            </w:tcMar>
          </w:tcPr>
          <w:p>
            <w:r>
              <w:t>“Accept Loan &amp; Sign” executes only the displayed loan documents.</w:t>
            </w:r>
          </w:p>
        </w:tc>
      </w:tr>
      <w:tr>
        <w:trPr>
          <w:cantSplit/>
        </w:trPr>
        <w:tc>
          <w:tcPr>
            <w:tcW w:type="dxa" w:w="1600"/>
            <w:vAlign w:val="top"/>
            <w:tcMar>
              <w:top w:w="80" w:type="dxa"/>
              <w:start w:w="120" w:type="dxa"/>
              <w:bottom w:w="80" w:type="dxa"/>
              <w:end w:w="120" w:type="dxa"/>
            </w:tcMar>
          </w:tcPr>
          <w:p>
            <w:r>
              <w:t>Accept grant</w:t>
            </w:r>
          </w:p>
        </w:tc>
        <w:tc>
          <w:tcPr>
            <w:tcW w:type="dxa" w:w="5000"/>
            <w:vAlign w:val="top"/>
            <w:tcMar>
              <w:top w:w="80" w:type="dxa"/>
              <w:start w:w="120" w:type="dxa"/>
              <w:bottom w:w="80" w:type="dxa"/>
              <w:end w:w="120" w:type="dxa"/>
            </w:tcMar>
          </w:tcPr>
          <w:p>
            <w:r>
              <w:t>☐ I agree to the grant award, permitted uses, milestones, reporting, and closeout terms.</w:t>
              <w:br/>
              <w:t>☐ I confirm the award currency.</w:t>
            </w:r>
          </w:p>
        </w:tc>
        <w:tc>
          <w:tcPr>
            <w:tcW w:type="dxa" w:w="2760"/>
            <w:vAlign w:val="top"/>
            <w:tcMar>
              <w:top w:w="80" w:type="dxa"/>
              <w:start w:w="120" w:type="dxa"/>
              <w:bottom w:w="80" w:type="dxa"/>
              <w:end w:w="120" w:type="dxa"/>
            </w:tcMar>
          </w:tcPr>
          <w:p>
            <w:r>
              <w:t>“Accept Grant” executes the displayed award agreement.</w:t>
            </w:r>
          </w:p>
        </w:tc>
      </w:tr>
      <w:tr>
        <w:trPr>
          <w:cantSplit/>
        </w:trPr>
        <w:tc>
          <w:tcPr>
            <w:tcW w:type="dxa" w:w="1600"/>
            <w:vAlign w:val="top"/>
            <w:tcMar>
              <w:top w:w="80" w:type="dxa"/>
              <w:start w:w="120" w:type="dxa"/>
              <w:bottom w:w="80" w:type="dxa"/>
              <w:end w:w="120" w:type="dxa"/>
            </w:tcMar>
          </w:tcPr>
          <w:p>
            <w:r>
              <w:t>Open or activate LND account</w:t>
            </w:r>
          </w:p>
        </w:tc>
        <w:tc>
          <w:tcPr>
            <w:tcW w:type="dxa" w:w="5000"/>
            <w:vAlign w:val="top"/>
            <w:tcMar>
              <w:top w:w="80" w:type="dxa"/>
              <w:start w:w="120" w:type="dxa"/>
              <w:bottom w:w="80" w:type="dxa"/>
              <w:end w:w="120" w:type="dxa"/>
            </w:tcMar>
          </w:tcPr>
          <w:p>
            <w:r>
              <w:t>☐ I understand LND and USD are separate rails and the reference value does not guarantee USD availability or redemption.</w:t>
            </w:r>
          </w:p>
        </w:tc>
        <w:tc>
          <w:tcPr>
            <w:tcW w:type="dxa" w:w="2760"/>
            <w:vAlign w:val="top"/>
            <w:tcMar>
              <w:top w:w="80" w:type="dxa"/>
              <w:start w:w="120" w:type="dxa"/>
              <w:bottom w:w="80" w:type="dxa"/>
              <w:end w:w="120" w:type="dxa"/>
            </w:tcMar>
          </w:tcPr>
          <w:p>
            <w:r>
              <w:t>“Activate LND Account” records acceptance of the LND disclosure and account terms.</w:t>
            </w:r>
          </w:p>
        </w:tc>
      </w:tr>
      <w:tr>
        <w:trPr>
          <w:cantSplit/>
        </w:trPr>
        <w:tc>
          <w:tcPr>
            <w:tcW w:type="dxa" w:w="1600"/>
            <w:vAlign w:val="top"/>
            <w:tcMar>
              <w:top w:w="80" w:type="dxa"/>
              <w:start w:w="120" w:type="dxa"/>
              <w:bottom w:w="80" w:type="dxa"/>
              <w:end w:w="120" w:type="dxa"/>
            </w:tcMar>
          </w:tcPr>
          <w:p>
            <w:r>
              <w:t>Send/pay/convert</w:t>
            </w:r>
          </w:p>
        </w:tc>
        <w:tc>
          <w:tcPr>
            <w:tcW w:type="dxa" w:w="5000"/>
            <w:vAlign w:val="top"/>
            <w:tcMar>
              <w:top w:w="80" w:type="dxa"/>
              <w:start w:w="120" w:type="dxa"/>
              <w:bottom w:w="80" w:type="dxa"/>
              <w:end w:w="120" w:type="dxa"/>
            </w:tcMar>
          </w:tcPr>
          <w:p>
            <w:r>
              <w:t>☐ I confirm the recipient, amount, rail, fees, and total shown above.</w:t>
            </w:r>
          </w:p>
        </w:tc>
        <w:tc>
          <w:tcPr>
            <w:tcW w:type="dxa" w:w="2760"/>
            <w:vAlign w:val="top"/>
            <w:tcMar>
              <w:top w:w="80" w:type="dxa"/>
              <w:start w:w="120" w:type="dxa"/>
              <w:bottom w:w="80" w:type="dxa"/>
              <w:end w:w="120" w:type="dxa"/>
            </w:tcMar>
          </w:tcPr>
          <w:p>
            <w:r>
              <w:t>The final action button is a transaction-specific electronic instruction.</w:t>
            </w:r>
          </w:p>
        </w:tc>
      </w:tr>
      <w:tr>
        <w:trPr>
          <w:cantSplit/>
        </w:trPr>
        <w:tc>
          <w:tcPr>
            <w:tcW w:type="dxa" w:w="1600"/>
            <w:vAlign w:val="top"/>
            <w:tcMar>
              <w:top w:w="80" w:type="dxa"/>
              <w:start w:w="120" w:type="dxa"/>
              <w:bottom w:w="80" w:type="dxa"/>
              <w:end w:w="120" w:type="dxa"/>
            </w:tcMar>
          </w:tcPr>
          <w:p>
            <w:r>
              <w:t>Merchant/institution enrollment</w:t>
            </w:r>
          </w:p>
        </w:tc>
        <w:tc>
          <w:tcPr>
            <w:tcW w:type="dxa" w:w="5000"/>
            <w:vAlign w:val="top"/>
            <w:tcMar>
              <w:top w:w="80" w:type="dxa"/>
              <w:start w:w="120" w:type="dxa"/>
              <w:bottom w:w="80" w:type="dxa"/>
              <w:end w:w="120" w:type="dxa"/>
            </w:tcMar>
          </w:tcPr>
          <w:p>
            <w:r>
              <w:t>☐ I am authorized to bind the organization and agree to the applicable merchant/institution agreement.</w:t>
            </w:r>
          </w:p>
        </w:tc>
        <w:tc>
          <w:tcPr>
            <w:tcW w:type="dxa" w:w="2760"/>
            <w:vAlign w:val="top"/>
            <w:tcMar>
              <w:top w:w="80" w:type="dxa"/>
              <w:start w:w="120" w:type="dxa"/>
              <w:bottom w:w="80" w:type="dxa"/>
              <w:end w:w="120" w:type="dxa"/>
            </w:tcMar>
          </w:tcPr>
          <w:p>
            <w:r>
              <w:t>“Enroll Organization” executes the organization agreement through the authorized representative.</w:t>
            </w:r>
          </w:p>
        </w:tc>
      </w:tr>
      <w:tr>
        <w:trPr>
          <w:cantSplit/>
        </w:trPr>
        <w:tc>
          <w:tcPr>
            <w:tcW w:type="dxa" w:w="1600"/>
            <w:vAlign w:val="top"/>
            <w:tcMar>
              <w:top w:w="80" w:type="dxa"/>
              <w:start w:w="120" w:type="dxa"/>
              <w:bottom w:w="80" w:type="dxa"/>
              <w:end w:w="120" w:type="dxa"/>
            </w:tcMar>
          </w:tcPr>
          <w:p>
            <w:r>
              <w:t>Material update</w:t>
            </w:r>
          </w:p>
        </w:tc>
        <w:tc>
          <w:tcPr>
            <w:tcW w:type="dxa" w:w="5000"/>
            <w:vAlign w:val="top"/>
            <w:tcMar>
              <w:top w:w="80" w:type="dxa"/>
              <w:start w:w="120" w:type="dxa"/>
              <w:bottom w:w="80" w:type="dxa"/>
              <w:end w:w="120" w:type="dxa"/>
            </w:tcMar>
          </w:tcPr>
          <w:p>
            <w:r>
              <w:t>☐ I agree to the updated [named agreement], version [X], effective [date].</w:t>
            </w:r>
          </w:p>
        </w:tc>
        <w:tc>
          <w:tcPr>
            <w:tcW w:type="dxa" w:w="2760"/>
            <w:vAlign w:val="top"/>
            <w:tcMar>
              <w:top w:w="80" w:type="dxa"/>
              <w:start w:w="120" w:type="dxa"/>
              <w:bottom w:w="80" w:type="dxa"/>
              <w:end w:w="120" w:type="dxa"/>
            </w:tcMar>
          </w:tcPr>
          <w:p>
            <w:r>
              <w:t>“Accept Update” governs prospectively; access is handled according to law and the prior agreement.</w:t>
            </w:r>
          </w:p>
        </w:tc>
      </w:tr>
    </w:tbl>
    <w:p>
      <w:pPr>
        <w:pStyle w:val="Heading1"/>
      </w:pPr>
      <w:r>
        <w:t>Appendix B — Acceptance Evidence Requirements</w:t>
      </w:r>
    </w:p>
    <w:p>
      <w:pPr>
        <w:pStyle w:val="ListBullet"/>
      </w:pPr>
      <w:r>
        <w:t>No prechecked boxes; the user must take an affirmative action.</w:t>
      </w:r>
    </w:p>
    <w:p>
      <w:pPr>
        <w:pStyle w:val="ListBullet"/>
      </w:pPr>
      <w:r>
        <w:t>Place the linked document title and version immediately beside the checkbox; links must open before acceptance.</w:t>
      </w:r>
    </w:p>
    <w:p>
      <w:pPr>
        <w:pStyle w:val="ListBullet"/>
      </w:pPr>
      <w:r>
        <w:t>Keep the final button disabled until each required separate control is selected.</w:t>
      </w:r>
    </w:p>
    <w:p>
      <w:pPr>
        <w:pStyle w:val="ListBullet"/>
      </w:pPr>
      <w:r>
        <w:t>Record user/account ID, organization and authority where applicable, UTC timestamp, IP address, device/session identifier, document version, exact displayed text, document hash, checkbox state, and action result.</w:t>
      </w:r>
    </w:p>
    <w:p>
      <w:pPr>
        <w:pStyle w:val="ListBullet"/>
      </w:pPr>
      <w:r>
        <w:t>Preserve a downloadable copy of every accepted agreement and send or make available a receipt.</w:t>
      </w:r>
    </w:p>
    <w:p>
      <w:pPr>
        <w:pStyle w:val="ListBullet"/>
      </w:pPr>
      <w:r>
        <w:t>Do not bundle optional marketing or sensitive-data consent with required platform terms.</w:t>
      </w:r>
    </w:p>
    <w:p>
      <w:pPr>
        <w:pStyle w:val="ListBullet"/>
      </w:pPr>
      <w:r>
        <w:t>Require renewed acceptance for material changes; preserve every historical version.</w:t>
      </w:r>
    </w:p>
    <w:p>
      <w:pPr>
        <w:pStyle w:val="ListBullet"/>
      </w:pPr>
      <w:r>
        <w:t>Create separate records for account terms, privacy acknowledgment, E-SIGN consent, credit authorization, loan agreement, grant agreement, LND disclosure, and each transaction instruction.</w:t>
      </w:r>
    </w:p>
    <w:p>
      <w:pPr>
        <w:pStyle w:val="Heading1"/>
      </w:pPr>
      <w:r>
        <w:t>Appendix C — Pre-Launch Legal and Product Gate</w:t>
      </w:r>
    </w:p>
    <w:p>
      <w:pPr>
        <w:pStyle w:val="ListBullet"/>
      </w:pPr>
      <w:r>
        <w:t>Confirm lending, brokering, servicing, money-transmission, virtual-currency, grant-administration, collection, and credit-reporting roles in every launch jurisdiction.</w:t>
      </w:r>
    </w:p>
    <w:p>
      <w:pPr>
        <w:pStyle w:val="ListBullet"/>
      </w:pPr>
      <w:r>
        <w:t>Approve final product disclosures, fee schedules, adverse-action process, error-resolution process, complaint handling, accessibility, and language access.</w:t>
      </w:r>
    </w:p>
    <w:p>
      <w:pPr>
        <w:pStyle w:val="ListBullet"/>
      </w:pPr>
      <w:r>
        <w:t>Complete GLBA/Regulation P and Safeguards Rule analysis; issue any required financial privacy notice.</w:t>
      </w:r>
    </w:p>
    <w:p>
      <w:pPr>
        <w:pStyle w:val="ListBullet"/>
      </w:pPr>
      <w:r>
        <w:t>Complete E-SIGN demonstrable-consent flow and Georgia electronic-transactions review.</w:t>
      </w:r>
    </w:p>
    <w:p>
      <w:pPr>
        <w:pStyle w:val="ListBullet"/>
      </w:pPr>
      <w:r>
        <w:t>Validate LND/USD language against actual reserves, liquidity, settlement partners, merchant acceptance, and accounting.</w:t>
      </w:r>
    </w:p>
    <w:p>
      <w:pPr>
        <w:pStyle w:val="ListBullet"/>
      </w:pPr>
      <w:r>
        <w:t>Add a verified legal-notice address and registered-agent/contact process.</w:t>
      </w:r>
    </w:p>
    <w:p>
      <w:pPr>
        <w:pStyle w:val="ListBullet"/>
      </w:pPr>
      <w:r>
        <w:t>Have licensed counsel approve any arbitration, class waiver, auto-debit authorization, recurring payment, guaranty, collateral, confession-of-judgment, or collections language before use.</w:t>
      </w:r>
    </w:p>
    <w:p>
      <w:pPr>
        <w:pStyle w:val="Heading1"/>
      </w:pPr>
      <w:r>
        <w:t>Implementation References</w:t>
      </w:r>
    </w:p>
    <w:p>
      <w:pPr>
        <w:pStyle w:val="ListBullet"/>
      </w:pPr>
      <w:r>
        <w:t>Federal E-SIGN Act, 15 U.S.C. § 7001 et seq.; Georgia Uniform Electronic Transactions Act, O.C.G.A. § 10-12-1 et seq.</w:t>
      </w:r>
    </w:p>
    <w:p>
      <w:pPr>
        <w:pStyle w:val="ListBullet"/>
      </w:pPr>
      <w:r>
        <w:t>Equal Credit Opportunity Act and Regulation B; Truth in Lending Act and Regulation Z, where applicable.</w:t>
      </w:r>
    </w:p>
    <w:p>
      <w:pPr>
        <w:pStyle w:val="ListBullet"/>
      </w:pPr>
      <w:r>
        <w:t>Fair Credit Reporting Act and Regulation V; Gramm-Leach-Bliley Act privacy and safeguards requirements, where applicable.</w:t>
      </w:r>
    </w:p>
    <w:p>
      <w:pPr>
        <w:pStyle w:val="ListBullet"/>
      </w:pPr>
      <w:r>
        <w:t>Electronic Fund Transfer Act and Regulation E for covered electronic transfers; FTC Act and Consumer Financial Protection Act prohibitions on unfair or deceptive practices.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6B76"/>
        <w:sz w:val="16"/>
      </w:rPr>
      <w:t xml:space="preserve">Terms and Conditions | Effective September 1,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color w:val="5F6B76"/>
        <w:sz w:val="18"/>
      </w:rPr>
      <w:t>State of Loc Nation Global Public Benefit Corporation | Terms and Conditions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69C2"/>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69C2"/>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02A4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02A43"/>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160" w:after="200"/>
      <w:ind w:left="216" w:right="216"/>
    </w:pPr>
    <w:rPr>
      <w:rFonts w:ascii="Calibri" w:hAnsi="Calibri"/>
      <w:b/>
      <w:color w:val="102A43"/>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Loc Nation Global Public Benefit Corporation Terms and Conditions</dc:title>
  <dc:subject/>
  <dc:creator>State of Loc Nation Global Public Benefit Corporation</dc:creator>
  <cp:keywords/>
  <dc:description>generated by python-docx</dc:description>
  <cp:lastModifiedBy/>
  <cp:revision>1</cp:revision>
  <dcterms:created xsi:type="dcterms:W3CDTF">2013-12-23T23:15:00Z</dcterms:created>
  <dcterms:modified xsi:type="dcterms:W3CDTF">2013-12-23T23:15:00Z</dcterms:modified>
  <cp:category/>
</cp:coreProperties>
</file>