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0"/>
        <w:jc w:val="center"/>
      </w:pPr>
      <w:r>
        <w:rPr>
          <w:b/>
          <w:i w:val="0"/>
          <w:color w:val="B77B00"/>
          <w:sz w:val="22"/>
        </w:rPr>
        <w:t>STATE OF LOC NATION</w:t>
      </w:r>
    </w:p>
    <w:p>
      <w:pPr>
        <w:spacing w:after="100"/>
        <w:jc w:val="center"/>
      </w:pPr>
      <w:r>
        <w:rPr>
          <w:b/>
          <w:i w:val="0"/>
          <w:color w:val="102A43"/>
          <w:sz w:val="52"/>
        </w:rPr>
        <w:t>SOLN Community Lending &amp; Grant Network</w:t>
      </w:r>
    </w:p>
    <w:p>
      <w:pPr>
        <w:jc w:val="center"/>
      </w:pPr>
      <w:r>
        <w:rPr>
          <w:b w:val="0"/>
          <w:i w:val="0"/>
          <w:color w:val="31546F"/>
          <w:sz w:val="30"/>
        </w:rPr>
        <w:t>Loans, Grants and Back-End Financial Software Services</w:t>
      </w:r>
    </w:p>
    <w:p>
      <w:pPr>
        <w:spacing w:after="1800"/>
        <w:jc w:val="center"/>
      </w:pPr>
      <w:r>
        <w:rPr>
          <w:b w:val="0"/>
          <w:i/>
          <w:color w:val="5C6670"/>
          <w:sz w:val="22"/>
        </w:rPr>
        <w:t>10-Year Strategic Forecast | Detailed Years 1-5 Operating Plan</w:t>
      </w:r>
    </w:p>
    <w:p>
      <w:pPr>
        <w:jc w:val="center"/>
      </w:pPr>
      <w:r>
        <w:rPr>
          <w:b/>
          <w:i w:val="0"/>
          <w:color w:val="1259C3"/>
          <w:sz w:val="24"/>
        </w:rPr>
        <w:t>Mission</w:t>
      </w:r>
    </w:p>
    <w:p>
      <w:pPr>
        <w:jc w:val="center"/>
      </w:pPr>
      <w:r>
        <w:rPr>
          <w:b w:val="0"/>
          <w:i w:val="0"/>
          <w:sz w:val="22"/>
        </w:rPr>
        <w:t>Deliver accessible loans and grants to underfunded, underrepresented, and historically redlined communities, supported by accountable software, treasury controls and program-administration services.</w:t>
      </w:r>
    </w:p>
    <w:p>
      <w:pPr>
        <w:spacing w:before="1400"/>
        <w:jc w:val="center"/>
      </w:pPr>
      <w:r>
        <w:rPr>
          <w:b w:val="0"/>
          <w:i w:val="0"/>
          <w:color w:val="5C6670"/>
          <w:sz w:val="18"/>
        </w:rPr>
        <w:t>Prepared for SOLN leadership, partners, funders, institutions, and pilot participants</w:t>
      </w:r>
    </w:p>
    <w:p>
      <w:r>
        <w:br w:type="page"/>
      </w:r>
    </w:p>
    <w:p>
      <w:pPr>
        <w:pStyle w:val="Heading1"/>
      </w:pPr>
      <w:r>
        <w:t>Executive Summary</w:t>
      </w:r>
    </w:p>
    <w:p>
      <w:r>
        <w:rPr>
          <w:b w:val="0"/>
          <w:i w:val="0"/>
        </w:rPr>
        <w:t>SOLN has two products. Product 1 is the primary business: loans and grants for qualified individuals, microbusinesses, small businesses, community organizations and institutional programs. Product 2 is the supporting business: back-end software and administration services for organizations that originate, distribute, account for and monitor loans and grants.</w:t>
      </w:r>
    </w:p>
    <w:p>
      <w:pPr>
        <w:pStyle w:val="LeadCallout"/>
      </w:pPr>
      <w:r>
        <w:rPr>
          <w:b w:val="0"/>
          <w:i w:val="0"/>
        </w:rPr>
        <w:t>Base-case objective: reach 150,000 active consumers, 8,000 participating businesses, and 220 institutional partners by Year 5; expand to 1.5 million consumers, 90,000 businesses, and 1,400 institutions by Year 10.</w:t>
      </w:r>
    </w:p>
    <w:p>
      <w:pPr>
        <w:pStyle w:val="NoteCallout"/>
      </w:pPr>
      <w:r>
        <w:rPr>
          <w:b w:val="0"/>
          <w:i w:val="0"/>
        </w:rPr>
        <w:t>Loan principal and grant disbursements are not revenue. Revenue consists of earned interest, permitted fees, program-administration income, software subscriptions, implementations and support. LND and USD are maintained as separate rails and may not be treated as interchangeable cash without a documented conversion and settlement mechanism.</w:t>
      </w:r>
    </w:p>
    <w:p>
      <w:pPr>
        <w:pStyle w:val="Heading1"/>
      </w:pPr>
      <w:r>
        <w:t>Strategic Thesis</w:t>
      </w:r>
    </w:p>
    <w:p>
      <w:pPr>
        <w:pStyle w:val="ListBullet"/>
        <w:spacing w:after="80" w:line="290" w:lineRule="auto"/>
      </w:pPr>
      <w:r>
        <w:t>Underserved communities do not lack economic activity; they often lack affordable infrastructure, trusted distribution, compliant onboarding, and bargaining power.</w:t>
      </w:r>
    </w:p>
    <w:p>
      <w:pPr>
        <w:pStyle w:val="ListBullet"/>
        <w:spacing w:after="80" w:line="290" w:lineRule="auto"/>
      </w:pPr>
      <w:r>
        <w:t>A combined consumer-and-business network creates practical utility: demand, merchant acceptance, education, settlement records, and measurable community impact reinforce one another.</w:t>
      </w:r>
    </w:p>
    <w:p>
      <w:pPr>
        <w:pStyle w:val="ListBullet"/>
        <w:spacing w:after="80" w:line="290" w:lineRule="auto"/>
      </w:pPr>
      <w:r>
        <w:t>The strongest early wedge is a controlled loan-and-grant pilot supported by documented eligibility, underwriting, agreements, disbursement, repayment, reconciliation and impact reporting.</w:t>
      </w:r>
    </w:p>
    <w:p>
      <w:pPr>
        <w:pStyle w:val="ListBullet"/>
        <w:spacing w:after="80" w:line="290" w:lineRule="auto"/>
      </w:pPr>
      <w:r>
        <w:t>National density precedes global breadth. SOLN should prove repeatable operating units in selected U.S. corridors, then enter global markets through local institutional partners.</w:t>
      </w:r>
    </w:p>
    <w:p>
      <w:pPr>
        <w:pStyle w:val="Heading1"/>
      </w:pPr>
      <w:r>
        <w:t>Company and Operating Model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800"/>
        <w:gridCol w:w="3500"/>
        <w:gridCol w:w="2560"/>
      </w:tblGrid>
      <w:tr>
        <w:trPr>
          <w:tblHeader w:val="true"/>
          <w:cantSplit/>
        </w:trPr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Product layer</w:t>
            </w:r>
          </w:p>
        </w:tc>
        <w:tc>
          <w:tcPr>
            <w:tcW w:type="dxa" w:w="18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Primary customer</w:t>
            </w:r>
          </w:p>
        </w:tc>
        <w:tc>
          <w:tcPr>
            <w:tcW w:type="dxa" w:w="3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Core offer</w:t>
            </w:r>
          </w:p>
        </w:tc>
        <w:tc>
          <w:tcPr>
            <w:tcW w:type="dxa" w:w="25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Revenue engine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Loans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B2C/B2B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Emergency, development, microbusiness and growth financing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Interest and permitted origination/servicing fees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Grants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B2C/B2B/B2B2C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Relief, education, business development and community-program awards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Sponsor-funded administration and reporting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Software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Institutions/lenders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Application, workflow, ledger, servicing, reconciliation and dashboards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Subscription, implementation and support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Program administration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Institutions/sponsors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Cohort onboarding, disbursement controls, monitoring and impact reporting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Fixed fee or permitted percentage of program budget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Payment connectivity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Partner delivered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USD banking rails and LND account transfers; conversion only when documented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Partner revenue share where permitted</w:t>
            </w:r>
          </w:p>
        </w:tc>
      </w:tr>
    </w:tbl>
    <w:p>
      <w:pPr>
        <w:spacing w:after="20"/>
      </w:pPr>
    </w:p>
    <w:p>
      <w:pPr>
        <w:pStyle w:val="Heading1"/>
      </w:pPr>
      <w:r>
        <w:t>Product Portfolio</w:t>
      </w:r>
    </w:p>
    <w:p>
      <w:pPr>
        <w:pStyle w:val="Heading2"/>
      </w:pPr>
      <w:r>
        <w:t>Product 1: Loans and Grants</w:t>
      </w:r>
    </w:p>
    <w:p>
      <w:pPr>
        <w:pStyle w:val="ListBullet"/>
        <w:spacing w:after="80" w:line="290" w:lineRule="auto"/>
      </w:pPr>
      <w:r>
        <w:t>Emergency and household-stability loans</w:t>
      </w:r>
    </w:p>
    <w:p>
      <w:pPr>
        <w:pStyle w:val="ListBullet"/>
        <w:spacing w:after="80" w:line="290" w:lineRule="auto"/>
      </w:pPr>
      <w:r>
        <w:t>Consumer-development and credit-building loans</w:t>
      </w:r>
    </w:p>
    <w:p>
      <w:pPr>
        <w:pStyle w:val="ListBullet"/>
        <w:spacing w:after="80" w:line="290" w:lineRule="auto"/>
      </w:pPr>
      <w:r>
        <w:t>Microbusiness working-capital loans</w:t>
      </w:r>
    </w:p>
    <w:p>
      <w:pPr>
        <w:pStyle w:val="ListBullet"/>
        <w:spacing w:after="80" w:line="290" w:lineRule="auto"/>
      </w:pPr>
      <w:r>
        <w:t>Small-business growth and equipment loans</w:t>
      </w:r>
    </w:p>
    <w:p>
      <w:pPr>
        <w:pStyle w:val="ListBullet"/>
        <w:spacing w:after="80" w:line="290" w:lineRule="auto"/>
      </w:pPr>
      <w:r>
        <w:t>Sponsored relief, education and business-development grants</w:t>
      </w:r>
    </w:p>
    <w:p>
      <w:pPr>
        <w:pStyle w:val="ListBullet"/>
        <w:spacing w:after="80" w:line="290" w:lineRule="auto"/>
      </w:pPr>
      <w:r>
        <w:t>Institutional loan/grant programs administered for community cohorts</w:t>
      </w:r>
    </w:p>
    <w:p>
      <w:pPr>
        <w:pStyle w:val="Heading2"/>
      </w:pPr>
      <w:r>
        <w:t>Product 2: Back-End Software and Services</w:t>
      </w:r>
    </w:p>
    <w:p>
      <w:pPr>
        <w:pStyle w:val="ListBullet"/>
        <w:spacing w:after="80" w:line="290" w:lineRule="auto"/>
      </w:pPr>
      <w:r>
        <w:t>Digital application and eligibility workflow</w:t>
      </w:r>
    </w:p>
    <w:p>
      <w:pPr>
        <w:pStyle w:val="ListBullet"/>
        <w:spacing w:after="80" w:line="290" w:lineRule="auto"/>
      </w:pPr>
      <w:r>
        <w:t>Underwriting, approval matrix and agreement generation</w:t>
      </w:r>
    </w:p>
    <w:p>
      <w:pPr>
        <w:pStyle w:val="ListBullet"/>
        <w:spacing w:after="80" w:line="290" w:lineRule="auto"/>
      </w:pPr>
      <w:r>
        <w:t>Loan amortization, servicing, repayment and delinquency tracking</w:t>
      </w:r>
    </w:p>
    <w:p>
      <w:pPr>
        <w:pStyle w:val="ListBullet"/>
        <w:spacing w:after="80" w:line="290" w:lineRule="auto"/>
      </w:pPr>
      <w:r>
        <w:t>Grant award, milestone, restriction and closeout tracking</w:t>
      </w:r>
    </w:p>
    <w:p>
      <w:pPr>
        <w:pStyle w:val="ListBullet"/>
        <w:spacing w:after="80" w:line="290" w:lineRule="auto"/>
      </w:pPr>
      <w:r>
        <w:t>Double-entry ledger, reconciliation, audit history and portfolio reporting</w:t>
      </w:r>
    </w:p>
    <w:p>
      <w:pPr>
        <w:pStyle w:val="ListBullet"/>
        <w:spacing w:after="80" w:line="290" w:lineRule="auto"/>
      </w:pPr>
      <w:r>
        <w:t>Institutional cohort management, dashboards, integrations and support</w:t>
      </w:r>
    </w:p>
    <w:p>
      <w:pPr>
        <w:pStyle w:val="Heading1"/>
      </w:pPr>
      <w:r>
        <w:t>LND and USD Distribution Model</w:t>
      </w:r>
    </w:p>
    <w:p>
      <w:r>
        <w:rPr>
          <w:b w:val="0"/>
          <w:i w:val="0"/>
        </w:rPr>
        <w:t>Every award must identify its funding rail before approval. The recipient receives exactly what the agreement states: LND, USD or a defined dual-rail award. The two balances are recorded and reconciled separately.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1800"/>
        <w:gridCol w:w="2100"/>
        <w:gridCol w:w="2100"/>
        <w:gridCol w:w="1910"/>
      </w:tblGrid>
      <w:tr>
        <w:trPr>
          <w:tblHeader w:val="true"/>
          <w:cantSplit/>
        </w:trPr>
        <w:tc>
          <w:tcPr>
            <w:tcW w:type="dxa" w:w="145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Award type</w:t>
            </w:r>
          </w:p>
        </w:tc>
        <w:tc>
          <w:tcPr>
            <w:tcW w:type="dxa" w:w="18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Recipient receives</w:t>
            </w:r>
          </w:p>
        </w:tc>
        <w:tc>
          <w:tcPr>
            <w:tcW w:type="dxa" w:w="21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How it circulates</w:t>
            </w:r>
          </w:p>
        </w:tc>
        <w:tc>
          <w:tcPr>
            <w:tcW w:type="dxa" w:w="21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Repayment/closeout</w:t>
            </w:r>
          </w:p>
        </w:tc>
        <w:tc>
          <w:tcPr>
            <w:tcW w:type="dxa" w:w="191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USD consequence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grant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ledger credit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Transfers to participating LND merchants/accounts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No repayment; grant milestones and closeout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No USD moves unless separately funded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loan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ledger credit plus loan agreement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account/QR transfers within participating network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Principal and stated charges repaid in LND unless agreement says otherwise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Reference value is not USD cash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USD grant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USD through bank/payment partner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Normal USD payment rails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No repayment; grant milestones and closeout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USD cash and bank reconciliation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USD loan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USD through bank/payment partner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Normal USD payment rails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Scheduled USD principal, interest and fees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USD loan receivable and cash movement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Dual-rail award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plus documented USD settlement right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LND use or approved conversion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Terms specify repayment currency and conversion treatment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Requires identified liquidity, rate, limits and settlement provider</w:t>
            </w:r>
          </w:p>
        </w:tc>
      </w:tr>
    </w:tbl>
    <w:p>
      <w:pPr>
        <w:spacing w:after="20"/>
      </w:pPr>
    </w:p>
    <w:p>
      <w:pPr>
        <w:pStyle w:val="LeadCallout"/>
      </w:pPr>
      <w:r>
        <w:rPr>
          <w:b w:val="0"/>
          <w:i w:val="0"/>
        </w:rPr>
        <w:t>At the declared reference rate of 1 LND = $750, a $10,000-equivalent LND award is 13.3333 LND. That reference does not create $10,000 of available USD. USD is delivered only when a separate USD funding source and settlement process exist.</w:t>
      </w:r>
    </w:p>
    <w:p>
      <w:pPr>
        <w:pStyle w:val="Heading2"/>
      </w:pPr>
      <w:r>
        <w:t>Operational Funds Flow</w:t>
      </w:r>
    </w:p>
    <w:p>
      <w:pPr>
        <w:pStyle w:val="ListNumber"/>
        <w:spacing w:after="80" w:line="290" w:lineRule="auto"/>
      </w:pPr>
      <w:r>
        <w:t>Application identifies requested product, amount, purpose and requested currency rail.</w:t>
      </w:r>
    </w:p>
    <w:p>
      <w:pPr>
        <w:pStyle w:val="ListNumber"/>
        <w:spacing w:after="80" w:line="290" w:lineRule="auto"/>
      </w:pPr>
      <w:r>
        <w:t>Eligibility, identity, underwriting or grant criteria are completed and evidenced.</w:t>
      </w:r>
    </w:p>
    <w:p>
      <w:pPr>
        <w:pStyle w:val="ListNumber"/>
        <w:spacing w:after="80" w:line="290" w:lineRule="auto"/>
      </w:pPr>
      <w:r>
        <w:t>Authorized personnel approve the award under the approval matrix.</w:t>
      </w:r>
    </w:p>
    <w:p>
      <w:pPr>
        <w:pStyle w:val="ListNumber"/>
        <w:spacing w:after="80" w:line="290" w:lineRule="auto"/>
      </w:pPr>
      <w:r>
        <w:t>The system creates the agreement and posts either an LND ledger credit or an instruction to the USD payment partner.</w:t>
      </w:r>
    </w:p>
    <w:p>
      <w:pPr>
        <w:pStyle w:val="ListNumber"/>
        <w:spacing w:after="80" w:line="290" w:lineRule="auto"/>
      </w:pPr>
      <w:r>
        <w:t>The recipient or merchant receives the stated asset; confirmation and settlement evidence are attached.</w:t>
      </w:r>
    </w:p>
    <w:p>
      <w:pPr>
        <w:pStyle w:val="ListNumber"/>
        <w:spacing w:after="80" w:line="290" w:lineRule="auto"/>
      </w:pPr>
      <w:r>
        <w:t>Loans enter servicing and repayment; grants enter milestone and closeout monitoring.</w:t>
      </w:r>
    </w:p>
    <w:p>
      <w:pPr>
        <w:pStyle w:val="ListNumber"/>
        <w:spacing w:after="80" w:line="290" w:lineRule="auto"/>
      </w:pPr>
      <w:r>
        <w:t>LND and USD subledgers reconcile separately to their respective control accounts.</w:t>
      </w:r>
    </w:p>
    <w:p>
      <w:pPr>
        <w:pStyle w:val="Heading1"/>
      </w:pPr>
      <w:r>
        <w:t>Target Market</w:t>
      </w:r>
    </w:p>
    <w:p>
      <w:r>
        <w:rPr>
          <w:b w:val="0"/>
          <w:i w:val="0"/>
        </w:rPr>
        <w:t>Primary geography: U.S. communities with documented underinvestment, redlining history, low-to-moderate income conditions, limited banking access, weak small-business credit availability, or persistent representation gaps. Global expansion prioritizes African, Caribbean, Latin American, Indigenous, and diaspora markets where mobile-first distribution and trusted community institutions can support compliant adoption.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900"/>
        <w:gridCol w:w="1500"/>
        <w:gridCol w:w="2200"/>
        <w:gridCol w:w="2560"/>
      </w:tblGrid>
      <w:tr>
        <w:trPr>
          <w:tblHeader w:val="true"/>
          <w:cantSplit/>
        </w:trPr>
        <w:tc>
          <w:tcPr>
            <w:tcW w:type="dxa" w:w="1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Segment</w:t>
            </w:r>
          </w:p>
        </w:tc>
        <w:tc>
          <w:tcPr>
            <w:tcW w:type="dxa" w:w="19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Need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Decision maker</w:t>
            </w:r>
          </w:p>
        </w:tc>
        <w:tc>
          <w:tcPr>
            <w:tcW w:type="dxa" w:w="2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Initial offer</w:t>
            </w:r>
          </w:p>
        </w:tc>
        <w:tc>
          <w:tcPr>
            <w:tcW w:type="dxa" w:w="25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Acquisition channel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Consumers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Emergency liquidity and development capital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Individual/household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Emergency/development loan or sponsored grant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Community partners, employers, events, referrals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Microbusinesses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Working capital, equipment and operating stability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Owner/operator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Microloan plus optional readiness support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Associations, chambers, accountants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SMEs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Growth capital and treasury discipline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Owner/CFO/controller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Growth loan plus software/servicing tools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Professional partners, direct sales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Nonprofits/associations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Grant and loan-program delivery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Executive/program director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Administered community cohort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Strategic partnerships and sponsored programs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Municipal/public-benefit partners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Inclusive capital delivery and reporting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Program/procurement leadership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Defined loan/grant pilot with controls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RFPs, MOUs, local anchor partners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Global institutions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Localized community-finance infrastructure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Country/region partner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Partner-led lending/grant program and software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Diaspora networks and institutional alliances</w:t>
            </w:r>
          </w:p>
        </w:tc>
      </w:tr>
    </w:tbl>
    <w:p>
      <w:pPr>
        <w:spacing w:after="20"/>
      </w:pPr>
    </w:p>
    <w:p>
      <w:pPr>
        <w:pStyle w:val="Heading1"/>
      </w:pPr>
      <w:r>
        <w:t>Market Evidence</w:t>
      </w:r>
    </w:p>
    <w:p>
      <w:pPr>
        <w:pStyle w:val="ListBullet"/>
        <w:spacing w:after="80" w:line="290" w:lineRule="auto"/>
      </w:pPr>
      <w:r>
        <w:t>The U.S. Census Bureau reported about 201,000 Black-owned employer businesses with $249.0 billion in receipts, plus 4.4 million Black-owned nonemployer businesses with $128.7 billion in receipts in the latest cited release.</w:t>
      </w:r>
    </w:p>
    <w:p>
      <w:pPr>
        <w:pStyle w:val="ListBullet"/>
        <w:spacing w:after="80" w:line="290" w:lineRule="auto"/>
      </w:pPr>
      <w:r>
        <w:t>The FDIC reported that 4.2% of U.S. households—about 5.6 million households—were unbanked in 2023.</w:t>
      </w:r>
    </w:p>
    <w:p>
      <w:pPr>
        <w:pStyle w:val="ListBullet"/>
        <w:spacing w:after="80" w:line="290" w:lineRule="auto"/>
      </w:pPr>
      <w:r>
        <w:t>The World Bank reports roughly 1.3 billion adults globally remain unbanked and identifies mobile-enabled digital financial services as an important inclusion channel.</w:t>
      </w:r>
    </w:p>
    <w:p>
      <w:pPr>
        <w:pStyle w:val="ListBullet"/>
        <w:spacing w:after="80" w:line="290" w:lineRule="auto"/>
      </w:pPr>
      <w:r>
        <w:t>Federal Reserve research continues to identify a financing-access gap between small businesses and larger businesses.</w:t>
      </w:r>
    </w:p>
    <w:p>
      <w:pPr>
        <w:pStyle w:val="NoteCallout"/>
      </w:pPr>
      <w:r>
        <w:rPr>
          <w:b w:val="0"/>
          <w:i w:val="0"/>
        </w:rPr>
        <w:t>These statistics define a broad need population, not SOLN’s obtainable market. The forecast below uses bottom-up adoption targets rather than assuming a percentage of global need.</w:t>
      </w:r>
    </w:p>
    <w:p>
      <w:pPr>
        <w:pStyle w:val="Heading1"/>
      </w:pPr>
      <w:r>
        <w:t>Go-to-Market Strategy</w:t>
      </w:r>
    </w:p>
    <w:p>
      <w:pPr>
        <w:pStyle w:val="ListBullet"/>
        <w:spacing w:after="80" w:line="290" w:lineRule="auto"/>
      </w:pPr>
      <w:r>
        <w:t>Prove one repeatable U.S. pilot unit: 5-10 anchor merchants, a participant cohort, one institutional sponsor, documented onboarding, and weekly reconciliation.</w:t>
      </w:r>
    </w:p>
    <w:p>
      <w:pPr>
        <w:pStyle w:val="ListBullet"/>
        <w:spacing w:after="80" w:line="290" w:lineRule="auto"/>
      </w:pPr>
      <w:r>
        <w:t>Create neighborhood density: expand to 50-100 merchants per launch corridor before opening another corridor.</w:t>
      </w:r>
    </w:p>
    <w:p>
      <w:pPr>
        <w:pStyle w:val="ListBullet"/>
        <w:spacing w:after="80" w:line="290" w:lineRule="auto"/>
      </w:pPr>
      <w:r>
        <w:t>Activate associations and professional partners: accountants, chambers, nonprofits, educators, and community-development organizations become trusted distributors.</w:t>
      </w:r>
    </w:p>
    <w:p>
      <w:pPr>
        <w:pStyle w:val="ListBullet"/>
        <w:spacing w:after="80" w:line="290" w:lineRule="auto"/>
      </w:pPr>
      <w:r>
        <w:t>Sell institutional cohorts: partners sponsor participant access, merchant readiness, and measurable outcome reporting.</w:t>
      </w:r>
    </w:p>
    <w:p>
      <w:pPr>
        <w:pStyle w:val="ListBullet"/>
        <w:spacing w:after="80" w:line="290" w:lineRule="auto"/>
      </w:pPr>
      <w:r>
        <w:t>Expand nationally through a train-the-trainer and certified implementation-partner model.</w:t>
      </w:r>
    </w:p>
    <w:p>
      <w:pPr>
        <w:pStyle w:val="ListBullet"/>
        <w:spacing w:after="80" w:line="290" w:lineRule="auto"/>
      </w:pPr>
      <w:r>
        <w:t>Enter global markets only with local legal, payments, identity, tax, data-protection, and consumer-protection workstreams completed.</w:t>
      </w:r>
    </w:p>
    <w:p>
      <w:pPr>
        <w:pStyle w:val="Heading1"/>
      </w:pPr>
      <w:r>
        <w:t>Pricing Architecture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700"/>
        <w:gridCol w:w="1800"/>
        <w:gridCol w:w="3660"/>
      </w:tblGrid>
      <w:tr>
        <w:trPr>
          <w:tblHeader w:val="true"/>
          <w:cantSplit/>
        </w:trPr>
        <w:tc>
          <w:tcPr>
            <w:tcW w:type="dxa" w:w="2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Offer</w:t>
            </w:r>
          </w:p>
        </w:tc>
        <w:tc>
          <w:tcPr>
            <w:tcW w:type="dxa" w:w="1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Illustrative price</w:t>
            </w:r>
          </w:p>
        </w:tc>
        <w:tc>
          <w:tcPr>
            <w:tcW w:type="dxa" w:w="18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Buyer</w:t>
            </w:r>
          </w:p>
        </w:tc>
        <w:tc>
          <w:tcPr>
            <w:tcW w:type="dxa" w:w="36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Notes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Emergency/community loan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$500-$5,000; 5%-10% APR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Consumer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Final terms based on underwriting and applicable law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Consumer-development loan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$5,000-$25,000; 6%-12% APR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Consumer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Purpose and affordability controls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Microbusiness loan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$2,500-$25,000; 6%-10% APR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Business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Working capital, inventory or equipment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Business-growth loan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$25,000-$250,000; 7%-12% APR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Business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Cash-flow underwriting and covenants as appropriate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Sponsored grant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Program-defined; no recipient price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Qualified participant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Sponsor funds award and administration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Software subscription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$39-$299/month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Business/institution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Application, ledger, servicing and reporting tiers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Institution implementation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$15,000-$150,000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Institution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Scoped by users, integrations and geography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Program administration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3%-8% or fixed fee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Sponsor/institution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Subject to agreement and funding restrictions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Enterprise support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$25,000-$250,000/year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Institution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Controls, dashboards, audit support and integrations</w:t>
            </w:r>
          </w:p>
        </w:tc>
      </w:tr>
    </w:tbl>
    <w:p>
      <w:pPr>
        <w:spacing w:after="20"/>
      </w:pPr>
    </w:p>
    <w:p>
      <w:pPr>
        <w:pStyle w:val="Heading1"/>
      </w:pPr>
      <w:r>
        <w:t>Five-Year Operating Plan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1700"/>
        <w:gridCol w:w="4000"/>
        <w:gridCol w:w="2860"/>
      </w:tblGrid>
      <w:tr>
        <w:trPr>
          <w:tblHeader w:val="true"/>
          <w:cantSplit/>
        </w:trPr>
        <w:tc>
          <w:tcPr>
            <w:tcW w:type="dxa" w:w="8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Year</w:t>
            </w:r>
          </w:p>
        </w:tc>
        <w:tc>
          <w:tcPr>
            <w:tcW w:type="dxa" w:w="1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Primary objective</w:t>
            </w:r>
          </w:p>
        </w:tc>
        <w:tc>
          <w:tcPr>
            <w:tcW w:type="dxa" w:w="40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Operating milestone</w:t>
            </w:r>
          </w:p>
        </w:tc>
        <w:tc>
          <w:tcPr>
            <w:tcW w:type="dxa" w:w="28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Geographic posture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1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Pilot and control proof</w:t>
            </w:r>
          </w:p>
        </w:tc>
        <w:tc>
          <w:tcPr>
            <w:tcW w:type="dxa" w:w="4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2,500 consumers; 150 businesses; 8 institutions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1-3 U.S. corridors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2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Repeatable local density</w:t>
            </w:r>
          </w:p>
        </w:tc>
        <w:tc>
          <w:tcPr>
            <w:tcW w:type="dxa" w:w="4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10,000 consumers; 600 businesses; partner playbook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5-8 U.S. corridors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3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Regional scale and breakeven</w:t>
            </w:r>
          </w:p>
        </w:tc>
        <w:tc>
          <w:tcPr>
            <w:tcW w:type="dxa" w:w="4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30,000 consumers; 1,800 businesses; enterprise integrations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Multi-state regions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4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National distribution</w:t>
            </w:r>
          </w:p>
        </w:tc>
        <w:tc>
          <w:tcPr>
            <w:tcW w:type="dxa" w:w="4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75,000 consumers; 4,200 businesses; certified implementers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National footprint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5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National platform + first global nodes</w:t>
            </w:r>
          </w:p>
        </w:tc>
        <w:tc>
          <w:tcPr>
            <w:tcW w:type="dxa" w:w="4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150,000 consumers; 8,000 businesses; 220 institutions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U.S. density + 2-4 partner-led countries</w:t>
            </w:r>
          </w:p>
        </w:tc>
      </w:tr>
    </w:tbl>
    <w:p>
      <w:pPr>
        <w:spacing w:after="20"/>
      </w:pPr>
    </w:p>
    <w:p>
      <w:pPr>
        <w:pStyle w:val="Heading1"/>
      </w:pPr>
      <w:r>
        <w:t>Years 6-10 Expansion Outlook</w:t>
      </w:r>
    </w:p>
    <w:p>
      <w:pPr>
        <w:pStyle w:val="ListBullet"/>
        <w:spacing w:after="80" w:line="290" w:lineRule="auto"/>
      </w:pPr>
      <w:r>
        <w:t>Years 6-7: deepen national coverage, launch multilingual support, standardize institutional deployment, and establish regional compliance packs.</w:t>
      </w:r>
    </w:p>
    <w:p>
      <w:pPr>
        <w:pStyle w:val="ListBullet"/>
        <w:spacing w:after="80" w:line="290" w:lineRule="auto"/>
      </w:pPr>
      <w:r>
        <w:t>Years 8-9: scale partner-led international deployments, strengthen interoperability, and expand enterprise reporting and procurement readiness.</w:t>
      </w:r>
    </w:p>
    <w:p>
      <w:pPr>
        <w:pStyle w:val="ListBullet"/>
        <w:spacing w:after="80" w:line="290" w:lineRule="auto"/>
      </w:pPr>
      <w:r>
        <w:t>Year 10: operate a federated network with centralized standards, local execution, independent assurance, and diversified revenue by customer type and geography.</w:t>
      </w:r>
    </w:p>
    <w:p>
      <w:pPr>
        <w:pStyle w:val="Heading1"/>
      </w:pPr>
      <w:r>
        <w:t>Base-Case 10-Year Forecast</w:t>
      </w:r>
    </w:p>
    <w:p>
      <w:pPr>
        <w:pStyle w:val="NoteCallout"/>
      </w:pPr>
      <w:r>
        <w:rPr>
          <w:b w:val="0"/>
          <w:i w:val="0"/>
        </w:rPr>
        <w:t>All figures are illustrative planning assumptions in USD. Loan principal, grant awards, LND issuance, reference values, reserves and repayments of principal are balance-sheet or program-fund movements—not operating revenue. Revenue includes earned interest, permitted fees, administration, software and support.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500"/>
        <w:gridCol w:w="1450"/>
        <w:gridCol w:w="1200"/>
        <w:gridCol w:w="1500"/>
        <w:gridCol w:w="1500"/>
        <w:gridCol w:w="1560"/>
      </w:tblGrid>
      <w:tr>
        <w:trPr>
          <w:tblHeader w:val="true"/>
          <w:cantSplit/>
        </w:trPr>
        <w:tc>
          <w:tcPr>
            <w:tcW w:type="dxa" w:w="65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Year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Consumers</w:t>
            </w:r>
          </w:p>
        </w:tc>
        <w:tc>
          <w:tcPr>
            <w:tcW w:type="dxa" w:w="145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Businesses</w:t>
            </w:r>
          </w:p>
        </w:tc>
        <w:tc>
          <w:tcPr>
            <w:tcW w:type="dxa" w:w="1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Institutions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Revenue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OpEx</w:t>
            </w:r>
          </w:p>
        </w:tc>
        <w:tc>
          <w:tcPr>
            <w:tcW w:type="dxa" w:w="15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5"/>
              </w:rPr>
              <w:t>EBITDA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Y1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2,500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150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8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$0.55M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$1.20M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$-0.65M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Y2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10,000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600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25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$1.80M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$2.30M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$-0.50M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Y3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30,000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1,800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60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$5.40M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$4.80M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$0.60M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Y4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75,000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4,200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120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$12.50M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$9.30M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$3.20M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Y5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150,000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8,000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220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$24.50M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$16.50M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$8.00M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Y6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275,000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15,000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350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$42.00M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$27.00M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$15.00M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Y7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475,000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26,000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525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$68.00M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$40.00M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$28.00M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Y8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750,000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42,000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750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$102.00M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$58.00M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$44.00M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Y9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1,100,000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65,000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1,000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$145.00M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$79.00M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$66.00M</w:t>
            </w:r>
          </w:p>
        </w:tc>
      </w:tr>
      <w:tr>
        <w:trPr>
          <w:cantSplit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Y10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1,500,000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90,000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1,400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$198.00M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$103.00M</w:t>
            </w:r>
          </w:p>
        </w:tc>
        <w:tc>
          <w:tcPr>
            <w:tcW w:type="dxa" w:w="1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5"/>
              </w:rPr>
              <w:t>$95.00M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352"/>
        <w:gridCol w:w="1352"/>
        <w:gridCol w:w="1352"/>
        <w:gridCol w:w="1352"/>
        <w:gridCol w:w="1352"/>
      </w:tblGrid>
      <w:tr>
        <w:trPr>
          <w:tblHeader w:val="true"/>
          <w:cantSplit/>
        </w:trPr>
        <w:tc>
          <w:tcPr>
            <w:tcW w:type="dxa" w:w="26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Lending/grant scale</w:t>
            </w:r>
          </w:p>
        </w:tc>
        <w:tc>
          <w:tcPr>
            <w:tcW w:type="dxa" w:w="1352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Y1</w:t>
            </w:r>
          </w:p>
        </w:tc>
        <w:tc>
          <w:tcPr>
            <w:tcW w:type="dxa" w:w="1352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Y2</w:t>
            </w:r>
          </w:p>
        </w:tc>
        <w:tc>
          <w:tcPr>
            <w:tcW w:type="dxa" w:w="1352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Y3</w:t>
            </w:r>
          </w:p>
        </w:tc>
        <w:tc>
          <w:tcPr>
            <w:tcW w:type="dxa" w:w="1352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Y4</w:t>
            </w:r>
          </w:p>
        </w:tc>
        <w:tc>
          <w:tcPr>
            <w:tcW w:type="dxa" w:w="1352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Y5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Loan originations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$2M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$8M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$25M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$60M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$125M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Ending loan portfolio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$1.5M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$6M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$18M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$42M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$85M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Grant disbursements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$0.5M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$2M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$5M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$12M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$25M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Primary funding need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Pilot facility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Facility + sponsor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Warehouse/institutional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Diversified facilities</w:t>
            </w:r>
          </w:p>
        </w:tc>
        <w:tc>
          <w:tcPr>
            <w:tcW w:type="dxa" w:w="135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National capital partnerships</w:t>
            </w:r>
          </w:p>
        </w:tc>
      </w:tr>
    </w:tbl>
    <w:p>
      <w:pPr>
        <w:spacing w:after="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0483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nancial_trajector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048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PositiveCallout"/>
      </w:pPr>
      <w:r>
        <w:rPr>
          <w:b w:val="0"/>
          <w:i w:val="0"/>
        </w:rPr>
        <w:t>Base case reaches positive EBITDA in Year 3. Cumulative external funding need through the operating trough is approximately $1.15 million before contingency, working capital, reserves, and regulated-service capital requirements.</w:t>
      </w:r>
    </w:p>
    <w:p>
      <w:pPr>
        <w:pStyle w:val="Heading1"/>
      </w:pPr>
      <w:r>
        <w:t>Revenue Composition Assumptions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1200"/>
        <w:gridCol w:w="1200"/>
        <w:gridCol w:w="1200"/>
        <w:gridCol w:w="3260"/>
      </w:tblGrid>
      <w:tr>
        <w:trPr>
          <w:tblHeader w:val="true"/>
          <w:cantSplit/>
        </w:trPr>
        <w:tc>
          <w:tcPr>
            <w:tcW w:type="dxa" w:w="2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Revenue stream</w:t>
            </w:r>
          </w:p>
        </w:tc>
        <w:tc>
          <w:tcPr>
            <w:tcW w:type="dxa" w:w="1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Year 1</w:t>
            </w:r>
          </w:p>
        </w:tc>
        <w:tc>
          <w:tcPr>
            <w:tcW w:type="dxa" w:w="1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Year 5</w:t>
            </w:r>
          </w:p>
        </w:tc>
        <w:tc>
          <w:tcPr>
            <w:tcW w:type="dxa" w:w="1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Year 10</w:t>
            </w:r>
          </w:p>
        </w:tc>
        <w:tc>
          <w:tcPr>
            <w:tcW w:type="dxa" w:w="32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Scale logic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Interest and lending fees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35%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48%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52%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Performing loan portfolio and permitted pricing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Grant/program administration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30%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20%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15%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Sponsor-funded cohort delivery and reporting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Software subscriptions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15%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14%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15%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Recurring business and institutional tiers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Implementation/onboarding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15%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8%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5%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Declines as recurring base grows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Enterprise reporting/support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5%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10%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13%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Controls, reporting, integrations and assurance support</w:t>
            </w:r>
          </w:p>
        </w:tc>
      </w:tr>
    </w:tbl>
    <w:p>
      <w:pPr>
        <w:spacing w:after="20"/>
      </w:pPr>
    </w:p>
    <w:p>
      <w:pPr>
        <w:pStyle w:val="Heading1"/>
      </w:pPr>
      <w:r>
        <w:t>Unit Economics and KPI Framework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1500"/>
        <w:gridCol w:w="1500"/>
        <w:gridCol w:w="1500"/>
        <w:gridCol w:w="2760"/>
      </w:tblGrid>
      <w:tr>
        <w:trPr>
          <w:tblHeader w:val="true"/>
          <w:cantSplit/>
        </w:trPr>
        <w:tc>
          <w:tcPr>
            <w:tcW w:type="dxa" w:w="21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Metric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Year 1 target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Year 3 target</w:t>
            </w:r>
          </w:p>
        </w:tc>
        <w:tc>
          <w:tcPr>
            <w:tcW w:type="dxa" w:w="15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Year 5 target</w:t>
            </w:r>
          </w:p>
        </w:tc>
        <w:tc>
          <w:tcPr>
            <w:tcW w:type="dxa" w:w="27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Management use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Consumer activation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55%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65%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70%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Onboarding quality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90-day consumer retention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50%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60%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68%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Utility and trust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Business 12-month retention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65%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75%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82%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Product-market fit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Blended CAC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$95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$62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$45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Channel efficiency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Annual gross margin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48%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63%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70%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Scalability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Institution renewal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60%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75%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85%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Contract quality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Reconciliation exceptions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&lt;2.0%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&lt;0.8%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&lt;0.3%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Operational integrity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Material control breaches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0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0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Risk appetite</w:t>
            </w:r>
          </w:p>
        </w:tc>
      </w:tr>
    </w:tbl>
    <w:p>
      <w:pPr>
        <w:spacing w:after="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0483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twork_growth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048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Scenario Analysis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1300"/>
        <w:gridCol w:w="1300"/>
        <w:gridCol w:w="1400"/>
        <w:gridCol w:w="1400"/>
        <w:gridCol w:w="2360"/>
      </w:tblGrid>
      <w:tr>
        <w:trPr>
          <w:tblHeader w:val="true"/>
          <w:cantSplit/>
        </w:trPr>
        <w:tc>
          <w:tcPr>
            <w:tcW w:type="dxa" w:w="16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Year 5 scenario</w:t>
            </w:r>
          </w:p>
        </w:tc>
        <w:tc>
          <w:tcPr>
            <w:tcW w:type="dxa" w:w="13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Consumers</w:t>
            </w:r>
          </w:p>
        </w:tc>
        <w:tc>
          <w:tcPr>
            <w:tcW w:type="dxa" w:w="13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Businesses</w:t>
            </w:r>
          </w:p>
        </w:tc>
        <w:tc>
          <w:tcPr>
            <w:tcW w:type="dxa" w:w="14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Revenue</w:t>
            </w:r>
          </w:p>
        </w:tc>
        <w:tc>
          <w:tcPr>
            <w:tcW w:type="dxa" w:w="14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EBITDA</w:t>
            </w:r>
          </w:p>
        </w:tc>
        <w:tc>
          <w:tcPr>
            <w:tcW w:type="dxa" w:w="23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Interpretation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Conservative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75,000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4,000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$12.5M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$1.0M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Slower partnerships; preserve core controls and corridor density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Base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150,000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8,000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$24.5M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$8.0M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Planned partner-led national scaling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Expansion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275,000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14,000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$42.0M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$15.0M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Faster institutional adoption; requires higher implementation capacity</w:t>
            </w:r>
          </w:p>
        </w:tc>
      </w:tr>
    </w:tbl>
    <w:p>
      <w:pPr>
        <w:spacing w:after="20"/>
      </w:pPr>
    </w:p>
    <w:p>
      <w:pPr>
        <w:pStyle w:val="Heading1"/>
      </w:pPr>
      <w:r>
        <w:t>Capital Plan and Use of Funds</w:t>
      </w:r>
    </w:p>
    <w:p>
      <w:r>
        <w:rPr>
          <w:b w:val="0"/>
          <w:i w:val="0"/>
        </w:rPr>
        <w:t>Recommended operating capitalization: $2.5-$4.0 million for the first 24 months. Product capital is separate: an illustrative $5 million Year 1 loan facility plus sponsor-funded grant pools. Loan principal, grant funds, customer funds, LND balances and operating cash remain segregated.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1000"/>
        <w:gridCol w:w="5460"/>
      </w:tblGrid>
      <w:tr>
        <w:trPr>
          <w:tblHeader w:val="true"/>
          <w:cantSplit/>
        </w:trPr>
        <w:tc>
          <w:tcPr>
            <w:tcW w:type="dxa" w:w="29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Use</w:t>
            </w:r>
          </w:p>
        </w:tc>
        <w:tc>
          <w:tcPr>
            <w:tcW w:type="dxa" w:w="10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Share</w:t>
            </w:r>
          </w:p>
        </w:tc>
        <w:tc>
          <w:tcPr>
            <w:tcW w:type="dxa" w:w="54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Purpose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Technology and security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28%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Ledger controls, participant portal, integrations, testing, cybersecurity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Compliance, legal, and assurance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18%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Jurisdictional analysis, policies, independent reviews, contracts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Community and merchant growth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20%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Pilot activation, training, partner support, accessibility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Operations and customer care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18%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Reconciliation, support, complaint handling, implementation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Data, measurement, and evaluation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6%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Impact metrics, dashboards, quality assurance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Working-capital contingency</w:t>
            </w:r>
          </w:p>
        </w:tc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10%</w:t>
            </w:r>
          </w:p>
        </w:tc>
        <w:tc>
          <w:tcPr>
            <w:tcW w:type="dxa" w:w="5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Timing gaps and execution risk</w:t>
            </w:r>
          </w:p>
        </w:tc>
      </w:tr>
    </w:tbl>
    <w:p>
      <w:pPr>
        <w:spacing w:after="20"/>
      </w:pPr>
    </w:p>
    <w:p>
      <w:pPr>
        <w:pStyle w:val="Heading2"/>
      </w:pPr>
      <w:r>
        <w:t>Product Capital Structure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600"/>
        <w:gridCol w:w="2600"/>
        <w:gridCol w:w="2260"/>
      </w:tblGrid>
      <w:tr>
        <w:trPr>
          <w:tblHeader w:val="true"/>
          <w:cantSplit/>
        </w:trPr>
        <w:tc>
          <w:tcPr>
            <w:tcW w:type="dxa" w:w="19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Capital pool</w:t>
            </w:r>
          </w:p>
        </w:tc>
        <w:tc>
          <w:tcPr>
            <w:tcW w:type="dxa" w:w="26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Purpose</w:t>
            </w:r>
          </w:p>
        </w:tc>
        <w:tc>
          <w:tcPr>
            <w:tcW w:type="dxa" w:w="26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Accounting treatment</w:t>
            </w:r>
          </w:p>
        </w:tc>
        <w:tc>
          <w:tcPr>
            <w:tcW w:type="dxa" w:w="22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Control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Operating equity/grants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Staff, technology, compliance and growth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Operating cash and expenses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Board budget and cash forecast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Loan capital facility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Fund approved USD loans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Cash converted to loan receivables at funding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Borrowing base, concentration and covenant reporting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Sponsored grant pool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Fund approved grants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Restricted/program cash and grant expense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Sponsor restrictions, milestone and closeout controls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LND issuance allocation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Fund approved LND awards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Separate LND subledger and program/loan accounts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Issuance authority, limits and daily reconciliation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USD settlement liquidity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Honor specifically approved USD settlements/conversions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Separate USD cash/liquidity account</w:t>
            </w:r>
          </w:p>
        </w:tc>
        <w:tc>
          <w:tcPr>
            <w:tcW w:type="dxa" w:w="2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Conversion rules, limits and settlement evidence</w:t>
            </w:r>
          </w:p>
        </w:tc>
      </w:tr>
    </w:tbl>
    <w:p>
      <w:pPr>
        <w:spacing w:after="20"/>
      </w:pPr>
    </w:p>
    <w:p>
      <w:pPr>
        <w:pStyle w:val="Heading1"/>
      </w:pPr>
      <w:r>
        <w:t>Treasury and Financial Management</w:t>
      </w:r>
    </w:p>
    <w:p>
      <w:pPr>
        <w:pStyle w:val="ListBullet"/>
        <w:spacing w:after="80" w:line="290" w:lineRule="auto"/>
      </w:pPr>
      <w:r>
        <w:t>Maintain legal-entity, currency, customer-fund, program-fund, operating-cash, restricted-fund, and reserve separation.</w:t>
      </w:r>
    </w:p>
    <w:p>
      <w:pPr>
        <w:pStyle w:val="ListBullet"/>
        <w:spacing w:after="80" w:line="290" w:lineRule="auto"/>
      </w:pPr>
      <w:r>
        <w:t>Use rolling 13-week cash forecasting, annual budgets, monthly variance analysis, liquidity-gap reporting, and board-approved minimum cash thresholds.</w:t>
      </w:r>
    </w:p>
    <w:p>
      <w:pPr>
        <w:pStyle w:val="ListBullet"/>
        <w:spacing w:after="80" w:line="290" w:lineRule="auto"/>
      </w:pPr>
      <w:r>
        <w:t>Manage receivables by customer class, aging, concentration, dispute status, and expected-credit-loss policy; manage payables with approval limits and due-date discipline.</w:t>
      </w:r>
    </w:p>
    <w:p>
      <w:pPr>
        <w:pStyle w:val="ListBullet"/>
        <w:spacing w:after="80" w:line="290" w:lineRule="auto"/>
      </w:pPr>
      <w:r>
        <w:t>Measure cash conversion cycle, working capital, burn multiple, gross margin, recurring revenue, renewal, and return on invested capital.</w:t>
      </w:r>
    </w:p>
    <w:p>
      <w:pPr>
        <w:pStyle w:val="ListBullet"/>
        <w:spacing w:after="80" w:line="290" w:lineRule="auto"/>
      </w:pPr>
      <w:r>
        <w:t>Apply maker-checker-verifier-release controls, access reviews, independent reconciliation, exception management, and immutable audit evidence.</w:t>
      </w:r>
    </w:p>
    <w:p>
      <w:pPr>
        <w:pStyle w:val="ListBullet"/>
        <w:spacing w:after="80" w:line="290" w:lineRule="auto"/>
      </w:pPr>
      <w:r>
        <w:t>Match asset liquidity and funding maturity; avoid funding long-term commitments with unstable short-term sources.</w:t>
      </w:r>
    </w:p>
    <w:p>
      <w:pPr>
        <w:pStyle w:val="Heading1"/>
      </w:pPr>
      <w:r>
        <w:t>Governance, Risk, and Compliance Gates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5660"/>
        <w:gridCol w:w="190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Gate</w:t>
            </w:r>
          </w:p>
        </w:tc>
        <w:tc>
          <w:tcPr>
            <w:tcW w:type="dxa" w:w="56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Required evidence before scale</w:t>
            </w:r>
          </w:p>
        </w:tc>
        <w:tc>
          <w:tcPr>
            <w:tcW w:type="dxa" w:w="19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Entity and authority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Board approvals, delegated authorities, signing matrix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Board/General Counsel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Product classification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Jurisdiction-specific legal analysis for each service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Legal/Compliance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Funds flow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Documented custody, settlement, safeguarding, and reconciliation model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Treasury/Operations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LND/USD rail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Award currency, conversion rights, liquidity source and accounting treatment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Treasury/Controller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Customer protection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Disclosures, complaints, refunds, error resolution, accessibility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Compliance/Customer Care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KYC/AML/sanctions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Risk-based program and qualified vendors/partners where applicable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BSA/AML lead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Cybersecurity/privacy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Data map, access control, encryption, incident response, retention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Security/Privacy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Accounting/audit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Revenue policy, fund segregation, close checklist, independent assurance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CFO/Controller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Country launch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Local counsel, tax, FX, payments, data, consumer, and labor review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Country lead</w:t>
            </w:r>
          </w:p>
        </w:tc>
      </w:tr>
    </w:tbl>
    <w:p>
      <w:pPr>
        <w:spacing w:after="20"/>
      </w:pPr>
    </w:p>
    <w:p>
      <w:pPr>
        <w:pStyle w:val="Heading1"/>
      </w:pPr>
      <w:r>
        <w:t>Enterprise Risk Management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100"/>
        <w:gridCol w:w="446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Risk</w:t>
            </w:r>
          </w:p>
        </w:tc>
        <w:tc>
          <w:tcPr>
            <w:tcW w:type="dxa" w:w="31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Leading indicator</w:t>
            </w:r>
          </w:p>
        </w:tc>
        <w:tc>
          <w:tcPr>
            <w:tcW w:type="dxa" w:w="44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6"/>
              </w:rPr>
              <w:t>Response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Liquidity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Runway, cash concentration, forecast variance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Liquidity floor, scenario plan, committed contingency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Credit/counterparty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Aging, defaults, partner exposure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Limits, collateral/guarantees where appropriate, diversification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Operational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Exceptions, failed reconciliations, access violations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Segregation of duties, testing, continuity plans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Cyber/fraud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Account takeover, anomalous transactions, phishing reports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MFA, endpoint hardening, monitoring, positive controls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Regulatory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Product or country changes, complaints, examinations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Change management, counsel, licensed partners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Reputation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Complaint trends, partner attrition, public claims variance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Evidence standards, transparent reporting, response protocol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FX/interest rate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Exposure by currency and repricing period</w:t>
            </w:r>
          </w:p>
        </w:tc>
        <w:tc>
          <w:tcPr>
            <w:tcW w:type="dxa" w:w="4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6"/>
              </w:rPr>
              <w:t>Natural hedges, limits, scenarios, approved derivatives only</w:t>
            </w:r>
          </w:p>
        </w:tc>
      </w:tr>
    </w:tbl>
    <w:p>
      <w:pPr>
        <w:spacing w:after="20"/>
      </w:pPr>
    </w:p>
    <w:p>
      <w:pPr>
        <w:pStyle w:val="Heading1"/>
      </w:pPr>
      <w:r>
        <w:t>Impact Measurement</w:t>
      </w:r>
    </w:p>
    <w:p>
      <w:pPr>
        <w:pStyle w:val="ListBullet"/>
        <w:spacing w:after="80" w:line="290" w:lineRule="auto"/>
      </w:pPr>
      <w:r>
        <w:t>Households onboarded, activated, retained, and transitioned to lower-cost financial services.</w:t>
      </w:r>
    </w:p>
    <w:p>
      <w:pPr>
        <w:pStyle w:val="ListBullet"/>
        <w:spacing w:after="80" w:line="290" w:lineRule="auto"/>
      </w:pPr>
      <w:r>
        <w:t>Businesses completing treasury-readiness training, adopting accrual accounting, and improving cash conversion cycles.</w:t>
      </w:r>
    </w:p>
    <w:p>
      <w:pPr>
        <w:pStyle w:val="ListBullet"/>
        <w:spacing w:after="80" w:line="290" w:lineRule="auto"/>
      </w:pPr>
      <w:r>
        <w:t>Merchant revenue generated through SOLN-referred demand and procurement pathways.</w:t>
      </w:r>
    </w:p>
    <w:p>
      <w:pPr>
        <w:pStyle w:val="ListBullet"/>
        <w:spacing w:after="80" w:line="290" w:lineRule="auto"/>
      </w:pPr>
      <w:r>
        <w:t>Capital, grants, and benefits delivered with complete traceability and reconciliation.</w:t>
      </w:r>
    </w:p>
    <w:p>
      <w:pPr>
        <w:pStyle w:val="ListBullet"/>
        <w:spacing w:after="80" w:line="290" w:lineRule="auto"/>
      </w:pPr>
      <w:r>
        <w:t>Reduction in failed payments, fraud losses, reconciliation exceptions, and unresolved complaints.</w:t>
      </w:r>
    </w:p>
    <w:p>
      <w:pPr>
        <w:pStyle w:val="ListBullet"/>
        <w:spacing w:after="80" w:line="290" w:lineRule="auto"/>
      </w:pPr>
      <w:r>
        <w:t>Geographic distribution by historically redlined, low-to-moderate income, rural, tribal, diaspora, and other defined priority areas.</w:t>
      </w:r>
    </w:p>
    <w:p>
      <w:pPr>
        <w:pStyle w:val="Heading1"/>
      </w:pPr>
      <w:r>
        <w:t>First 12-Month Execution Agenda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3200"/>
        <w:gridCol w:w="5260"/>
      </w:tblGrid>
      <w:tr>
        <w:trPr>
          <w:tblHeader w:val="true"/>
          <w:cantSplit/>
        </w:trPr>
        <w:tc>
          <w:tcPr>
            <w:tcW w:type="dxa" w:w="9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Quarter</w:t>
            </w:r>
          </w:p>
        </w:tc>
        <w:tc>
          <w:tcPr>
            <w:tcW w:type="dxa" w:w="32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Priority</w:t>
            </w:r>
          </w:p>
        </w:tc>
        <w:tc>
          <w:tcPr>
            <w:tcW w:type="dxa" w:w="52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b/>
                <w:color w:val="102A43"/>
                <w:sz w:val="17"/>
              </w:rPr>
              <w:t>Completion evidence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Q1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Governance, product definition, pilot design, control map</w:t>
            </w:r>
          </w:p>
        </w:tc>
        <w:tc>
          <w:tcPr>
            <w:tcW w:type="dxa" w:w="5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Approved charter, risk register, funds-flow map, pricing, pilot criteria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Q2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Launch 5-10 anchor merchants and first participant cohort</w:t>
            </w:r>
          </w:p>
        </w:tc>
        <w:tc>
          <w:tcPr>
            <w:tcW w:type="dxa" w:w="5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Signed agreements, completed onboarding, live support, weekly reconciliation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Q3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Institutional sponsor and second corridor</w:t>
            </w:r>
          </w:p>
        </w:tc>
        <w:tc>
          <w:tcPr>
            <w:tcW w:type="dxa" w:w="5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Cohort contract, impact dashboard, repeatable implementation playbook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Q4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Scale decision and Year 2 financing</w:t>
            </w:r>
          </w:p>
        </w:tc>
        <w:tc>
          <w:tcPr>
            <w:tcW w:type="dxa" w:w="5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sz w:val="17"/>
              </w:rPr>
              <w:t>KPI review, independent control assessment, audited forecast refresh</w:t>
            </w:r>
          </w:p>
        </w:tc>
      </w:tr>
    </w:tbl>
    <w:p>
      <w:pPr>
        <w:spacing w:after="20"/>
      </w:pPr>
    </w:p>
    <w:p>
      <w:pPr>
        <w:pStyle w:val="Heading1"/>
      </w:pPr>
      <w:r>
        <w:t>Decision Rules</w:t>
      </w:r>
    </w:p>
    <w:p>
      <w:pPr>
        <w:pStyle w:val="ListBullet"/>
        <w:spacing w:after="80" w:line="290" w:lineRule="auto"/>
      </w:pPr>
      <w:r>
        <w:t>Do not open a new geography until the current launch unit meets activation, retention, reconciliation, complaint, and liquidity thresholds.</w:t>
      </w:r>
    </w:p>
    <w:p>
      <w:pPr>
        <w:pStyle w:val="ListBullet"/>
        <w:spacing w:after="80" w:line="290" w:lineRule="auto"/>
      </w:pPr>
      <w:r>
        <w:t>Do not recognize pledged, notional, disputed, or internally declared values as operating revenue without the applicable accounting evidence.</w:t>
      </w:r>
    </w:p>
    <w:p>
      <w:pPr>
        <w:pStyle w:val="ListBullet"/>
        <w:spacing w:after="80" w:line="290" w:lineRule="auto"/>
      </w:pPr>
      <w:r>
        <w:t>Do not commingle operating cash, customer funds, sponsored-program funds, reserves, or restricted funds.</w:t>
      </w:r>
    </w:p>
    <w:p>
      <w:pPr>
        <w:pStyle w:val="ListBullet"/>
        <w:spacing w:after="80" w:line="290" w:lineRule="auto"/>
      </w:pPr>
      <w:r>
        <w:t>Do not describe an LND reference value as available USD unless a documented USD liquidity source and settlement obligation exist.</w:t>
      </w:r>
    </w:p>
    <w:p>
      <w:pPr>
        <w:pStyle w:val="ListBullet"/>
        <w:spacing w:after="80" w:line="290" w:lineRule="auto"/>
      </w:pPr>
      <w:r>
        <w:t>Do not launch a regulated service solely because the software is technically capable of performing it.</w:t>
      </w:r>
    </w:p>
    <w:p>
      <w:pPr>
        <w:pStyle w:val="ListBullet"/>
        <w:spacing w:after="80" w:line="290" w:lineRule="auto"/>
      </w:pPr>
      <w:r>
        <w:t>Do not optimize growth at the expense of auditability, customer protection, or liquidity.</w:t>
      </w:r>
    </w:p>
    <w:p>
      <w:pPr>
        <w:pStyle w:val="Heading1"/>
      </w:pPr>
      <w:r>
        <w:t>Sources and Planning Basis</w:t>
      </w:r>
    </w:p>
    <w:p>
      <w:pPr>
        <w:pStyle w:val="ListBullet"/>
        <w:spacing w:after="60"/>
      </w:pPr>
      <w:r>
        <w:rPr>
          <w:color w:val="1259C3"/>
        </w:rPr>
        <w:t>U.S. Census Bureau, business-owner characteristics release (Nov. 20, 2025)</w:t>
      </w:r>
      <w:hyperlink r:id="rId13">
        <w:r>
          <w:t> [source]</w:t>
        </w:r>
      </w:hyperlink>
    </w:p>
    <w:p>
      <w:pPr>
        <w:pStyle w:val="ListBullet"/>
        <w:spacing w:after="60"/>
      </w:pPr>
      <w:r>
        <w:rPr>
          <w:color w:val="1259C3"/>
        </w:rPr>
        <w:t>FDIC, 2023 National Survey of Unbanked and Underbanked Households</w:t>
      </w:r>
      <w:hyperlink r:id="rId14">
        <w:r>
          <w:t> [source]</w:t>
        </w:r>
      </w:hyperlink>
    </w:p>
    <w:p>
      <w:pPr>
        <w:pStyle w:val="ListBullet"/>
        <w:spacing w:after="60"/>
      </w:pPr>
      <w:r>
        <w:rPr>
          <w:color w:val="1259C3"/>
        </w:rPr>
        <w:t>World Bank, Global Findex Database 2025</w:t>
      </w:r>
      <w:hyperlink r:id="rId15">
        <w:r>
          <w:t> [source]</w:t>
        </w:r>
      </w:hyperlink>
    </w:p>
    <w:p>
      <w:pPr>
        <w:pStyle w:val="ListBullet"/>
        <w:spacing w:after="60"/>
      </w:pPr>
      <w:r>
        <w:rPr>
          <w:color w:val="1259C3"/>
        </w:rPr>
        <w:t>World Bank, Inclusive Digital Financial Services</w:t>
      </w:r>
      <w:hyperlink r:id="rId16">
        <w:r>
          <w:t> [source]</w:t>
        </w:r>
      </w:hyperlink>
    </w:p>
    <w:p>
      <w:pPr>
        <w:pStyle w:val="ListBullet"/>
        <w:spacing w:after="60"/>
      </w:pPr>
      <w:r>
        <w:rPr>
          <w:color w:val="1259C3"/>
        </w:rPr>
        <w:t>Federal Reserve, remarks on small-business access to capital (May 15, 2025)</w:t>
      </w:r>
      <w:hyperlink r:id="rId17">
        <w:r>
          <w:t> [source]</w:t>
        </w:r>
      </w:hyperlink>
    </w:p>
    <w:p>
      <w:pPr>
        <w:pStyle w:val="NoteCallout"/>
      </w:pPr>
      <w:r>
        <w:rPr>
          <w:b w:val="0"/>
          <w:i w:val="0"/>
        </w:rPr>
        <w:t>Forecast methodology: management assumptions prepared September 2026. Reforecast quarterly using actual conversion, retention, pricing, cost, compliance, and partner data. No forecast should be interpreted as a guarantee of financing, adoption, regulatory approval, currency acceptance, or financial return.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6670"/>
        <w:sz w:val="16"/>
      </w:rPr>
      <w:t xml:space="preserve">Confidential planning document | September 2026 |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color w:val="5C6670"/>
        <w:sz w:val="18"/>
      </w:rPr>
      <w:t>SOLN | Inclusive Treasury Infrastructure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20" w:lineRule="auto"/>
      <w:jc w:val="both"/>
    </w:pPr>
    <w:rPr>
      <w:rFonts w:ascii="Calibri" w:hAnsi="Calibri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59C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259C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Callout">
    <w:name w:val="Lead Callout"/>
    <w:pPr>
      <w:spacing w:before="120" w:after="160"/>
      <w:ind w:left="230" w:right="230"/>
    </w:pPr>
    <w:rPr>
      <w:rFonts w:ascii="Calibri" w:hAnsi="Calibri"/>
      <w:b/>
      <w:color w:val="102A43"/>
      <w:sz w:val="21"/>
    </w:rPr>
  </w:style>
  <w:style w:type="paragraph" w:customStyle="1" w:styleId="NoteCallout">
    <w:name w:val="Note Callout"/>
    <w:pPr>
      <w:spacing w:before="120" w:after="160"/>
      <w:ind w:left="230" w:right="230"/>
    </w:pPr>
    <w:rPr>
      <w:rFonts w:ascii="Calibri" w:hAnsi="Calibri"/>
      <w:b/>
      <w:color w:val="5C6670"/>
      <w:sz w:val="21"/>
    </w:rPr>
  </w:style>
  <w:style w:type="paragraph" w:customStyle="1" w:styleId="PositiveCallout">
    <w:name w:val="Positive Callout"/>
    <w:pPr>
      <w:spacing w:before="120" w:after="160"/>
      <w:ind w:left="230" w:right="230"/>
    </w:pPr>
    <w:rPr>
      <w:rFonts w:ascii="Calibri" w:hAnsi="Calibri"/>
      <w:b/>
      <w:color w:val="1D7A5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www.census.gov/newsroom/press-releases/2025/business-owner-characteristics.html" TargetMode="External"/><Relationship Id="rId14" Type="http://schemas.openxmlformats.org/officeDocument/2006/relationships/hyperlink" Target="https://www.fdic.gov/household-survey" TargetMode="External"/><Relationship Id="rId15" Type="http://schemas.openxmlformats.org/officeDocument/2006/relationships/hyperlink" Target="https://www.worldbank.org/en/publication/globalfindex" TargetMode="External"/><Relationship Id="rId16" Type="http://schemas.openxmlformats.org/officeDocument/2006/relationships/hyperlink" Target="https://digitalfinance.worldbank.org/home" TargetMode="External"/><Relationship Id="rId17" Type="http://schemas.openxmlformats.org/officeDocument/2006/relationships/hyperlink" Target="https://www.federalreserve.gov/newsevents/speech/barr20250515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SOLN Community Lending and Grant Network - 10-Year Business Plan</dc:title>
  <dc:subject>Loans, grants and back-end financial software for underfunded, underrepresented, and historically redlined communities</dc:subject>
  <dc:creator>State of Loc Nation (SOLN)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