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F393" w14:textId="77777777" w:rsidR="00FD00DE" w:rsidRDefault="00FD00DE" w:rsidP="00FD00DE">
      <w:pPr>
        <w:pStyle w:val="p1"/>
        <w:jc w:val="center"/>
        <w:rPr>
          <w:rStyle w:val="s1"/>
        </w:rPr>
      </w:pPr>
    </w:p>
    <w:p w14:paraId="2E5B44A0" w14:textId="77777777" w:rsidR="00937C7F" w:rsidRDefault="00377A43" w:rsidP="00937C7F">
      <w:pPr>
        <w:pStyle w:val="p1"/>
        <w:rPr>
          <w:rStyle w:val="s1"/>
        </w:rPr>
      </w:pPr>
      <w:r>
        <w:rPr>
          <w:rFonts w:ascii="UICTFontTextStyleEmphasizedBody" w:hAnsi="UICTFontTextStyleEmphasizedBody"/>
          <w:b/>
          <w:bCs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6F024D9" wp14:editId="735F6EAF">
            <wp:simplePos x="0" y="0"/>
            <wp:positionH relativeFrom="column">
              <wp:posOffset>4149090</wp:posOffset>
            </wp:positionH>
            <wp:positionV relativeFrom="paragraph">
              <wp:posOffset>0</wp:posOffset>
            </wp:positionV>
            <wp:extent cx="1613535" cy="1613535"/>
            <wp:effectExtent l="0" t="0" r="0" b="0"/>
            <wp:wrapTopAndBottom/>
            <wp:docPr id="9019011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01115" name="Picture 9019011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6F4">
        <w:rPr>
          <w:rFonts w:ascii="UICTFontTextStyleEmphasizedBody" w:hAnsi="UICTFontTextStyleEmphasizedBody"/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1F5E083" wp14:editId="2AD36435">
            <wp:simplePos x="0" y="0"/>
            <wp:positionH relativeFrom="column">
              <wp:posOffset>-273050</wp:posOffset>
            </wp:positionH>
            <wp:positionV relativeFrom="paragraph">
              <wp:posOffset>0</wp:posOffset>
            </wp:positionV>
            <wp:extent cx="1283335" cy="1283335"/>
            <wp:effectExtent l="0" t="0" r="0" b="0"/>
            <wp:wrapTopAndBottom/>
            <wp:docPr id="715531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31518" name="Picture 7155315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C7F">
        <w:rPr>
          <w:rStyle w:val="s1"/>
        </w:rPr>
        <w:t xml:space="preserve">February 5, 2026 </w:t>
      </w:r>
    </w:p>
    <w:p w14:paraId="719B8215" w14:textId="77777777" w:rsidR="00937C7F" w:rsidRDefault="00937C7F" w:rsidP="00FD00DE">
      <w:pPr>
        <w:pStyle w:val="p1"/>
        <w:jc w:val="center"/>
        <w:rPr>
          <w:rStyle w:val="s1"/>
        </w:rPr>
      </w:pPr>
    </w:p>
    <w:p w14:paraId="41DE28E6" w14:textId="75DA484D" w:rsidR="008E3ADB" w:rsidRDefault="00937C7F" w:rsidP="00FD00DE">
      <w:pPr>
        <w:pStyle w:val="p1"/>
        <w:jc w:val="center"/>
      </w:pPr>
      <w:r>
        <w:rPr>
          <w:rStyle w:val="s1"/>
        </w:rPr>
        <w:t>P</w:t>
      </w:r>
      <w:r w:rsidR="008E3ADB">
        <w:rPr>
          <w:rStyle w:val="s1"/>
        </w:rPr>
        <w:t>UBLIC INVITATION FOR NATIONAL AND GLOBAL PARTNERSHIP</w:t>
      </w:r>
    </w:p>
    <w:p w14:paraId="02D3D02E" w14:textId="77777777" w:rsidR="008E3ADB" w:rsidRDefault="008E3ADB">
      <w:pPr>
        <w:pStyle w:val="p2"/>
      </w:pPr>
    </w:p>
    <w:p w14:paraId="12E63946" w14:textId="3CA26A38" w:rsidR="008E3ADB" w:rsidRDefault="008E3ADB">
      <w:pPr>
        <w:pStyle w:val="p1"/>
      </w:pPr>
      <w:r>
        <w:rPr>
          <w:rStyle w:val="s2"/>
        </w:rPr>
        <w:t xml:space="preserve">While I am currently in active discussions regarding a national initiative partnership in the range of </w:t>
      </w:r>
      <w:r>
        <w:rPr>
          <w:rStyle w:val="s1"/>
        </w:rPr>
        <w:t>$250,000 to $1,000,000</w:t>
      </w:r>
      <w:r>
        <w:rPr>
          <w:rStyle w:val="s2"/>
        </w:rPr>
        <w:t>, I paused to reflect on something important.</w:t>
      </w:r>
    </w:p>
    <w:p w14:paraId="252FEDA1" w14:textId="77777777" w:rsidR="008E3ADB" w:rsidRDefault="008E3ADB">
      <w:pPr>
        <w:pStyle w:val="p2"/>
      </w:pPr>
    </w:p>
    <w:p w14:paraId="3ABBF0A3" w14:textId="77777777" w:rsidR="008E3ADB" w:rsidRDefault="008E3ADB">
      <w:pPr>
        <w:pStyle w:val="p1"/>
      </w:pPr>
      <w:r>
        <w:rPr>
          <w:rStyle w:val="s2"/>
        </w:rPr>
        <w:t xml:space="preserve">Our initiative builds upon seven years of engagement, including the completion of H.R. 40 research, offering a fully developed framework to guide national and international programs in education, governance innovation, and community development. The work we are advancing—across </w:t>
      </w:r>
      <w:r>
        <w:rPr>
          <w:rStyle w:val="s1"/>
        </w:rPr>
        <w:t>education, governance innovation, community development, and global cooperation</w:t>
      </w:r>
      <w:r>
        <w:rPr>
          <w:rStyle w:val="s2"/>
        </w:rPr>
        <w:t xml:space="preserve">—was never intended to exist within a single institutional relationship. It was built to serve people across </w:t>
      </w:r>
      <w:r>
        <w:rPr>
          <w:rStyle w:val="s1"/>
        </w:rPr>
        <w:t>all 50 United States</w:t>
      </w:r>
      <w:r>
        <w:rPr>
          <w:rStyle w:val="s2"/>
        </w:rPr>
        <w:t xml:space="preserve"> and our international relationships, including </w:t>
      </w:r>
      <w:r>
        <w:rPr>
          <w:rStyle w:val="s1"/>
        </w:rPr>
        <w:t>Ghana and the global African diaspora</w:t>
      </w:r>
      <w:r>
        <w:rPr>
          <w:rStyle w:val="s2"/>
        </w:rPr>
        <w:t>.</w:t>
      </w:r>
    </w:p>
    <w:p w14:paraId="570B6B10" w14:textId="77777777" w:rsidR="008E3ADB" w:rsidRDefault="008E3ADB">
      <w:pPr>
        <w:pStyle w:val="p2"/>
      </w:pPr>
    </w:p>
    <w:p w14:paraId="6C173A73" w14:textId="77777777" w:rsidR="008E3ADB" w:rsidRDefault="008E3ADB">
      <w:pPr>
        <w:pStyle w:val="p1"/>
      </w:pPr>
      <w:r>
        <w:rPr>
          <w:rStyle w:val="s2"/>
        </w:rPr>
        <w:t xml:space="preserve">Before formalizing any exclusive partnership, I believe it is both responsible and necessary to extend an open invitation to the broader ecosystem of </w:t>
      </w:r>
      <w:r>
        <w:rPr>
          <w:rStyle w:val="s1"/>
        </w:rPr>
        <w:t>institutions, universities, foundations, corporations, and global organizations</w:t>
      </w:r>
      <w:r>
        <w:rPr>
          <w:rStyle w:val="s2"/>
        </w:rPr>
        <w:t xml:space="preserve"> that have historically worked alongside our communities.</w:t>
      </w:r>
    </w:p>
    <w:p w14:paraId="522A2E5C" w14:textId="77777777" w:rsidR="008E3ADB" w:rsidRDefault="008E3ADB">
      <w:pPr>
        <w:pStyle w:val="p2"/>
      </w:pPr>
    </w:p>
    <w:p w14:paraId="37415E82" w14:textId="77777777" w:rsidR="008E3ADB" w:rsidRDefault="008E3ADB">
      <w:pPr>
        <w:pStyle w:val="p1"/>
      </w:pPr>
      <w:r>
        <w:rPr>
          <w:rStyle w:val="s2"/>
        </w:rPr>
        <w:t>This is not simply about funding.</w:t>
      </w:r>
    </w:p>
    <w:p w14:paraId="61D367F5" w14:textId="77777777" w:rsidR="008E3ADB" w:rsidRDefault="008E3ADB">
      <w:pPr>
        <w:pStyle w:val="p1"/>
      </w:pPr>
      <w:r>
        <w:rPr>
          <w:rStyle w:val="s2"/>
        </w:rPr>
        <w:t xml:space="preserve">It is about </w:t>
      </w:r>
      <w:r>
        <w:rPr>
          <w:rStyle w:val="s1"/>
        </w:rPr>
        <w:t>alignment, stewardship, and participation</w:t>
      </w:r>
      <w:r>
        <w:rPr>
          <w:rStyle w:val="s2"/>
        </w:rPr>
        <w:t xml:space="preserve"> in building infrastructure designed to serve present and future generations.</w:t>
      </w:r>
    </w:p>
    <w:p w14:paraId="06480DD4" w14:textId="77777777" w:rsidR="008E3ADB" w:rsidRDefault="008E3ADB">
      <w:pPr>
        <w:pStyle w:val="p2"/>
      </w:pPr>
    </w:p>
    <w:p w14:paraId="1547401B" w14:textId="77777777" w:rsidR="008E3ADB" w:rsidRDefault="008E3ADB">
      <w:pPr>
        <w:pStyle w:val="p1"/>
      </w:pPr>
      <w:r>
        <w:rPr>
          <w:rStyle w:val="s1"/>
        </w:rPr>
        <w:t>Over the past seven (7) years, engagement with this work has included:</w:t>
      </w:r>
    </w:p>
    <w:p w14:paraId="69730739" w14:textId="77777777" w:rsidR="008E3ADB" w:rsidRDefault="008E3ADB">
      <w:pPr>
        <w:pStyle w:val="p2"/>
      </w:pPr>
    </w:p>
    <w:p w14:paraId="7CE9177B" w14:textId="77777777" w:rsidR="008E3ADB" w:rsidRDefault="008E3ADB">
      <w:pPr>
        <w:pStyle w:val="p1"/>
      </w:pPr>
      <w:r>
        <w:rPr>
          <w:rStyle w:val="s2"/>
        </w:rPr>
        <w:t xml:space="preserve">• </w:t>
      </w:r>
      <w:r>
        <w:rPr>
          <w:rStyle w:val="s1"/>
        </w:rPr>
        <w:t>Academic engagement</w:t>
      </w:r>
      <w:r>
        <w:rPr>
          <w:rStyle w:val="s2"/>
        </w:rPr>
        <w:t>, including Harvard framework submissions, Yale honorary degree requests and leadership certification, Georgia State University research engagement and law library usage, and related scholarly access</w:t>
      </w:r>
    </w:p>
    <w:p w14:paraId="1536BA9A" w14:textId="77777777" w:rsidR="008E3ADB" w:rsidRDefault="008E3ADB">
      <w:pPr>
        <w:pStyle w:val="p2"/>
      </w:pPr>
    </w:p>
    <w:p w14:paraId="6FA17597" w14:textId="77777777" w:rsidR="008E3ADB" w:rsidRDefault="008E3ADB">
      <w:pPr>
        <w:pStyle w:val="p1"/>
      </w:pPr>
      <w:r>
        <w:rPr>
          <w:rStyle w:val="s2"/>
        </w:rPr>
        <w:lastRenderedPageBreak/>
        <w:t xml:space="preserve">• </w:t>
      </w:r>
      <w:r>
        <w:rPr>
          <w:rStyle w:val="s1"/>
        </w:rPr>
        <w:t>Legal, policy, and governance outreach efforts</w:t>
      </w:r>
      <w:r>
        <w:rPr>
          <w:rStyle w:val="s2"/>
        </w:rPr>
        <w:t xml:space="preserve"> across multiple jurisdictions, including correspondence, submissions, briefings, and community-facing engagement involving U.S. Senators Raphael Warnock and Jon Ossoff; U.S. Representatives Ayanna Pressley and Hank Johnson; members of the Congressional Black Caucus; FCA Authority; civil rights attorney Ben Crump; and engagement with Fulton County, the Cities of Atlanta, East Point, and Decatur, as well as multiple Georgia mayors and municipal offices; District of Columbia Courts; ICJ Practitioners Guide; Federalist papers; Arkansas sandbox; LEI; ISO compliant; Visa Fintech engagement; Secretary of State, Library of Congress, Internet Archive, etc</w:t>
      </w:r>
    </w:p>
    <w:p w14:paraId="20292548" w14:textId="77777777" w:rsidR="008E3ADB" w:rsidRDefault="008E3ADB">
      <w:pPr>
        <w:pStyle w:val="p2"/>
      </w:pPr>
    </w:p>
    <w:p w14:paraId="6588058F" w14:textId="77777777" w:rsidR="008E3ADB" w:rsidRDefault="008E3ADB">
      <w:pPr>
        <w:pStyle w:val="p1"/>
      </w:pPr>
      <w:r>
        <w:rPr>
          <w:rStyle w:val="s2"/>
        </w:rPr>
        <w:t xml:space="preserve">• </w:t>
      </w:r>
      <w:r>
        <w:rPr>
          <w:rStyle w:val="s1"/>
        </w:rPr>
        <w:t>Engagement with global educators, nonprofit leaders, and institutional advisors</w:t>
      </w:r>
      <w:r>
        <w:rPr>
          <w:rStyle w:val="s2"/>
        </w:rPr>
        <w:t>, including the National Action Network, the NAACP, and other national, regional, and community-based organizations</w:t>
      </w:r>
    </w:p>
    <w:p w14:paraId="2E4A26F3" w14:textId="77777777" w:rsidR="008E3ADB" w:rsidRDefault="008E3ADB">
      <w:pPr>
        <w:pStyle w:val="p2"/>
      </w:pPr>
    </w:p>
    <w:p w14:paraId="6DC5169C" w14:textId="77777777" w:rsidR="008E3ADB" w:rsidRDefault="008E3ADB">
      <w:pPr>
        <w:pStyle w:val="p1"/>
      </w:pPr>
      <w:r>
        <w:rPr>
          <w:rStyle w:val="s2"/>
        </w:rPr>
        <w:t xml:space="preserve">• </w:t>
      </w:r>
      <w:r>
        <w:rPr>
          <w:rStyle w:val="s1"/>
        </w:rPr>
        <w:t>Humanitarian and development initiatives</w:t>
      </w:r>
      <w:r>
        <w:rPr>
          <w:rStyle w:val="s2"/>
        </w:rPr>
        <w:t>, including healthcare support efforts serving families internationally through my foundation, with demonstrated implementation in Ghana</w:t>
      </w:r>
    </w:p>
    <w:p w14:paraId="3D0152D0" w14:textId="77777777" w:rsidR="008E3ADB" w:rsidRDefault="008E3ADB">
      <w:pPr>
        <w:pStyle w:val="p2"/>
      </w:pPr>
    </w:p>
    <w:p w14:paraId="76D2BDDE" w14:textId="77777777" w:rsidR="008E3ADB" w:rsidRDefault="008E3ADB">
      <w:pPr>
        <w:pStyle w:val="p1"/>
      </w:pPr>
      <w:r>
        <w:rPr>
          <w:rStyle w:val="s1"/>
        </w:rPr>
        <w:t>Policy and global leadership engagement</w:t>
      </w:r>
      <w:r>
        <w:rPr>
          <w:rStyle w:val="s2"/>
        </w:rPr>
        <w:t xml:space="preserve">, including participation in briefings, </w:t>
      </w:r>
      <w:proofErr w:type="spellStart"/>
      <w:r>
        <w:rPr>
          <w:rStyle w:val="s2"/>
        </w:rPr>
        <w:t>convenings</w:t>
      </w:r>
      <w:proofErr w:type="spellEnd"/>
      <w:r>
        <w:rPr>
          <w:rStyle w:val="s2"/>
        </w:rPr>
        <w:t>, and outreach aligned with the U.S. Global Leadership Coalition (USGLC) and related global development and foreign policy forums.</w:t>
      </w:r>
      <w:r>
        <w:rPr>
          <w:rStyle w:val="apple-converted-space"/>
          <w:rFonts w:ascii="UICTFontTextStyleBody" w:hAnsi="UICTFontTextStyleBody"/>
        </w:rPr>
        <w:t> </w:t>
      </w:r>
    </w:p>
    <w:p w14:paraId="0DCAD25B" w14:textId="77777777" w:rsidR="008E3ADB" w:rsidRDefault="008E3ADB">
      <w:pPr>
        <w:pStyle w:val="p2"/>
      </w:pPr>
    </w:p>
    <w:p w14:paraId="38F4A555" w14:textId="77777777" w:rsidR="008E3ADB" w:rsidRDefault="008E3ADB">
      <w:pPr>
        <w:pStyle w:val="p1"/>
      </w:pPr>
      <w:r>
        <w:rPr>
          <w:rStyle w:val="s2"/>
        </w:rPr>
        <w:t xml:space="preserve">We are now formally opening the opportunity for </w:t>
      </w:r>
      <w:r>
        <w:rPr>
          <w:rStyle w:val="s1"/>
        </w:rPr>
        <w:t>institutional partners</w:t>
      </w:r>
      <w:r>
        <w:rPr>
          <w:rStyle w:val="s2"/>
        </w:rPr>
        <w:t xml:space="preserve"> to submit </w:t>
      </w:r>
      <w:r>
        <w:rPr>
          <w:rStyle w:val="s1"/>
        </w:rPr>
        <w:t>expressions of interest</w:t>
      </w:r>
      <w:r>
        <w:rPr>
          <w:rStyle w:val="s2"/>
        </w:rPr>
        <w:t xml:space="preserve"> in participating in this national and global framework.</w:t>
      </w:r>
    </w:p>
    <w:p w14:paraId="1C77712B" w14:textId="77777777" w:rsidR="008E3ADB" w:rsidRDefault="008E3ADB">
      <w:pPr>
        <w:pStyle w:val="p2"/>
      </w:pPr>
    </w:p>
    <w:p w14:paraId="2D3D3672" w14:textId="77777777" w:rsidR="008E3ADB" w:rsidRDefault="008E3ADB">
      <w:pPr>
        <w:pStyle w:val="p1"/>
      </w:pPr>
      <w:r>
        <w:rPr>
          <w:rStyle w:val="s1"/>
        </w:rPr>
        <w:t>Partnership engagement may include:</w:t>
      </w:r>
    </w:p>
    <w:p w14:paraId="205E7341" w14:textId="77777777" w:rsidR="008E3ADB" w:rsidRDefault="008E3ADB">
      <w:pPr>
        <w:pStyle w:val="p2"/>
      </w:pPr>
    </w:p>
    <w:p w14:paraId="62785529" w14:textId="77777777" w:rsidR="008E3ADB" w:rsidRDefault="008E3ADB">
      <w:pPr>
        <w:pStyle w:val="p1"/>
      </w:pPr>
      <w:r>
        <w:rPr>
          <w:rStyle w:val="s2"/>
        </w:rPr>
        <w:t>• Institutional collaboration</w:t>
      </w:r>
    </w:p>
    <w:p w14:paraId="3D67E9D9" w14:textId="77777777" w:rsidR="008E3ADB" w:rsidRDefault="008E3ADB">
      <w:pPr>
        <w:pStyle w:val="p1"/>
      </w:pPr>
      <w:r>
        <w:rPr>
          <w:rStyle w:val="s2"/>
        </w:rPr>
        <w:t>• Strategic advisory participation</w:t>
      </w:r>
    </w:p>
    <w:p w14:paraId="56830F82" w14:textId="77777777" w:rsidR="008E3ADB" w:rsidRDefault="008E3ADB">
      <w:pPr>
        <w:pStyle w:val="p1"/>
      </w:pPr>
      <w:r>
        <w:rPr>
          <w:rStyle w:val="s2"/>
        </w:rPr>
        <w:t>• Educational and research alignment</w:t>
      </w:r>
    </w:p>
    <w:p w14:paraId="7CF6DAB8" w14:textId="77777777" w:rsidR="008E3ADB" w:rsidRDefault="008E3ADB">
      <w:pPr>
        <w:pStyle w:val="p1"/>
      </w:pPr>
      <w:r>
        <w:rPr>
          <w:rStyle w:val="s2"/>
        </w:rPr>
        <w:t>• National and international program implementation</w:t>
      </w:r>
    </w:p>
    <w:p w14:paraId="2531C5A6" w14:textId="77777777" w:rsidR="008E3ADB" w:rsidRDefault="008E3ADB">
      <w:pPr>
        <w:pStyle w:val="p1"/>
      </w:pPr>
      <w:r>
        <w:rPr>
          <w:rStyle w:val="s2"/>
        </w:rPr>
        <w:t>• Financial sponsorship and infrastructure support</w:t>
      </w:r>
    </w:p>
    <w:p w14:paraId="01782E13" w14:textId="77777777" w:rsidR="008E3ADB" w:rsidRDefault="008E3ADB">
      <w:pPr>
        <w:pStyle w:val="p2"/>
      </w:pPr>
    </w:p>
    <w:p w14:paraId="7A8C4E4A" w14:textId="77777777" w:rsidR="008E3ADB" w:rsidRDefault="008E3ADB">
      <w:pPr>
        <w:pStyle w:val="p1"/>
      </w:pPr>
      <w:r>
        <w:rPr>
          <w:rStyle w:val="s2"/>
        </w:rPr>
        <w:t xml:space="preserve">Initial partnership participation ranges are currently being evaluated in alignment with </w:t>
      </w:r>
      <w:r>
        <w:rPr>
          <w:rStyle w:val="s1"/>
        </w:rPr>
        <w:t>national implementation requirements</w:t>
      </w:r>
      <w:r>
        <w:rPr>
          <w:rStyle w:val="s2"/>
        </w:rPr>
        <w:t>.</w:t>
      </w:r>
    </w:p>
    <w:p w14:paraId="73A46058" w14:textId="77777777" w:rsidR="008E3ADB" w:rsidRDefault="008E3ADB">
      <w:pPr>
        <w:pStyle w:val="p2"/>
      </w:pPr>
    </w:p>
    <w:p w14:paraId="0411181E" w14:textId="77777777" w:rsidR="008E3ADB" w:rsidRDefault="008E3ADB">
      <w:pPr>
        <w:pStyle w:val="p1"/>
      </w:pPr>
      <w:r>
        <w:rPr>
          <w:rStyle w:val="s2"/>
        </w:rPr>
        <w:t xml:space="preserve">Institutions wishing to be considered as </w:t>
      </w:r>
      <w:r>
        <w:rPr>
          <w:rStyle w:val="s1"/>
        </w:rPr>
        <w:t>founding or strategic partners</w:t>
      </w:r>
      <w:r>
        <w:rPr>
          <w:rStyle w:val="s2"/>
        </w:rPr>
        <w:t xml:space="preserve"> may submit inquiries or partnership interest through:</w:t>
      </w:r>
    </w:p>
    <w:p w14:paraId="1ED6EC06" w14:textId="77777777" w:rsidR="008E3ADB" w:rsidRDefault="008E3ADB">
      <w:pPr>
        <w:pStyle w:val="p2"/>
      </w:pPr>
    </w:p>
    <w:p w14:paraId="362973B4" w14:textId="77777777" w:rsidR="008E3ADB" w:rsidRDefault="008E3ADB">
      <w:pPr>
        <w:pStyle w:val="p1"/>
      </w:pPr>
      <w:r>
        <w:rPr>
          <w:rStyle w:val="s1"/>
        </w:rPr>
        <w:t>www.stateoflocnation.com</w:t>
      </w:r>
    </w:p>
    <w:p w14:paraId="6F488BD7" w14:textId="77777777" w:rsidR="008E3ADB" w:rsidRDefault="008E3ADB">
      <w:pPr>
        <w:pStyle w:val="p1"/>
      </w:pPr>
      <w:r>
        <w:rPr>
          <w:rStyle w:val="s2"/>
        </w:rPr>
        <w:t xml:space="preserve">or email </w:t>
      </w:r>
      <w:r>
        <w:rPr>
          <w:rStyle w:val="s1"/>
        </w:rPr>
        <w:t>info@stateoflocnation.com</w:t>
      </w:r>
    </w:p>
    <w:p w14:paraId="4D29B3EF" w14:textId="77777777" w:rsidR="008E3ADB" w:rsidRDefault="008E3ADB">
      <w:pPr>
        <w:pStyle w:val="p1"/>
      </w:pPr>
      <w:r>
        <w:rPr>
          <w:rStyle w:val="s2"/>
        </w:rPr>
        <w:t xml:space="preserve">Subject: </w:t>
      </w:r>
      <w:r>
        <w:rPr>
          <w:rStyle w:val="s1"/>
        </w:rPr>
        <w:t>SOLN Community Sponsorships</w:t>
      </w:r>
    </w:p>
    <w:p w14:paraId="53E8C931" w14:textId="77777777" w:rsidR="008E3ADB" w:rsidRDefault="008E3ADB">
      <w:pPr>
        <w:pStyle w:val="p2"/>
      </w:pPr>
    </w:p>
    <w:p w14:paraId="247B2FD3" w14:textId="77777777" w:rsidR="008E3ADB" w:rsidRDefault="008E3ADB">
      <w:pPr>
        <w:pStyle w:val="p1"/>
      </w:pPr>
      <w:r>
        <w:rPr>
          <w:rStyle w:val="s2"/>
        </w:rPr>
        <w:t>This invitation will remain open during the current partnership review period.</w:t>
      </w:r>
    </w:p>
    <w:p w14:paraId="24E66F05" w14:textId="77777777" w:rsidR="008E3ADB" w:rsidRDefault="008E3ADB">
      <w:pPr>
        <w:pStyle w:val="p2"/>
      </w:pPr>
    </w:p>
    <w:p w14:paraId="373DE397" w14:textId="77777777" w:rsidR="008E3ADB" w:rsidRDefault="008E3ADB">
      <w:pPr>
        <w:pStyle w:val="p1"/>
      </w:pPr>
      <w:r>
        <w:rPr>
          <w:rStyle w:val="s3"/>
        </w:rPr>
        <w:t>References to individuals and institutions reflect outreach, correspondence, research access, submissions, or independent engagement, and do not imply endorsement, authorization, or affiliation unless expressly stated.</w:t>
      </w:r>
    </w:p>
    <w:p w14:paraId="0FE649A5" w14:textId="77777777" w:rsidR="002B422E" w:rsidRDefault="002B422E">
      <w:pPr>
        <w:pStyle w:val="p2"/>
      </w:pPr>
    </w:p>
    <w:p w14:paraId="5C50EA5A" w14:textId="0F88D87F" w:rsidR="008E3ADB" w:rsidRDefault="002B422E">
      <w:pPr>
        <w:pStyle w:val="p2"/>
      </w:pPr>
      <w:r w:rsidRPr="002B422E">
        <w:t>https://archive.org/details/public-sponsorship-invitation</w:t>
      </w:r>
    </w:p>
    <w:p w14:paraId="7DAE97FF" w14:textId="77777777" w:rsidR="002B422E" w:rsidRDefault="002B422E">
      <w:pPr>
        <w:pStyle w:val="p1"/>
        <w:rPr>
          <w:rStyle w:val="s2"/>
        </w:rPr>
      </w:pPr>
    </w:p>
    <w:p w14:paraId="273B5803" w14:textId="10A3F9B0" w:rsidR="008E3ADB" w:rsidRDefault="008E3ADB">
      <w:pPr>
        <w:pStyle w:val="p1"/>
      </w:pPr>
      <w:r>
        <w:rPr>
          <w:rStyle w:val="s2"/>
        </w:rPr>
        <w:t>Respectfully,</w:t>
      </w:r>
    </w:p>
    <w:p w14:paraId="2AAC3259" w14:textId="77777777" w:rsidR="008E3ADB" w:rsidRDefault="008E3ADB">
      <w:pPr>
        <w:pStyle w:val="p2"/>
      </w:pPr>
    </w:p>
    <w:p w14:paraId="2B145035" w14:textId="77777777" w:rsidR="008E3ADB" w:rsidRDefault="008E3ADB">
      <w:pPr>
        <w:pStyle w:val="p1"/>
      </w:pPr>
      <w:r>
        <w:rPr>
          <w:rStyle w:val="s1"/>
        </w:rPr>
        <w:t>Rev. Dr. Christina Clement</w:t>
      </w:r>
    </w:p>
    <w:p w14:paraId="4555CCDB" w14:textId="77777777" w:rsidR="008E3ADB" w:rsidRDefault="008E3ADB">
      <w:pPr>
        <w:pStyle w:val="p1"/>
      </w:pPr>
      <w:r>
        <w:rPr>
          <w:rStyle w:val="s2"/>
        </w:rPr>
        <w:t>President</w:t>
      </w:r>
    </w:p>
    <w:p w14:paraId="07A0D1F7" w14:textId="77777777" w:rsidR="008E3ADB" w:rsidRDefault="008E3ADB">
      <w:pPr>
        <w:pStyle w:val="p1"/>
      </w:pPr>
      <w:r>
        <w:rPr>
          <w:rStyle w:val="s1"/>
        </w:rPr>
        <w:t>State of Loc Nation Global Public Benefit Corporation</w:t>
      </w:r>
    </w:p>
    <w:p w14:paraId="4E0E4AE0" w14:textId="77777777" w:rsidR="008E3ADB" w:rsidRDefault="008E3ADB"/>
    <w:sectPr w:rsidR="008E3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1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DB"/>
    <w:rsid w:val="002B422E"/>
    <w:rsid w:val="002B793E"/>
    <w:rsid w:val="00377A43"/>
    <w:rsid w:val="004936F4"/>
    <w:rsid w:val="005F269A"/>
    <w:rsid w:val="008E3ADB"/>
    <w:rsid w:val="00937C7F"/>
    <w:rsid w:val="00F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049EF"/>
  <w15:chartTrackingRefBased/>
  <w15:docId w15:val="{D696640F-BF39-CE48-914D-E2F8C470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A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A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AD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E3ADB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8E3ADB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8E3ADB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8E3AD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8E3ADB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apple-converted-space">
    <w:name w:val="apple-converted-space"/>
    <w:basedOn w:val="DefaultParagraphFont"/>
    <w:rsid w:val="008E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Loc Nation</dc:creator>
  <cp:keywords/>
  <dc:description/>
  <cp:lastModifiedBy>Queen Clement</cp:lastModifiedBy>
  <cp:revision>2</cp:revision>
  <dcterms:created xsi:type="dcterms:W3CDTF">2026-02-05T14:56:00Z</dcterms:created>
  <dcterms:modified xsi:type="dcterms:W3CDTF">2026-02-05T14:56:00Z</dcterms:modified>
</cp:coreProperties>
</file>