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ANALYSIS OF CHANGES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D6E9F8"/>
                <w:sz w:val="28"/>
                <w:szCs w:val="28"/>
              </w:rPr>
              <w:t xml:space="preserve">2026 National Electrical Code</w:t>
            </w:r>
            <w:r>
              <w:rPr>
                <w:rFonts w:ascii="Arial" w:cs="Arial" w:eastAsia="Arial" w:hAnsi="Arial"/>
                <w:b/>
                <w:bCs/>
                <w:color w:val="D6E9F8"/>
                <w:sz w:val="18"/>
                <w:szCs w:val="18"/>
                <w:vertAlign w:val="superscript"/>
              </w:rPr>
              <w:t xml:space="preserve">®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A8C6E0"/>
                <w:sz w:val="20"/>
                <w:szCs w:val="20"/>
              </w:rPr>
              <w:t xml:space="preserve">Comprehensive Quick-Reference Handout  •  Chapters 1–9 &amp; Annexes</w:t>
            </w:r>
          </w:p>
        </w:tc>
      </w:tr>
    </w:tbl>
    <w:p>
      <w:pPr>
        <w:spacing w:before="10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⚡  GLOBAL CHANGES &amp; STRUCTURAL UPDATES</w:t>
            </w:r>
          </w:p>
        </w:tc>
      </w:tr>
    </w:tbl>
    <w:p>
      <w:pPr>
        <w:spacing w:before="4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single" w:color="2E6DA4" w:sz="4"/>
              <w:left w:val="single" w:color="E8751A" w:sz="12"/>
              <w:bottom w:val="single" w:color="2E6DA4" w:sz="4"/>
              <w:right w:val="single" w:color="2E6DA4" w:sz="4"/>
            </w:tcBorders>
            <w:shd w:fill="FFF8F0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E8751A"/>
                <w:sz w:val="18"/>
                <w:szCs w:val="18"/>
              </w:rPr>
              <w:t xml:space="preserve">PREPARING FOR 2029 NEC® REFORMATTING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The NEC® format has remained unchanged since 1937. Structural changes in the 2026 cycle lay the groundwork for a comprehensive reorganization in 2029. The proposed 2029 structure is located in Annex L of the 2026 NEC®.</w:t>
            </w:r>
          </w:p>
        </w:tc>
      </w:tr>
    </w:tbl>
    <w:p>
      <w:pPr>
        <w:spacing w:before="6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NEW ARTICLES</w:t>
            </w:r>
          </w:p>
        </w:tc>
      </w:tr>
    </w:tbl>
    <w:p>
      <w:pPr>
        <w:spacing w:before="3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600"/>
        <w:gridCol w:w="774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206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Non-Power-Limited Remote-Control and Signaling Circuits [from 300.26]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265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Branch Circuits Over 1000V ac, 1500V dc [from deleted Art. 235]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266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Feeders Over 1000V ac, 1500V dc [from deleted Art. 235]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267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Outside BCs &amp; Feeders Over 1000V ac, 1500V dc [from Art. 235 &amp; 395]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268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Services Over 1000V ac, 1500V dc [from deleted Art. 235]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270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Grounding &amp; Bonding of Systems Over 1000V ac, 1500V dc [from Art. 250 Pt X]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624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Electric Self-Propelled Vehicle Power Transfer Systems (ESVSEs)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720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General Requirements for Limited-Energy Systems Wiring Methods &amp; Materials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721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Power Sources for Limited-Energy Systems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722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Limited-Energy Cables for Power-Limited, FMP, Optical Fiber &amp; Comms Circuits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723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Raceways, Cable Routing Assemblies &amp; Cable Trays for Limited-Energy Systems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742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Overvoltage Protection of Limited-Energy Systems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750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Grounding and Bonding of Limited-Energy Systems</w:t>
            </w:r>
          </w:p>
        </w:tc>
      </w:tr>
    </w:tbl>
    <w:p>
      <w:pPr>
        <w:spacing w:before="5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RELOCATED ARTICLES</w:t>
            </w:r>
          </w:p>
        </w:tc>
      </w:tr>
    </w:tbl>
    <w:p>
      <w:pPr>
        <w:spacing w:before="3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600"/>
        <w:gridCol w:w="774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MOVED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120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Branch-Circuit, Feeder &amp; Service Load Calculations [was Art. 220]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MOVED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130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Energy Management Systems [was Art. 750]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MOVED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772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Fire Resistive Cable Systems [was Art. 728]</w:t>
            </w:r>
          </w:p>
        </w:tc>
      </w:tr>
    </w:tbl>
    <w:p>
      <w:pPr>
        <w:spacing w:before="5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DELETED ARTICLES</w:t>
            </w:r>
          </w:p>
        </w:tc>
      </w:tr>
    </w:tbl>
    <w:p>
      <w:pPr>
        <w:spacing w:before="3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600"/>
        <w:gridCol w:w="774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DEL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235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Contents relocated to new Art. 265, 266, 267, and 268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DEL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395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Overhead Conductors Over 1,000V — relocated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DEL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770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Optical Fiber Cables — relocated to Art. 722, Part VII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DEL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805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Communications Circuits — relocated to Art. 722, 742, and 750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DEL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840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Premises-Powered Broadband — requirements covered elsewhere</w:t>
            </w:r>
          </w:p>
        </w:tc>
      </w:tr>
    </w:tbl>
    <w:p>
      <w:r>
        <w:br w:type="page"/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📖  CHAPTER 1 — GENERAL (Art. 90 &amp; 100)</w:t>
            </w:r>
          </w:p>
        </w:tc>
      </w:tr>
    </w:tbl>
    <w:p>
      <w:pPr>
        <w:spacing w:before="3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600"/>
        <w:gridCol w:w="774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90.2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Scope differentiated: 90.1 = article scope, 90.2 = document scope. Special permission language deleted (covered in 90.4(C)).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90.3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Chapter 8 no longer independent from Ch. 1–7. Chapter titles updated (Ch. 5: Specific Occupancies, Ch. 6: Specific Equipment, Ch. 7: Specific Conditions, Ch. 8: Comms—Outside &amp; Entering Buildings).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100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"Readily Accessible" definition clarified — reached quickly without using tools (other than a key), without climbing over or under barriers, without removing obstacles, or without using portable ladders.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100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"Cable Tie" and "Cable Tie Fixing Device" definitions added; support method per 300.13(E).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100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"Energy Management System" revised — must control power, not just monitor.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100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"Line-to-Ground" — new term applicable to both ac and dc systems. Excludes neutral conductor.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100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"OCPD" — streamlined definition; acronym may be used throughout the code. Types listed in 240.7.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xxx.2 / xxx.3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Listing requirements consolidated to xxx.2; reconditioned equipment requirements to xxx.3 per NEC Style Manual 2.2.1.</w:t>
            </w:r>
          </w:p>
        </w:tc>
      </w:tr>
    </w:tbl>
    <w:p>
      <w:pPr>
        <w:spacing w:before="8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🔌  CHAPTER 2 — WIRING &amp; PROTECTION (Art. 200–270)</w:t>
            </w:r>
          </w:p>
        </w:tc>
      </w:tr>
    </w:tbl>
    <w:p>
      <w:pPr>
        <w:spacing w:before="3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600"/>
        <w:gridCol w:w="774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200.7(A)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Renumbered (was 200.6). New list item 9: single stripe (not green) permitted for grounded conductor identification.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206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Non-Power-Limited Remote-Control and Signaling Circuits — new article created from former 300.26.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210.8(A)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Dwelling GFCI: garages separated (item 2); accessory buildings expanded regardless of grade (item 3); indoor damp/wet locations added (items 13-14); exhaust fan exception broadened.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210.8(B)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Other than dwellings: indoor damp (item 8) and wet (item 9) locations separated; open aquatic vessels added (item 14); industrial exception rewritten for outdoor equipment.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210.8(F)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Outdoor outlets: amperage threshold increased 50A → 60A (single-phase, 150V-to-ground or less). Class C SPGFCI permitted for listed HVAC equipment. Disconnect must be marked with warning that Class C SPGFCI protection is provided.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100 GFCI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Class A GFCI: trips at ≥6 mA. New Class C, D, E Special-Purpose GFCI (SPGFCI) definitions added. Evaluated to UL 943C.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210.12(B)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AFCI: sunset date removed for arc welding exception; scope expanded to garages and accessory buildings.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Countertop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Definition revised to include beverage preparation/serving. "Work Surface" revised to exclude beverage functions.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250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Part X (over 1000V grounding/bonding) relocated to new Art. 270.</w:t>
            </w:r>
          </w:p>
        </w:tc>
      </w:tr>
    </w:tbl>
    <w:p>
      <w:r>
        <w:br w:type="page"/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🔧  CHAPTER 3 — WIRING METHODS &amp; MATERIALS (Art. 300–398)</w:t>
            </w:r>
          </w:p>
        </w:tc>
      </w:tr>
    </w:tbl>
    <w:p>
      <w:pPr>
        <w:spacing w:before="3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600"/>
        <w:gridCol w:w="774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300.1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Scope revised for clarity.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300.4(C)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Damaged conductors and wiring methods — new limitations added.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300.6(E)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Protection against physical damage for wiring under roof decking.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300.7(D)(3)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Underground installations: protection from damage requirements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300.9(A)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Raceways exposed to different temperatures: condensation requirements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300.11(B)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Raceways in indoor wet locations above grade: new drainage requirements.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300.13(E)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Securing and supporting: cable ties and cable tie fixing devices must be listed and identified for securement and support per new Art. 100 definitions.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300.24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New section addressing bends in wiring methods.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310.5(A)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Minimum conductor size requirements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310.15(E)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Neutral conductor ampacity requirements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T310.16/.17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Type XHWN removed from 90°C column (rated 75°C only); 16 AWG Cu and 14 AWG Cu-clad Al added to tables.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312.3/315.3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Reconditioned equipment requirements added for cabinets and MV cables.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314.2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Listing requirements added for boxes and conduit bodies.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314.16(B)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Box fill: splicing connectors (wire nuts, etc.) added to items NOT counted in box fill calculations.</w:t>
            </w:r>
          </w:p>
        </w:tc>
      </w:tr>
    </w:tbl>
    <w:p>
      <w:pPr>
        <w:spacing w:before="8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⚙️  CHAPTER 4 — EQUIPMENT FOR GENERAL USE (Art. 400–490)</w:t>
            </w:r>
          </w:p>
        </w:tc>
      </w:tr>
    </w:tbl>
    <w:p>
      <w:pPr>
        <w:spacing w:before="3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600"/>
        <w:gridCol w:w="774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404.1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Switch scope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404.10(A)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Accessibility and grouping of switch locations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406.12(D)(3)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Receptacle replacements: GFCI protection requirements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406.14(G)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Receptacle mounting orientation requirements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406.26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Tamper-resistant receptacle requirements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408.6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Short-circuit current rating requirements for switchboards/panelboards.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410.184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GFCI/SPGFCI protection added for horticultural lighting equipment.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422.12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Central heating equipment requirements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422.13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Storage-type water heater requirements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426.2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Listing requirements added for fixed outdoor deicing/snow-melting equipment.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430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New requirements for Design BE and CE energy-efficient motors (higher locked rotor currents). New 430.22(H) locked rotor current calculations; new Table 430.251(C).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430.3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Reconditioned equipment requirements for motors revised.</w:t>
            </w:r>
          </w:p>
        </w:tc>
      </w:tr>
    </w:tbl>
    <w:p>
      <w:r>
        <w:br w:type="page"/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🏭  CHAPTER 5 — SPECIFIC OCCUPANCIES &amp; LOCATIONS (Art. 500+)</w:t>
            </w:r>
          </w:p>
        </w:tc>
      </w:tr>
    </w:tbl>
    <w:p>
      <w:pPr>
        <w:spacing w:before="2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600"/>
        <w:gridCol w:w="774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500.5(D)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Class III, Division 1 classification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500.8(G)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Equipment involving optical radiation in hazardous locations.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501.3(A)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Reconditioned equipment: permitted types for Class I locations.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501.10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Wiring methods for Class I, Div. 1 and Div. 2 locations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501.130(C)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Luminaire retrofit kits for hazardous locations.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511.5(C)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Repair garages: major vs. minor classification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511.10(B)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EV Power Transfer Systems in repair garages.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512.6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Prohibited locations for cannabis oil extraction equipment (assembly, educational, health care, residential, etc.).</w:t>
            </w:r>
          </w:p>
        </w:tc>
      </w:tr>
    </w:tbl>
    <w:p>
      <w:pPr>
        <w:spacing w:before="4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🔋  CHAPTER 6 — SPECIFIC EQUIPMENT (Art. 600–695)</w:t>
            </w:r>
          </w:p>
        </w:tc>
      </w:tr>
    </w:tbl>
    <w:p>
      <w:pPr>
        <w:spacing w:before="2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600"/>
        <w:gridCol w:w="774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DEL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600.4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Sign markings requirements deleted.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604.100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Manufactured wiring systems construction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DEL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620.7(C)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Elevator sump pump GFCI requirements deleted.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620.16(C)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Available fault current field marking required for elevator control panels (relocated from 620.51(D)).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620.51(A)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Elevator disconnecting means: new Exception No. 3.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620.62(B)(C)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Selective coordination for elevator replacements and modifications.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624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Electric Self-Propelled Vehicle Power Transfer Systems (ESVSEs) — entirely new article.</w:t>
            </w:r>
          </w:p>
        </w:tc>
      </w:tr>
    </w:tbl>
    <w:p>
      <w:pPr>
        <w:spacing w:before="4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🚨  CHAPTER 7 — SPECIFIC CONDITIONS &amp; SYSTEMS (Art. 700–760)</w:t>
            </w:r>
          </w:p>
        </w:tc>
      </w:tr>
    </w:tbl>
    <w:p>
      <w:pPr>
        <w:spacing w:before="2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600"/>
        <w:gridCol w:w="774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700.4(D)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Emergency system record keeping requirements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700.4(F)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Temporary source of power for single alternate source systems.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700.6(C)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Bypass and isolation of transfer equipment.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700.10(D)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Emergency feeder-circuit wiring: concrete encasement minimum increased from 2 in. to 5 in.; 2 in. still permitted with documented 2-hour fire rating by a licensed PE.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700.12(F)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Microgrid systems for emergency power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700.24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Luminaires with control inputs for emergency illumination.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700.28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Class 4 powered emergency lighting systems — new section.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700.32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Selective coordination for replacements (B) and modifications (C) revised.</w:t>
            </w:r>
          </w:p>
        </w:tc>
      </w:tr>
    </w:tbl>
    <w:p>
      <w:pPr>
        <w:spacing w:before="4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📡  CHAPTERS 7–8 — LIMITED-ENERGY &amp; COMMUNICATIONS</w:t>
            </w:r>
          </w:p>
        </w:tc>
      </w:tr>
    </w:tbl>
    <w:p>
      <w:pPr>
        <w:spacing w:before="2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single" w:color="E8751A" w:sz="4"/>
              <w:left w:val="single" w:color="E8751A" w:sz="12"/>
              <w:bottom w:val="single" w:color="E8751A" w:sz="4"/>
              <w:right w:val="single" w:color="E8751A" w:sz="4"/>
            </w:tcBorders>
            <w:shd w:fill="FFF8F0" w:val="clear"/>
            <w:tcMar>
              <w:top w:type="dxa" w:w="50"/>
              <w:left w:type="dxa" w:w="150"/>
              <w:bottom w:type="dxa" w:w="50"/>
              <w:right w:type="dxa" w:w="15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color w:val="E8751A"/>
                <w:sz w:val="17"/>
                <w:szCs w:val="17"/>
              </w:rPr>
              <w:t xml:space="preserve">MAJOR CHANGE: Chapter 8 Independence Removed</w:t>
            </w:r>
          </w:p>
          <w:p>
            <w:pPr>
              <w:spacing w:before="0" w:after="10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Ch. 7 (Art. 720–760) now provides main installation requirements for ALL Limited-Energy Systems, including Communications. Redundancies between Ch. 7 &amp; 8 eliminated. 2029 edition will finalize remaining cleanup.</w:t>
            </w:r>
          </w:p>
        </w:tc>
      </w:tr>
    </w:tbl>
    <w:p>
      <w:pPr>
        <w:spacing w:before="2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600"/>
        <w:gridCol w:w="774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800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Significantly reduced — requirements moved to Ch. 7 limited-energy articles.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800.24(A)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“Neat and workmanlike” changed to “professional and skillful” to align with 110.12.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DEL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810/820/830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Grounding sections relocated to new Art. 750. Installation methods moved to Art. 722.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DEL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Art. 805/840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Deleted — requirements now in Art. 722, 742, and 750.</w:t>
            </w:r>
          </w:p>
        </w:tc>
      </w:tr>
    </w:tbl>
    <w:p>
      <w:pPr>
        <w:spacing w:before="30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📊  CHAPTER 9 &amp; ANNEXES</w:t>
            </w:r>
          </w:p>
        </w:tc>
      </w:tr>
    </w:tbl>
    <w:p>
      <w:pPr>
        <w:spacing w:before="15" w:after="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600"/>
        <w:gridCol w:w="774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Table 1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Conduit/tubing fill percentages for conductors and cables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Table 13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Equipment suitable for hazardous (classified) locations revised.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DEL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Annex J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ADA Standards removed; notes now cite ANSI/ICC A117.1-2017. Annex retained for future use.</w:t>
            </w:r>
          </w:p>
        </w:tc>
      </w:tr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7AE6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Annex L</w:t>
            </w:r>
          </w:p>
        </w:tc>
        <w:tc>
          <w:tcPr>
            <w:tcW w:type="dxa" w:w="7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Proposed 2029 NEC® structure located here.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720" w:right="900" w:bottom="5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  <w:spacing w:before="0"/>
    </w:pPr>
    <w:r>
      <w:rPr>
        <w:rFonts w:ascii="Arial" w:cs="Arial" w:eastAsia="Arial" w:hAnsi="Arial"/>
        <w:color w:val="666666"/>
        <w:sz w:val="14"/>
        <w:szCs w:val="14"/>
      </w:rPr>
      <w:t xml:space="preserve">Based on NFPA 70</w:t>
    </w:r>
    <w:r>
      <w:rPr>
        <w:rFonts w:ascii="Arial" w:cs="Arial" w:eastAsia="Arial" w:hAnsi="Arial"/>
        <w:color w:val="666666"/>
        <w:sz w:val="10"/>
        <w:szCs w:val="10"/>
        <w:vertAlign w:val="superscript"/>
      </w:rPr>
      <w:t xml:space="preserve">®</w:t>
    </w:r>
    <w:r>
      <w:rPr>
        <w:rFonts w:ascii="Arial" w:cs="Arial" w:eastAsia="Arial" w:hAnsi="Arial"/>
        <w:color w:val="666666"/>
        <w:sz w:val="14"/>
        <w:szCs w:val="14"/>
      </w:rPr>
      <w:t xml:space="preserve">, National Electrical Code</w:t>
    </w:r>
    <w:r>
      <w:rPr>
        <w:rFonts w:ascii="Arial" w:cs="Arial" w:eastAsia="Arial" w:hAnsi="Arial"/>
        <w:color w:val="666666"/>
        <w:sz w:val="10"/>
        <w:szCs w:val="10"/>
        <w:vertAlign w:val="superscript"/>
      </w:rPr>
      <w:t xml:space="preserve">®</w:t>
    </w:r>
    <w:r>
      <w:rPr>
        <w:rFonts w:ascii="Arial" w:cs="Arial" w:eastAsia="Arial" w:hAnsi="Arial"/>
        <w:color w:val="666666"/>
        <w:sz w:val="14"/>
        <w:szCs w:val="14"/>
      </w:rPr>
      <w:t xml:space="preserve"> 2026 © NFPA. All rights reserved.</w:t>
    </w:r>
    <w:r>
      <w:rPr>
        <w:rFonts w:ascii="Arial" w:cs="Arial" w:eastAsia="Arial" w:hAnsi="Arial"/>
        <w:color w:val="666666"/>
        <w:sz w:val="14"/>
        <w:szCs w:val="14"/>
      </w:rPr>
      <w:t xml:space="preserve">	Page </w:t>
    </w:r>
    <w:r>
      <w:rPr>
        <w:rFonts w:ascii="Arial" w:cs="Arial" w:eastAsia="Arial" w:hAnsi="Arial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6DA4" w:sz="6" w:space="4"/>
      </w:pBdr>
      <w:tabs>
        <w:tab w:val="right" w:pos="9026"/>
      </w:tabs>
      <w:spacing w:after="0"/>
    </w:pPr>
    <w:r>
      <w:rPr>
        <w:rFonts w:ascii="Arial" w:cs="Arial" w:eastAsia="Arial" w:hAnsi="Arial"/>
        <w:b/>
        <w:bCs/>
        <w:color w:val="1B3A5C"/>
        <w:sz w:val="16"/>
        <w:szCs w:val="16"/>
      </w:rPr>
      <w:t xml:space="preserve">2026 NEC</w:t>
    </w:r>
    <w:r>
      <w:rPr>
        <w:rFonts w:ascii="Arial" w:cs="Arial" w:eastAsia="Arial" w:hAnsi="Arial"/>
        <w:b/>
        <w:bCs/>
        <w:color w:val="1B3A5C"/>
        <w:sz w:val="12"/>
        <w:szCs w:val="12"/>
        <w:vertAlign w:val="superscript"/>
      </w:rPr>
      <w:t xml:space="preserve">®</w:t>
    </w:r>
    <w:r>
      <w:rPr>
        <w:rFonts w:ascii="Arial" w:cs="Arial" w:eastAsia="Arial" w:hAnsi="Arial"/>
        <w:color w:val="666666"/>
        <w:sz w:val="16"/>
        <w:szCs w:val="16"/>
      </w:rPr>
      <w:t xml:space="preserve">  Analysis of Changes  •  Comprehensive Handout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100" w:after="80"/>
      <w:outlineLvl w:val="1"/>
    </w:pPr>
    <w:rPr>
      <w:rFonts w:ascii="Arial" w:cs="Arial" w:eastAsia="Arial" w:hAnsi="Arial"/>
      <w:b/>
      <w:bCs/>
      <w:color w:val="2E6DA4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2026-03-13T01:28:17.432Z</dcterms:created>
  <dcterms:modified xsi:type="dcterms:W3CDTF">2026-03-13T01:28:17.433Z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