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DEBDBA" w14:textId="6140A135" w:rsidR="007B3DA8" w:rsidRDefault="007B3DA8" w:rsidP="007B3DA8">
      <w:pPr>
        <w:shd w:val="clear" w:color="auto" w:fill="FFFFFF"/>
        <w:spacing w:after="150" w:line="240" w:lineRule="auto"/>
        <w:rPr>
          <w:rFonts w:ascii="Helvetica" w:eastAsia="Times New Roman" w:hAnsi="Helvetica" w:cs="Helvetica"/>
          <w:color w:val="111111"/>
          <w:sz w:val="24"/>
          <w:szCs w:val="24"/>
        </w:rPr>
      </w:pPr>
      <w:r w:rsidRPr="007B3DA8">
        <w:rPr>
          <w:rFonts w:ascii="Helvetica" w:eastAsia="Times New Roman" w:hAnsi="Helvetica" w:cs="Helvetica"/>
          <w:color w:val="111111"/>
          <w:sz w:val="24"/>
          <w:szCs w:val="24"/>
        </w:rPr>
        <w:t>ACPC Approves A Pair Of New Ordinances</w:t>
      </w:r>
    </w:p>
    <w:p w14:paraId="5953FB28" w14:textId="77777777" w:rsidR="007B3DA8" w:rsidRDefault="007B3DA8" w:rsidP="007B3DA8">
      <w:pPr>
        <w:shd w:val="clear" w:color="auto" w:fill="FFFFFF"/>
        <w:spacing w:after="150" w:line="240" w:lineRule="auto"/>
        <w:rPr>
          <w:rFonts w:ascii="Helvetica" w:eastAsia="Times New Roman" w:hAnsi="Helvetica" w:cs="Helvetica"/>
          <w:color w:val="111111"/>
          <w:sz w:val="24"/>
          <w:szCs w:val="24"/>
        </w:rPr>
      </w:pPr>
    </w:p>
    <w:p w14:paraId="70E25544" w14:textId="2A2144AA" w:rsidR="007B3DA8" w:rsidRPr="007B3DA8" w:rsidRDefault="007B3DA8" w:rsidP="007B3DA8">
      <w:pPr>
        <w:shd w:val="clear" w:color="auto" w:fill="FFFFFF"/>
        <w:spacing w:after="150" w:line="240" w:lineRule="auto"/>
        <w:rPr>
          <w:rFonts w:ascii="Helvetica" w:eastAsia="Times New Roman" w:hAnsi="Helvetica" w:cs="Helvetica"/>
          <w:color w:val="111111"/>
          <w:sz w:val="24"/>
          <w:szCs w:val="24"/>
        </w:rPr>
      </w:pPr>
      <w:r w:rsidRPr="007B3DA8">
        <w:rPr>
          <w:rFonts w:ascii="Helvetica" w:eastAsia="Times New Roman" w:hAnsi="Helvetica" w:cs="Helvetica"/>
          <w:color w:val="111111"/>
          <w:sz w:val="24"/>
          <w:szCs w:val="24"/>
        </w:rPr>
        <w:t xml:space="preserve">The Amador County Planning Commission reviewed and voted on recommendations of approval to the board of supervisors on a pair of new county ordinances at their meeting last night. The first ordinance considered by the commission would greatly ease the requirements for building a second dwelling unit on rural properties throughout the county. The changes are needed to comply with new state laws that are intended to ease the housing crunch in California by making it easier to build additional housing. The ordinance removed previous restrictions on size and parking requirements for second homes, </w:t>
      </w:r>
      <w:proofErr w:type="gramStart"/>
      <w:r w:rsidRPr="007B3DA8">
        <w:rPr>
          <w:rFonts w:ascii="Helvetica" w:eastAsia="Times New Roman" w:hAnsi="Helvetica" w:cs="Helvetica"/>
          <w:color w:val="111111"/>
          <w:sz w:val="24"/>
          <w:szCs w:val="24"/>
        </w:rPr>
        <w:t>and also</w:t>
      </w:r>
      <w:proofErr w:type="gramEnd"/>
      <w:r w:rsidRPr="007B3DA8">
        <w:rPr>
          <w:rFonts w:ascii="Helvetica" w:eastAsia="Times New Roman" w:hAnsi="Helvetica" w:cs="Helvetica"/>
          <w:color w:val="111111"/>
          <w:sz w:val="24"/>
          <w:szCs w:val="24"/>
        </w:rPr>
        <w:t xml:space="preserve"> eases the permitting process. The second ordinance will place limits on the amount of livestock that can be kept on rural parcels of five acres or less. Large animals such as horses or cows would be limited to two for properties up to two acres, with </w:t>
      </w:r>
      <w:proofErr w:type="gramStart"/>
      <w:r w:rsidRPr="007B3DA8">
        <w:rPr>
          <w:rFonts w:ascii="Helvetica" w:eastAsia="Times New Roman" w:hAnsi="Helvetica" w:cs="Helvetica"/>
          <w:color w:val="111111"/>
          <w:sz w:val="24"/>
          <w:szCs w:val="24"/>
        </w:rPr>
        <w:t>three acre</w:t>
      </w:r>
      <w:proofErr w:type="gramEnd"/>
      <w:r w:rsidRPr="007B3DA8">
        <w:rPr>
          <w:rFonts w:ascii="Helvetica" w:eastAsia="Times New Roman" w:hAnsi="Helvetica" w:cs="Helvetica"/>
          <w:color w:val="111111"/>
          <w:sz w:val="24"/>
          <w:szCs w:val="24"/>
        </w:rPr>
        <w:t xml:space="preserve"> parcels allowed for three large animals and so on. Larger numbers of smaller animals, such as goats or sheep, are also allowed. The ordinance would also limit keeping of roosters to five per parcel to prevent cock-fighting </w:t>
      </w:r>
      <w:proofErr w:type="gramStart"/>
      <w:r w:rsidRPr="007B3DA8">
        <w:rPr>
          <w:rFonts w:ascii="Helvetica" w:eastAsia="Times New Roman" w:hAnsi="Helvetica" w:cs="Helvetica"/>
          <w:color w:val="111111"/>
          <w:sz w:val="24"/>
          <w:szCs w:val="24"/>
        </w:rPr>
        <w:t>operations, and</w:t>
      </w:r>
      <w:proofErr w:type="gramEnd"/>
      <w:r w:rsidRPr="007B3DA8">
        <w:rPr>
          <w:rFonts w:ascii="Helvetica" w:eastAsia="Times New Roman" w:hAnsi="Helvetica" w:cs="Helvetica"/>
          <w:color w:val="111111"/>
          <w:sz w:val="24"/>
          <w:szCs w:val="24"/>
        </w:rPr>
        <w:t xml:space="preserve"> would include exemptions for 4-H and other similar programs. The draft new laws no go before the board of supervisors for approval. </w:t>
      </w:r>
    </w:p>
    <w:p w14:paraId="48EAC9FC" w14:textId="77777777" w:rsidR="008E6E9A" w:rsidRDefault="008E6E9A"/>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DA8"/>
    <w:rsid w:val="007B3DA8"/>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AEC60"/>
  <w15:chartTrackingRefBased/>
  <w15:docId w15:val="{92E0748E-8DB0-4463-8772-D67078AB2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5628884">
      <w:bodyDiv w:val="1"/>
      <w:marLeft w:val="0"/>
      <w:marRight w:val="0"/>
      <w:marTop w:val="0"/>
      <w:marBottom w:val="0"/>
      <w:divBdr>
        <w:top w:val="none" w:sz="0" w:space="0" w:color="auto"/>
        <w:left w:val="none" w:sz="0" w:space="0" w:color="auto"/>
        <w:bottom w:val="none" w:sz="0" w:space="0" w:color="auto"/>
        <w:right w:val="none" w:sz="0" w:space="0" w:color="auto"/>
      </w:divBdr>
      <w:divsChild>
        <w:div w:id="1812407213">
          <w:marLeft w:val="0"/>
          <w:marRight w:val="0"/>
          <w:marTop w:val="0"/>
          <w:marBottom w:val="0"/>
          <w:divBdr>
            <w:top w:val="none" w:sz="0" w:space="0" w:color="auto"/>
            <w:left w:val="none" w:sz="0" w:space="0" w:color="auto"/>
            <w:bottom w:val="none" w:sz="0" w:space="0" w:color="auto"/>
            <w:right w:val="none" w:sz="0" w:space="0" w:color="auto"/>
          </w:divBdr>
          <w:divsChild>
            <w:div w:id="70903621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1093</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2020-10-20T18:59:00Z</dcterms:created>
  <dcterms:modified xsi:type="dcterms:W3CDTF">2020-10-20T19:00:00Z</dcterms:modified>
</cp:coreProperties>
</file>