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6078C8" w14:textId="23022CD6" w:rsidR="008F50EB" w:rsidRDefault="00A56D9C">
      <w:r w:rsidRPr="00A56D9C">
        <w:t xml:space="preserve">Caltrans "Fix-It-First" Program </w:t>
      </w:r>
      <w:proofErr w:type="gramStart"/>
      <w:r w:rsidRPr="00A56D9C">
        <w:t>To</w:t>
      </w:r>
      <w:proofErr w:type="gramEnd"/>
      <w:r w:rsidRPr="00A56D9C">
        <w:t xml:space="preserve"> Include Mother Lode Roads</w:t>
      </w:r>
    </w:p>
    <w:p w14:paraId="475DFC78" w14:textId="77777777" w:rsidR="00A56D9C" w:rsidRPr="00A56D9C" w:rsidRDefault="00A56D9C" w:rsidP="00A56D9C">
      <w:pPr>
        <w:shd w:val="clear" w:color="auto" w:fill="FFFFFF"/>
        <w:spacing w:after="150" w:line="240" w:lineRule="auto"/>
        <w:rPr>
          <w:rFonts w:ascii="Helvetica" w:eastAsia="Times New Roman" w:hAnsi="Helvetica" w:cs="Helvetica"/>
          <w:color w:val="111111"/>
          <w:sz w:val="24"/>
          <w:szCs w:val="24"/>
        </w:rPr>
      </w:pPr>
      <w:r w:rsidRPr="00A56D9C">
        <w:rPr>
          <w:rFonts w:ascii="Helvetica" w:eastAsia="Times New Roman" w:hAnsi="Helvetica" w:cs="Helvetica"/>
          <w:color w:val="111111"/>
          <w:sz w:val="24"/>
          <w:szCs w:val="24"/>
        </w:rPr>
        <w:t xml:space="preserve">The California Transportation Commission approved more than $830 million to repair highways and bridges and improve the state’s growing network of pedestrian, </w:t>
      </w:r>
      <w:proofErr w:type="gramStart"/>
      <w:r w:rsidRPr="00A56D9C">
        <w:rPr>
          <w:rFonts w:ascii="Helvetica" w:eastAsia="Times New Roman" w:hAnsi="Helvetica" w:cs="Helvetica"/>
          <w:color w:val="111111"/>
          <w:sz w:val="24"/>
          <w:szCs w:val="24"/>
        </w:rPr>
        <w:t>bicycle</w:t>
      </w:r>
      <w:proofErr w:type="gramEnd"/>
      <w:r w:rsidRPr="00A56D9C">
        <w:rPr>
          <w:rFonts w:ascii="Helvetica" w:eastAsia="Times New Roman" w:hAnsi="Helvetica" w:cs="Helvetica"/>
          <w:color w:val="111111"/>
          <w:sz w:val="24"/>
          <w:szCs w:val="24"/>
        </w:rPr>
        <w:t xml:space="preserve"> and mass transit routes. This investment includes more than $600 million in allocations for State Highway Operation and Protection Program (SHOPP) projects, Caltrans’ “fix-it-first” program aimed at preserving the condition of the State Highway System. One of the upcoming projects </w:t>
      </w:r>
      <w:proofErr w:type="gramStart"/>
      <w:r w:rsidRPr="00A56D9C">
        <w:rPr>
          <w:rFonts w:ascii="Helvetica" w:eastAsia="Times New Roman" w:hAnsi="Helvetica" w:cs="Helvetica"/>
          <w:color w:val="111111"/>
          <w:sz w:val="24"/>
          <w:szCs w:val="24"/>
        </w:rPr>
        <w:t>includes,</w:t>
      </w:r>
      <w:proofErr w:type="gramEnd"/>
      <w:r w:rsidRPr="00A56D9C">
        <w:rPr>
          <w:rFonts w:ascii="Helvetica" w:eastAsia="Times New Roman" w:hAnsi="Helvetica" w:cs="Helvetica"/>
          <w:color w:val="111111"/>
          <w:sz w:val="24"/>
          <w:szCs w:val="24"/>
        </w:rPr>
        <w:t xml:space="preserve"> Bridge Rail Replacement and Upgrade of Highway 49 in Amador County. The $2 million bridge project will upgrade bridge rails and widen shoulders outside of Jackson at the Mokelumne River Bridge on Hwy 49. Project funding is derived from federal and state gas taxes, including $637 million from Senate Bill (SB) 1, the Road Repair and Accountability Act of 2017. The state’s portion of SB 1 funds are used for the ongoing maintenance and rehabilitation of the State Highway System. By 2027, these funds will enable Caltrans to fix more than 17,000 lane miles of pavement, 500 bridges, 55,000 culverts, and 7,700 traffic operating systems that help improve highway access, such as ramp meters, traffic cameras and electric highway message signs.</w:t>
      </w:r>
    </w:p>
    <w:p w14:paraId="257ECBA3" w14:textId="361CA604" w:rsidR="00A56D9C" w:rsidRDefault="00A56D9C">
      <w:r>
        <w:rPr>
          <w:noProof/>
        </w:rPr>
        <w:drawing>
          <wp:inline distT="0" distB="0" distL="0" distR="0" wp14:anchorId="0419B35C" wp14:editId="555FF63A">
            <wp:extent cx="5943600" cy="474868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748689"/>
                    </a:xfrm>
                    <a:prstGeom prst="rect">
                      <a:avLst/>
                    </a:prstGeom>
                    <a:noFill/>
                    <a:ln>
                      <a:noFill/>
                    </a:ln>
                  </pic:spPr>
                </pic:pic>
              </a:graphicData>
            </a:graphic>
          </wp:inline>
        </w:drawing>
      </w:r>
    </w:p>
    <w:sectPr w:rsidR="00A56D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D9C"/>
    <w:rsid w:val="008F50EB"/>
    <w:rsid w:val="00A56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1D0F2"/>
  <w15:chartTrackingRefBased/>
  <w15:docId w15:val="{F6EE4C96-715B-47C6-A0C5-A9E9D9519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3800531">
      <w:bodyDiv w:val="1"/>
      <w:marLeft w:val="0"/>
      <w:marRight w:val="0"/>
      <w:marTop w:val="0"/>
      <w:marBottom w:val="0"/>
      <w:divBdr>
        <w:top w:val="none" w:sz="0" w:space="0" w:color="auto"/>
        <w:left w:val="none" w:sz="0" w:space="0" w:color="auto"/>
        <w:bottom w:val="none" w:sz="0" w:space="0" w:color="auto"/>
        <w:right w:val="none" w:sz="0" w:space="0" w:color="auto"/>
      </w:divBdr>
      <w:divsChild>
        <w:div w:id="87234260">
          <w:marLeft w:val="0"/>
          <w:marRight w:val="0"/>
          <w:marTop w:val="0"/>
          <w:marBottom w:val="0"/>
          <w:divBdr>
            <w:top w:val="none" w:sz="0" w:space="0" w:color="auto"/>
            <w:left w:val="none" w:sz="0" w:space="0" w:color="auto"/>
            <w:bottom w:val="none" w:sz="0" w:space="0" w:color="auto"/>
            <w:right w:val="none" w:sz="0" w:space="0" w:color="auto"/>
          </w:divBdr>
          <w:divsChild>
            <w:div w:id="114408470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2021-01-04T22:35:00Z</dcterms:created>
  <dcterms:modified xsi:type="dcterms:W3CDTF">2021-01-04T22:36:00Z</dcterms:modified>
</cp:coreProperties>
</file>