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1950F87F" w14:textId="77777777" w:rsidR="00863738" w:rsidRDefault="00260EB0" w:rsidP="00260EB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5967A65" wp14:editId="28E27CB0">
            <wp:extent cx="3860800" cy="485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DB7B" w14:textId="77777777" w:rsidR="00260EB0" w:rsidRDefault="00260EB0" w:rsidP="00260EB0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5C45D220" w14:textId="77777777" w:rsidR="00260EB0" w:rsidRDefault="00260EB0" w:rsidP="00260EB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Charles Young</w:t>
      </w:r>
    </w:p>
    <w:p w14:paraId="7D9B0AA9" w14:textId="77777777" w:rsidR="00260EB0" w:rsidRDefault="00260EB0" w:rsidP="00260EB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1993</w:t>
      </w:r>
    </w:p>
    <w:p w14:paraId="3FF4EAF5" w14:textId="77777777" w:rsidR="00260EB0" w:rsidRDefault="00260EB0" w:rsidP="00260EB0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31E692B2" w14:textId="77777777" w:rsidR="00260EB0" w:rsidRPr="00260EB0" w:rsidRDefault="00260EB0" w:rsidP="00260EB0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Charlie began registering targets in 1963.  The first major state titles were awarded in 1966 when he won the All-Around and the Singles.  From 1966 through 1975, he had won ten major titles which included All-Around three times, Singles four times, </w:t>
      </w:r>
      <w:r>
        <w:rPr>
          <w:rFonts w:ascii="STLiti" w:eastAsia="STLiti"/>
          <w:b/>
          <w:color w:val="FF0000"/>
          <w:sz w:val="40"/>
          <w:szCs w:val="40"/>
        </w:rPr>
        <w:lastRenderedPageBreak/>
        <w:t>and Doubles three times.  His latest registration of targets was in 1978.</w:t>
      </w:r>
      <w:bookmarkStart w:id="0" w:name="_GoBack"/>
      <w:bookmarkEnd w:id="0"/>
    </w:p>
    <w:sectPr w:rsidR="00260EB0" w:rsidRPr="00260EB0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0"/>
    <w:rsid w:val="00260EB0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C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2020-12-29T21:40:00Z</dcterms:created>
  <dcterms:modified xsi:type="dcterms:W3CDTF">2020-12-29T21:45:00Z</dcterms:modified>
</cp:coreProperties>
</file>