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BC40" w14:textId="36E659AE" w:rsidR="001140B7" w:rsidRDefault="003C4BE8" w:rsidP="00B0779B">
      <w:pPr>
        <w:spacing w:before="120" w:after="120"/>
        <w:rPr>
          <w:rFonts w:ascii="Noto Sans" w:hAnsi="Noto Sans" w:cs="Arial"/>
          <w:b/>
          <w:sz w:val="20"/>
          <w:szCs w:val="20"/>
        </w:rPr>
      </w:pPr>
      <w:r>
        <w:rPr>
          <w:rFonts w:ascii="Noto Sans" w:hAnsi="Noto Sans" w:cs="Arial"/>
          <w:b/>
          <w:sz w:val="20"/>
          <w:szCs w:val="20"/>
        </w:rPr>
        <w:t>Implementation Statement</w:t>
      </w:r>
      <w:r w:rsidR="001140B7">
        <w:rPr>
          <w:rFonts w:ascii="Noto Sans" w:hAnsi="Noto Sans" w:cs="Arial"/>
          <w:b/>
          <w:sz w:val="20"/>
          <w:szCs w:val="20"/>
        </w:rPr>
        <w:t xml:space="preserve"> for the year to </w:t>
      </w:r>
      <w:r w:rsidR="007D3E84">
        <w:rPr>
          <w:rFonts w:ascii="Noto Sans" w:hAnsi="Noto Sans" w:cs="Arial"/>
          <w:b/>
          <w:sz w:val="20"/>
          <w:szCs w:val="20"/>
        </w:rPr>
        <w:t>30 June</w:t>
      </w:r>
      <w:r w:rsidR="0059713A">
        <w:rPr>
          <w:rFonts w:ascii="Noto Sans" w:hAnsi="Noto Sans" w:cs="Arial"/>
          <w:b/>
          <w:sz w:val="20"/>
          <w:szCs w:val="20"/>
        </w:rPr>
        <w:t xml:space="preserve"> 202</w:t>
      </w:r>
      <w:r w:rsidR="00952A28">
        <w:rPr>
          <w:rFonts w:ascii="Noto Sans" w:hAnsi="Noto Sans" w:cs="Arial"/>
          <w:b/>
          <w:sz w:val="20"/>
          <w:szCs w:val="20"/>
        </w:rPr>
        <w:t>5</w:t>
      </w:r>
    </w:p>
    <w:p w14:paraId="23DCFC76" w14:textId="74B0EDE7" w:rsidR="00683A6F" w:rsidRPr="005E4D70" w:rsidRDefault="00DA04B3" w:rsidP="00B0779B">
      <w:pPr>
        <w:spacing w:before="120" w:after="120"/>
        <w:rPr>
          <w:rFonts w:ascii="Noto Sans" w:hAnsi="Noto Sans" w:cs="Arial"/>
          <w:b/>
          <w:sz w:val="20"/>
          <w:szCs w:val="20"/>
        </w:rPr>
      </w:pPr>
      <w:r>
        <w:rPr>
          <w:rFonts w:ascii="Noto Sans" w:hAnsi="Noto Sans" w:cs="Arial"/>
          <w:b/>
          <w:sz w:val="20"/>
          <w:szCs w:val="20"/>
        </w:rPr>
        <w:t>Reeves Oilfield Services Limited Pension Plan (‘Scheme 1’)</w:t>
      </w:r>
      <w:r w:rsidR="0059713A" w:rsidRPr="00163F68" w:rsidDel="0059713A">
        <w:rPr>
          <w:rFonts w:ascii="Noto Sans" w:hAnsi="Noto Sans" w:cs="Arial"/>
          <w:b/>
          <w:sz w:val="20"/>
          <w:szCs w:val="20"/>
        </w:rPr>
        <w:t xml:space="preserve"> </w:t>
      </w:r>
      <w:r w:rsidR="00510F0D" w:rsidRPr="00163F68">
        <w:rPr>
          <w:rFonts w:ascii="Noto Sans" w:hAnsi="Noto Sans" w:cs="Arial"/>
          <w:b/>
          <w:sz w:val="20"/>
          <w:szCs w:val="20"/>
        </w:rPr>
        <w:t>(the “</w:t>
      </w:r>
      <w:r>
        <w:rPr>
          <w:rFonts w:ascii="Noto Sans" w:hAnsi="Noto Sans" w:cs="Arial"/>
          <w:b/>
          <w:sz w:val="20"/>
          <w:szCs w:val="20"/>
        </w:rPr>
        <w:t>Plan</w:t>
      </w:r>
      <w:r w:rsidR="00510F0D" w:rsidRPr="00163F68">
        <w:rPr>
          <w:rFonts w:ascii="Noto Sans" w:hAnsi="Noto Sans" w:cs="Arial"/>
          <w:b/>
          <w:sz w:val="20"/>
          <w:szCs w:val="20"/>
        </w:rPr>
        <w:t>”)</w:t>
      </w:r>
    </w:p>
    <w:p w14:paraId="6FCE105C" w14:textId="77777777" w:rsidR="00683A6F" w:rsidRPr="005E4D70" w:rsidRDefault="00683A6F" w:rsidP="00B0779B">
      <w:pPr>
        <w:pStyle w:val="ListParagraph"/>
        <w:numPr>
          <w:ilvl w:val="0"/>
          <w:numId w:val="11"/>
        </w:numPr>
        <w:spacing w:before="120" w:after="120"/>
        <w:rPr>
          <w:rFonts w:ascii="Noto Sans" w:hAnsi="Noto Sans" w:cs="Arial"/>
          <w:b/>
          <w:sz w:val="20"/>
          <w:szCs w:val="20"/>
        </w:rPr>
      </w:pPr>
      <w:r w:rsidRPr="005E4D70">
        <w:rPr>
          <w:rFonts w:ascii="Noto Sans" w:hAnsi="Noto Sans" w:cs="Arial"/>
          <w:b/>
          <w:sz w:val="20"/>
          <w:szCs w:val="20"/>
        </w:rPr>
        <w:t xml:space="preserve">Introduction </w:t>
      </w:r>
    </w:p>
    <w:p w14:paraId="28F98E87" w14:textId="4A017675" w:rsidR="00912881" w:rsidRPr="00912881" w:rsidRDefault="00510F0D" w:rsidP="00912881">
      <w:pPr>
        <w:pStyle w:val="BodytextRegular"/>
        <w:rPr>
          <w:rFonts w:ascii="Noto Sans" w:hAnsi="Noto Sans"/>
          <w:color w:val="FF0000"/>
          <w:sz w:val="20"/>
          <w:highlight w:val="yellow"/>
        </w:rPr>
      </w:pPr>
      <w:r w:rsidRPr="00510F0D">
        <w:rPr>
          <w:rFonts w:ascii="Noto Sans" w:hAnsi="Noto Sans" w:cs="Arial"/>
          <w:sz w:val="20"/>
        </w:rPr>
        <w:t xml:space="preserve">The </w:t>
      </w:r>
      <w:r w:rsidRPr="00E425A5">
        <w:rPr>
          <w:rFonts w:ascii="Noto Sans" w:hAnsi="Noto Sans" w:cs="Arial"/>
          <w:sz w:val="20"/>
        </w:rPr>
        <w:t>Trustee</w:t>
      </w:r>
      <w:r w:rsidR="00EF2F9D">
        <w:rPr>
          <w:rFonts w:ascii="Noto Sans" w:hAnsi="Noto Sans" w:cs="Arial"/>
          <w:sz w:val="20"/>
        </w:rPr>
        <w:t>s</w:t>
      </w:r>
      <w:r w:rsidRPr="00E425A5">
        <w:rPr>
          <w:rFonts w:ascii="Noto Sans" w:hAnsi="Noto Sans" w:cs="Arial"/>
          <w:sz w:val="20"/>
        </w:rPr>
        <w:t xml:space="preserve"> </w:t>
      </w:r>
      <w:r w:rsidRPr="001F0D05">
        <w:rPr>
          <w:rFonts w:ascii="Noto Sans" w:hAnsi="Noto Sans" w:cs="Arial"/>
          <w:sz w:val="20"/>
        </w:rPr>
        <w:t xml:space="preserve">of the </w:t>
      </w:r>
      <w:r w:rsidR="00DA04B3">
        <w:rPr>
          <w:rFonts w:ascii="Noto Sans" w:hAnsi="Noto Sans" w:cs="Arial"/>
          <w:sz w:val="20"/>
        </w:rPr>
        <w:t>Plan</w:t>
      </w:r>
      <w:r w:rsidRPr="00E425A5">
        <w:rPr>
          <w:rFonts w:ascii="Noto Sans" w:hAnsi="Noto Sans" w:cs="Arial"/>
          <w:sz w:val="20"/>
        </w:rPr>
        <w:t xml:space="preserve"> (the “</w:t>
      </w:r>
      <w:r w:rsidRPr="00393F3B">
        <w:rPr>
          <w:rFonts w:ascii="Noto Sans" w:hAnsi="Noto Sans" w:cs="Arial"/>
          <w:b/>
          <w:bCs/>
          <w:sz w:val="20"/>
        </w:rPr>
        <w:t>Trustee</w:t>
      </w:r>
      <w:r w:rsidR="00EF2F9D" w:rsidRPr="00393F3B">
        <w:rPr>
          <w:rFonts w:ascii="Noto Sans" w:hAnsi="Noto Sans" w:cs="Arial"/>
          <w:b/>
          <w:bCs/>
          <w:sz w:val="20"/>
        </w:rPr>
        <w:t>s</w:t>
      </w:r>
      <w:r w:rsidRPr="00E425A5">
        <w:rPr>
          <w:rFonts w:ascii="Noto Sans" w:hAnsi="Noto Sans" w:cs="Arial"/>
          <w:sz w:val="20"/>
        </w:rPr>
        <w:t xml:space="preserve">”) </w:t>
      </w:r>
      <w:r w:rsidR="0023516B">
        <w:rPr>
          <w:rFonts w:ascii="Noto Sans" w:hAnsi="Noto Sans" w:cs="Arial"/>
          <w:sz w:val="20"/>
        </w:rPr>
        <w:t>are</w:t>
      </w:r>
      <w:r w:rsidR="0023516B" w:rsidRPr="00510F0D">
        <w:rPr>
          <w:rFonts w:ascii="Noto Sans" w:hAnsi="Noto Sans" w:cs="Arial"/>
          <w:sz w:val="20"/>
        </w:rPr>
        <w:t xml:space="preserve"> </w:t>
      </w:r>
      <w:r w:rsidRPr="00510F0D">
        <w:rPr>
          <w:rFonts w:ascii="Noto Sans" w:hAnsi="Noto Sans" w:cs="Arial"/>
          <w:sz w:val="20"/>
        </w:rPr>
        <w:t xml:space="preserve">required to make publicly available online a statement (the </w:t>
      </w:r>
      <w:r>
        <w:rPr>
          <w:rFonts w:ascii="Noto Sans" w:hAnsi="Noto Sans" w:cs="Arial"/>
          <w:sz w:val="20"/>
        </w:rPr>
        <w:t>“</w:t>
      </w:r>
      <w:r w:rsidRPr="00510F0D">
        <w:rPr>
          <w:rFonts w:ascii="Noto Sans" w:hAnsi="Noto Sans" w:cs="Arial"/>
          <w:sz w:val="20"/>
        </w:rPr>
        <w:t xml:space="preserve">Implementation Statement”) covering the </w:t>
      </w:r>
      <w:r>
        <w:rPr>
          <w:rFonts w:ascii="Noto Sans" w:hAnsi="Noto Sans" w:cs="Arial"/>
          <w:sz w:val="20"/>
        </w:rPr>
        <w:t xml:space="preserve">extent to which the </w:t>
      </w:r>
      <w:r w:rsidR="0023516B">
        <w:rPr>
          <w:rFonts w:ascii="Noto Sans" w:hAnsi="Noto Sans" w:cs="Arial"/>
          <w:sz w:val="20"/>
        </w:rPr>
        <w:t>Trustees have</w:t>
      </w:r>
      <w:r>
        <w:rPr>
          <w:rFonts w:ascii="Noto Sans" w:hAnsi="Noto Sans" w:cs="Arial"/>
          <w:sz w:val="20"/>
        </w:rPr>
        <w:t xml:space="preserve"> followed </w:t>
      </w:r>
      <w:r w:rsidRPr="00510F0D">
        <w:rPr>
          <w:rFonts w:ascii="Noto Sans" w:hAnsi="Noto Sans" w:cs="Arial"/>
          <w:sz w:val="20"/>
        </w:rPr>
        <w:t xml:space="preserve">the </w:t>
      </w:r>
      <w:r w:rsidR="00DA04B3">
        <w:rPr>
          <w:rFonts w:ascii="Noto Sans" w:hAnsi="Noto Sans" w:cs="Arial"/>
          <w:sz w:val="20"/>
        </w:rPr>
        <w:t>Plan’s</w:t>
      </w:r>
      <w:r w:rsidRPr="00510F0D">
        <w:rPr>
          <w:rFonts w:ascii="Noto Sans" w:hAnsi="Noto Sans" w:cs="Arial"/>
          <w:sz w:val="20"/>
        </w:rPr>
        <w:t xml:space="preserve"> Statement of Investment Principles (the “</w:t>
      </w:r>
      <w:r w:rsidRPr="00393F3B">
        <w:rPr>
          <w:rFonts w:ascii="Noto Sans" w:hAnsi="Noto Sans" w:cs="Arial"/>
          <w:b/>
          <w:bCs/>
          <w:sz w:val="20"/>
        </w:rPr>
        <w:t>SIP</w:t>
      </w:r>
      <w:r w:rsidRPr="00510F0D">
        <w:rPr>
          <w:rFonts w:ascii="Noto Sans" w:hAnsi="Noto Sans" w:cs="Arial"/>
          <w:sz w:val="20"/>
        </w:rPr>
        <w:t>”).</w:t>
      </w:r>
      <w:r>
        <w:rPr>
          <w:rFonts w:ascii="Noto Sans" w:hAnsi="Noto Sans" w:cs="Arial"/>
          <w:sz w:val="20"/>
        </w:rPr>
        <w:t xml:space="preserve"> </w:t>
      </w:r>
      <w:r w:rsidR="00952A28" w:rsidRPr="003E7256">
        <w:rPr>
          <w:rFonts w:ascii="Noto Sans" w:hAnsi="Noto Sans" w:cs="Arial"/>
          <w:sz w:val="20"/>
        </w:rPr>
        <w:t xml:space="preserve">The SIP was </w:t>
      </w:r>
      <w:r w:rsidR="00947810" w:rsidRPr="003E7256">
        <w:rPr>
          <w:rFonts w:ascii="Noto Sans" w:hAnsi="Noto Sans" w:cs="Arial"/>
          <w:sz w:val="20"/>
        </w:rPr>
        <w:t xml:space="preserve">last amended in </w:t>
      </w:r>
      <w:r w:rsidR="00C513A9">
        <w:rPr>
          <w:rFonts w:ascii="Noto Sans" w:hAnsi="Noto Sans" w:cs="Arial"/>
          <w:sz w:val="20"/>
        </w:rPr>
        <w:t>November 2023</w:t>
      </w:r>
      <w:r w:rsidR="003E7256">
        <w:rPr>
          <w:rFonts w:ascii="Noto Sans" w:hAnsi="Noto Sans" w:cs="Arial"/>
          <w:sz w:val="20"/>
        </w:rPr>
        <w:t xml:space="preserve">, in </w:t>
      </w:r>
      <w:r w:rsidR="00947810" w:rsidRPr="003E7256">
        <w:rPr>
          <w:rFonts w:ascii="Noto Sans" w:hAnsi="Noto Sans" w:cs="Arial"/>
          <w:sz w:val="20"/>
        </w:rPr>
        <w:t xml:space="preserve">compliance with the regulation which requires the Trustee to review the SIP every 3 years and after any significant change in investment policy as </w:t>
      </w:r>
      <w:r w:rsidR="003E7256">
        <w:rPr>
          <w:rFonts w:ascii="Noto Sans" w:hAnsi="Noto Sans" w:cs="Arial"/>
          <w:sz w:val="20"/>
        </w:rPr>
        <w:t xml:space="preserve">a </w:t>
      </w:r>
      <w:r w:rsidR="00947810" w:rsidRPr="003E7256">
        <w:rPr>
          <w:rFonts w:ascii="Noto Sans" w:hAnsi="Noto Sans" w:cs="Arial"/>
          <w:sz w:val="20"/>
        </w:rPr>
        <w:t>minimum</w:t>
      </w:r>
      <w:r w:rsidR="00492D19" w:rsidRPr="003E7256">
        <w:rPr>
          <w:rFonts w:ascii="Noto Sans" w:hAnsi="Noto Sans" w:cs="Arial"/>
          <w:sz w:val="20"/>
        </w:rPr>
        <w:t>.</w:t>
      </w:r>
      <w:r w:rsidR="00952A28" w:rsidRPr="00912881">
        <w:rPr>
          <w:rFonts w:ascii="Noto Sans" w:hAnsi="Noto Sans" w:cs="Arial"/>
          <w:sz w:val="20"/>
        </w:rPr>
        <w:t xml:space="preserve"> </w:t>
      </w:r>
    </w:p>
    <w:p w14:paraId="5D3F883A" w14:textId="42D86DF2" w:rsidR="00952A28" w:rsidRPr="007D3E84" w:rsidRDefault="00952A28" w:rsidP="007D3E84">
      <w:pPr>
        <w:pStyle w:val="BodytextRegular"/>
        <w:spacing w:before="120"/>
        <w:rPr>
          <w:rFonts w:ascii="Noto Sans" w:hAnsi="Noto Sans"/>
          <w:sz w:val="20"/>
        </w:rPr>
      </w:pPr>
      <w:r w:rsidRPr="00B83A47">
        <w:rPr>
          <w:rFonts w:ascii="Noto Sans" w:hAnsi="Noto Sans" w:cs="Arial"/>
          <w:sz w:val="20"/>
        </w:rPr>
        <w:t xml:space="preserve">This SIP came into force </w:t>
      </w:r>
      <w:r w:rsidRPr="009B4F4A">
        <w:rPr>
          <w:rFonts w:ascii="Noto Sans" w:hAnsi="Noto Sans" w:cs="Arial"/>
          <w:sz w:val="20"/>
        </w:rPr>
        <w:t xml:space="preserve">from </w:t>
      </w:r>
      <w:r w:rsidR="009B4F4A" w:rsidRPr="009B4F4A">
        <w:rPr>
          <w:rFonts w:ascii="Noto Sans" w:hAnsi="Noto Sans"/>
          <w:sz w:val="20"/>
        </w:rPr>
        <w:t>N</w:t>
      </w:r>
      <w:r w:rsidR="00E91522" w:rsidRPr="009B4F4A">
        <w:rPr>
          <w:rFonts w:ascii="Noto Sans" w:hAnsi="Noto Sans"/>
          <w:sz w:val="20"/>
        </w:rPr>
        <w:t>ovember 2023</w:t>
      </w:r>
      <w:r w:rsidRPr="009B4F4A">
        <w:rPr>
          <w:rFonts w:ascii="Noto Sans" w:hAnsi="Noto Sans"/>
          <w:sz w:val="20"/>
        </w:rPr>
        <w:t>.</w:t>
      </w:r>
    </w:p>
    <w:p w14:paraId="27DFEB83" w14:textId="7FE9657C" w:rsidR="00952A28" w:rsidRPr="00952A28" w:rsidRDefault="00952A28" w:rsidP="00B66C99">
      <w:pPr>
        <w:pStyle w:val="BodytextRegular"/>
        <w:spacing w:before="120"/>
        <w:rPr>
          <w:rFonts w:ascii="Noto Sans" w:hAnsi="Noto Sans"/>
          <w:sz w:val="20"/>
        </w:rPr>
      </w:pPr>
      <w:r w:rsidRPr="00952A28">
        <w:rPr>
          <w:rFonts w:ascii="Noto Sans" w:hAnsi="Noto Sans"/>
          <w:sz w:val="20"/>
        </w:rPr>
        <w:t>A copy of the current SIP can be found here</w:t>
      </w:r>
      <w:r w:rsidR="00E91522">
        <w:rPr>
          <w:rFonts w:ascii="Noto Sans" w:hAnsi="Noto Sans"/>
          <w:sz w:val="20"/>
        </w:rPr>
        <w:t xml:space="preserve"> </w:t>
      </w:r>
      <w:hyperlink r:id="rId8" w:history="1">
        <w:r w:rsidR="00E91522" w:rsidRPr="00FA23CB">
          <w:rPr>
            <w:rStyle w:val="Hyperlink"/>
            <w:rFonts w:ascii="Noto Sans" w:hAnsi="Noto Sans"/>
            <w:sz w:val="20"/>
          </w:rPr>
          <w:t>https://reevespensions.co.uk/scheme-1-documents</w:t>
        </w:r>
      </w:hyperlink>
    </w:p>
    <w:p w14:paraId="64C63A09" w14:textId="04997421" w:rsidR="00952A28" w:rsidRPr="00952A28" w:rsidRDefault="00952A28" w:rsidP="00B66C99">
      <w:pPr>
        <w:pStyle w:val="BodytextRegular"/>
        <w:spacing w:before="120"/>
        <w:rPr>
          <w:rFonts w:ascii="Noto Sans" w:hAnsi="Noto Sans"/>
          <w:sz w:val="20"/>
        </w:rPr>
      </w:pPr>
      <w:r w:rsidRPr="00952A28">
        <w:rPr>
          <w:rFonts w:ascii="Noto Sans" w:hAnsi="Noto Sans"/>
          <w:sz w:val="20"/>
        </w:rPr>
        <w:t xml:space="preserve">This Implementation Statement covers the period from </w:t>
      </w:r>
      <w:r w:rsidR="007D3E84">
        <w:rPr>
          <w:rFonts w:ascii="Noto Sans" w:hAnsi="Noto Sans"/>
          <w:sz w:val="20"/>
        </w:rPr>
        <w:t>1 July</w:t>
      </w:r>
      <w:r w:rsidRPr="00952A28">
        <w:rPr>
          <w:rFonts w:ascii="Noto Sans" w:hAnsi="Noto Sans"/>
          <w:sz w:val="20"/>
        </w:rPr>
        <w:t xml:space="preserve"> 2024 to </w:t>
      </w:r>
      <w:r w:rsidR="007D3E84">
        <w:rPr>
          <w:rFonts w:ascii="Noto Sans" w:hAnsi="Noto Sans"/>
          <w:sz w:val="20"/>
        </w:rPr>
        <w:t>30 June</w:t>
      </w:r>
      <w:r w:rsidRPr="00952A28">
        <w:rPr>
          <w:rFonts w:ascii="Noto Sans" w:hAnsi="Noto Sans"/>
          <w:sz w:val="20"/>
        </w:rPr>
        <w:t xml:space="preserve"> 2025 (the </w:t>
      </w:r>
      <w:r w:rsidR="00393F3B">
        <w:rPr>
          <w:rFonts w:ascii="Noto Sans" w:hAnsi="Noto Sans"/>
          <w:sz w:val="20"/>
        </w:rPr>
        <w:t>“</w:t>
      </w:r>
      <w:r w:rsidR="00DA04B3">
        <w:rPr>
          <w:rFonts w:ascii="Noto Sans" w:hAnsi="Noto Sans"/>
          <w:b/>
          <w:bCs/>
          <w:sz w:val="20"/>
        </w:rPr>
        <w:t>Plan</w:t>
      </w:r>
      <w:r w:rsidR="006A0F5E" w:rsidRPr="00393F3B">
        <w:rPr>
          <w:rFonts w:ascii="Noto Sans" w:hAnsi="Noto Sans"/>
          <w:b/>
          <w:bCs/>
          <w:sz w:val="20"/>
        </w:rPr>
        <w:t xml:space="preserve"> </w:t>
      </w:r>
      <w:r w:rsidRPr="00393F3B">
        <w:rPr>
          <w:rFonts w:ascii="Noto Sans" w:hAnsi="Noto Sans"/>
          <w:b/>
          <w:bCs/>
          <w:sz w:val="20"/>
        </w:rPr>
        <w:t>Year</w:t>
      </w:r>
      <w:r w:rsidRPr="00952A28">
        <w:rPr>
          <w:rFonts w:ascii="Noto Sans" w:hAnsi="Noto Sans"/>
          <w:sz w:val="20"/>
        </w:rPr>
        <w:t>”). It sets out:</w:t>
      </w:r>
    </w:p>
    <w:p w14:paraId="23AD58F7" w14:textId="044CF3E1" w:rsidR="00952A28" w:rsidRPr="00952A28" w:rsidRDefault="00952A28" w:rsidP="00B66C99">
      <w:pPr>
        <w:pStyle w:val="BulletedtextRegular"/>
        <w:spacing w:before="120"/>
        <w:rPr>
          <w:rFonts w:ascii="Noto Sans" w:hAnsi="Noto Sans"/>
          <w:sz w:val="20"/>
          <w:szCs w:val="20"/>
        </w:rPr>
      </w:pPr>
      <w:r w:rsidRPr="00952A28">
        <w:rPr>
          <w:rFonts w:ascii="Noto Sans" w:hAnsi="Noto Sans"/>
          <w:sz w:val="20"/>
          <w:szCs w:val="20"/>
        </w:rPr>
        <w:t xml:space="preserve">How the </w:t>
      </w:r>
      <w:r w:rsidR="006A0F5E">
        <w:rPr>
          <w:rFonts w:ascii="Noto Sans" w:hAnsi="Noto Sans"/>
          <w:sz w:val="20"/>
          <w:szCs w:val="20"/>
        </w:rPr>
        <w:t>Trustees’</w:t>
      </w:r>
      <w:r w:rsidRPr="00952A28">
        <w:rPr>
          <w:rFonts w:ascii="Noto Sans" w:hAnsi="Noto Sans"/>
          <w:sz w:val="20"/>
          <w:szCs w:val="20"/>
        </w:rPr>
        <w:t xml:space="preserve"> policies on stewardship have been followed over </w:t>
      </w:r>
      <w:r w:rsidR="00E7381B">
        <w:rPr>
          <w:rFonts w:ascii="Noto Sans" w:hAnsi="Noto Sans"/>
          <w:sz w:val="20"/>
          <w:szCs w:val="20"/>
        </w:rPr>
        <w:t xml:space="preserve">the </w:t>
      </w:r>
      <w:r w:rsidR="00DA04B3">
        <w:rPr>
          <w:rFonts w:ascii="Noto Sans" w:hAnsi="Noto Sans"/>
          <w:sz w:val="20"/>
          <w:szCs w:val="20"/>
        </w:rPr>
        <w:t>Plan</w:t>
      </w:r>
      <w:r w:rsidR="00E7381B">
        <w:rPr>
          <w:rFonts w:ascii="Noto Sans" w:hAnsi="Noto Sans"/>
          <w:sz w:val="20"/>
          <w:szCs w:val="20"/>
        </w:rPr>
        <w:t xml:space="preserve"> </w:t>
      </w:r>
      <w:r w:rsidRPr="00952A28">
        <w:rPr>
          <w:rFonts w:ascii="Noto Sans" w:hAnsi="Noto Sans"/>
          <w:sz w:val="20"/>
          <w:szCs w:val="20"/>
        </w:rPr>
        <w:t xml:space="preserve">Year; and </w:t>
      </w:r>
    </w:p>
    <w:p w14:paraId="4C3AD292" w14:textId="2A97278C" w:rsidR="00952A28" w:rsidRPr="00952A28" w:rsidRDefault="00952A28" w:rsidP="00B66C99">
      <w:pPr>
        <w:pStyle w:val="BulletedtextRegular"/>
        <w:spacing w:before="120"/>
        <w:rPr>
          <w:rFonts w:ascii="Noto Sans" w:hAnsi="Noto Sans"/>
          <w:sz w:val="20"/>
          <w:szCs w:val="20"/>
        </w:rPr>
      </w:pPr>
      <w:r w:rsidRPr="00952A28">
        <w:rPr>
          <w:rFonts w:ascii="Noto Sans" w:hAnsi="Noto Sans"/>
          <w:sz w:val="20"/>
          <w:szCs w:val="20"/>
        </w:rPr>
        <w:t xml:space="preserve">The voting by or on behalf of the </w:t>
      </w:r>
      <w:r w:rsidR="00E7381B">
        <w:rPr>
          <w:rFonts w:ascii="Noto Sans" w:hAnsi="Noto Sans"/>
          <w:sz w:val="20"/>
          <w:szCs w:val="20"/>
        </w:rPr>
        <w:t xml:space="preserve">Trustees </w:t>
      </w:r>
      <w:r w:rsidRPr="00952A28">
        <w:rPr>
          <w:rFonts w:ascii="Noto Sans" w:hAnsi="Noto Sans"/>
          <w:sz w:val="20"/>
          <w:szCs w:val="20"/>
        </w:rPr>
        <w:t xml:space="preserve">during the </w:t>
      </w:r>
      <w:r w:rsidR="00DA04B3">
        <w:rPr>
          <w:rFonts w:ascii="Noto Sans" w:hAnsi="Noto Sans"/>
          <w:sz w:val="20"/>
          <w:szCs w:val="20"/>
        </w:rPr>
        <w:t>Plan</w:t>
      </w:r>
      <w:r w:rsidRPr="00952A28">
        <w:rPr>
          <w:rFonts w:ascii="Noto Sans" w:hAnsi="Noto Sans"/>
          <w:sz w:val="20"/>
          <w:szCs w:val="20"/>
        </w:rPr>
        <w:t xml:space="preserve"> Year, including the most significant votes cast and any use of a proxy voter during the </w:t>
      </w:r>
      <w:r w:rsidR="00DA04B3">
        <w:rPr>
          <w:rFonts w:ascii="Noto Sans" w:hAnsi="Noto Sans"/>
          <w:sz w:val="20"/>
          <w:szCs w:val="20"/>
        </w:rPr>
        <w:t>Plan</w:t>
      </w:r>
      <w:r w:rsidRPr="00952A28">
        <w:rPr>
          <w:rFonts w:ascii="Noto Sans" w:hAnsi="Noto Sans"/>
          <w:sz w:val="20"/>
          <w:szCs w:val="20"/>
        </w:rPr>
        <w:t xml:space="preserve"> Year</w:t>
      </w:r>
      <w:r w:rsidR="00723895">
        <w:rPr>
          <w:rFonts w:ascii="Noto Sans" w:hAnsi="Noto Sans"/>
          <w:sz w:val="20"/>
          <w:szCs w:val="20"/>
        </w:rPr>
        <w:t>.</w:t>
      </w:r>
    </w:p>
    <w:p w14:paraId="6B808B09" w14:textId="61A766AD" w:rsidR="00796CD8" w:rsidRPr="00731951" w:rsidRDefault="009B1C78" w:rsidP="00731951">
      <w:pPr>
        <w:pStyle w:val="BodytextRegular"/>
        <w:spacing w:before="120"/>
        <w:rPr>
          <w:rFonts w:ascii="Noto Sans" w:hAnsi="Noto Sans"/>
          <w:sz w:val="20"/>
        </w:rPr>
      </w:pPr>
      <w:r w:rsidRPr="00B66C99">
        <w:rPr>
          <w:rFonts w:ascii="Noto Sans" w:hAnsi="Noto Sans" w:cs="Arial"/>
          <w:sz w:val="20"/>
        </w:rPr>
        <w:t>This Implementation Statement has been drafted</w:t>
      </w:r>
      <w:r w:rsidR="00D778CB" w:rsidRPr="00B66C99">
        <w:rPr>
          <w:rFonts w:ascii="Noto Sans" w:hAnsi="Noto Sans" w:cs="Arial"/>
          <w:sz w:val="20"/>
        </w:rPr>
        <w:t xml:space="preserve"> by the Trustees to provide details on how the Trustees complied with the statutory </w:t>
      </w:r>
      <w:r w:rsidR="00CA0B67" w:rsidRPr="00B66C99">
        <w:rPr>
          <w:rFonts w:ascii="Noto Sans" w:hAnsi="Noto Sans" w:cs="Arial"/>
          <w:sz w:val="20"/>
        </w:rPr>
        <w:t xml:space="preserve">guidance </w:t>
      </w:r>
      <w:r w:rsidR="009D1AE4" w:rsidRPr="00B66C99">
        <w:rPr>
          <w:rFonts w:ascii="Noto Sans" w:hAnsi="Noto Sans" w:cs="Arial"/>
          <w:sz w:val="20"/>
        </w:rPr>
        <w:t>from the Department for Work and Pensions (“</w:t>
      </w:r>
      <w:r w:rsidR="009D1AE4" w:rsidRPr="00723895">
        <w:rPr>
          <w:rFonts w:ascii="Noto Sans" w:hAnsi="Noto Sans" w:cs="Arial"/>
          <w:b/>
          <w:bCs/>
          <w:sz w:val="20"/>
        </w:rPr>
        <w:t>DWP</w:t>
      </w:r>
      <w:r w:rsidR="009D1AE4" w:rsidRPr="00B66C99">
        <w:rPr>
          <w:rFonts w:ascii="Noto Sans" w:hAnsi="Noto Sans" w:cs="Arial"/>
          <w:sz w:val="20"/>
        </w:rPr>
        <w:t xml:space="preserve">”) </w:t>
      </w:r>
      <w:r w:rsidR="00CA0B67" w:rsidRPr="00B66C99">
        <w:rPr>
          <w:rFonts w:ascii="Noto Sans" w:hAnsi="Noto Sans" w:cs="Arial"/>
          <w:sz w:val="20"/>
        </w:rPr>
        <w:t>on exercising its stewardship policy</w:t>
      </w:r>
      <w:r w:rsidR="00723895">
        <w:rPr>
          <w:rFonts w:ascii="Noto Sans" w:hAnsi="Noto Sans" w:cs="Arial"/>
          <w:sz w:val="20"/>
        </w:rPr>
        <w:t xml:space="preserve"> stated in the SIP</w:t>
      </w:r>
      <w:r w:rsidR="00CA0B67" w:rsidRPr="00B66C99">
        <w:rPr>
          <w:rFonts w:ascii="Noto Sans" w:hAnsi="Noto Sans" w:cs="Arial"/>
          <w:sz w:val="20"/>
        </w:rPr>
        <w:t xml:space="preserve">. </w:t>
      </w:r>
      <w:r w:rsidR="00B66C99" w:rsidRPr="00B66C99">
        <w:rPr>
          <w:rFonts w:ascii="Noto Sans" w:hAnsi="Noto Sans" w:cs="Arial"/>
          <w:sz w:val="20"/>
        </w:rPr>
        <w:t xml:space="preserve">A copy of this Implementation Statement is available on the following website: </w:t>
      </w:r>
      <w:hyperlink r:id="rId9" w:history="1">
        <w:r w:rsidR="00E91522" w:rsidRPr="00FA23CB">
          <w:rPr>
            <w:rStyle w:val="Hyperlink"/>
            <w:rFonts w:ascii="Noto Sans" w:hAnsi="Noto Sans"/>
            <w:sz w:val="20"/>
          </w:rPr>
          <w:t>https://reevespensions.co.uk/scheme-1-documents</w:t>
        </w:r>
      </w:hyperlink>
      <w:r w:rsidR="00796CD8">
        <w:rPr>
          <w:rFonts w:ascii="Noto Sans" w:hAnsi="Noto Sans" w:cs="Arial"/>
          <w:b/>
          <w:sz w:val="20"/>
        </w:rPr>
        <w:br w:type="page"/>
      </w:r>
    </w:p>
    <w:p w14:paraId="652F3750" w14:textId="4FE1B71D" w:rsidR="00CB6A9D" w:rsidRPr="005972B4" w:rsidRDefault="00182598" w:rsidP="00CB6A9D">
      <w:pPr>
        <w:pStyle w:val="ListParagraph"/>
        <w:numPr>
          <w:ilvl w:val="0"/>
          <w:numId w:val="11"/>
        </w:numPr>
        <w:autoSpaceDE w:val="0"/>
        <w:autoSpaceDN w:val="0"/>
        <w:adjustRightInd w:val="0"/>
        <w:spacing w:before="120" w:after="120" w:line="240" w:lineRule="auto"/>
        <w:rPr>
          <w:rFonts w:ascii="Noto Sans" w:hAnsi="Noto Sans" w:cs="Arial"/>
          <w:bCs/>
          <w:sz w:val="20"/>
          <w:szCs w:val="20"/>
        </w:rPr>
      </w:pPr>
      <w:r>
        <w:rPr>
          <w:rFonts w:ascii="Noto Sans" w:hAnsi="Noto Sans" w:cs="Arial"/>
          <w:b/>
          <w:sz w:val="20"/>
          <w:szCs w:val="20"/>
        </w:rPr>
        <w:lastRenderedPageBreak/>
        <w:t>Trustees</w:t>
      </w:r>
      <w:r w:rsidR="00163F68">
        <w:rPr>
          <w:rFonts w:ascii="Noto Sans" w:hAnsi="Noto Sans" w:cs="Arial"/>
          <w:b/>
          <w:sz w:val="20"/>
          <w:szCs w:val="20"/>
        </w:rPr>
        <w:t>’</w:t>
      </w:r>
      <w:r>
        <w:rPr>
          <w:rFonts w:ascii="Noto Sans" w:hAnsi="Noto Sans" w:cs="Arial"/>
          <w:b/>
          <w:sz w:val="20"/>
          <w:szCs w:val="20"/>
        </w:rPr>
        <w:t xml:space="preserve"> </w:t>
      </w:r>
      <w:r w:rsidR="00CB6A9D" w:rsidRPr="001F0D05">
        <w:rPr>
          <w:rFonts w:ascii="Noto Sans" w:hAnsi="Noto Sans" w:cs="Arial"/>
          <w:b/>
          <w:sz w:val="20"/>
          <w:szCs w:val="20"/>
        </w:rPr>
        <w:t>Stewardship</w:t>
      </w:r>
      <w:r>
        <w:rPr>
          <w:rFonts w:ascii="Noto Sans" w:hAnsi="Noto Sans" w:cs="Arial"/>
          <w:b/>
          <w:sz w:val="20"/>
          <w:szCs w:val="20"/>
        </w:rPr>
        <w:t xml:space="preserve"> policy and how it followed </w:t>
      </w:r>
      <w:r w:rsidR="00446F8E">
        <w:rPr>
          <w:rFonts w:ascii="Noto Sans" w:hAnsi="Noto Sans" w:cs="Arial"/>
          <w:b/>
          <w:sz w:val="20"/>
          <w:szCs w:val="20"/>
        </w:rPr>
        <w:t>this</w:t>
      </w:r>
      <w:r>
        <w:rPr>
          <w:rFonts w:ascii="Noto Sans" w:hAnsi="Noto Sans" w:cs="Arial"/>
          <w:b/>
          <w:sz w:val="20"/>
          <w:szCs w:val="20"/>
        </w:rPr>
        <w:t xml:space="preserve"> policy over the </w:t>
      </w:r>
      <w:r w:rsidR="00DA04B3">
        <w:rPr>
          <w:rFonts w:ascii="Noto Sans" w:hAnsi="Noto Sans" w:cs="Arial"/>
          <w:b/>
          <w:sz w:val="20"/>
          <w:szCs w:val="20"/>
        </w:rPr>
        <w:t>Plan</w:t>
      </w:r>
      <w:r>
        <w:rPr>
          <w:rFonts w:ascii="Noto Sans" w:hAnsi="Noto Sans" w:cs="Arial"/>
          <w:b/>
          <w:sz w:val="20"/>
          <w:szCs w:val="20"/>
        </w:rPr>
        <w:t xml:space="preserve"> Year</w:t>
      </w:r>
    </w:p>
    <w:p w14:paraId="0462E5E0" w14:textId="68C386F1" w:rsidR="00776ED0" w:rsidRDefault="00FE6C77" w:rsidP="00B750E9">
      <w:pPr>
        <w:spacing w:before="120" w:after="120"/>
        <w:rPr>
          <w:rFonts w:ascii="Noto Sans" w:hAnsi="Noto Sans" w:cs="Arial"/>
          <w:sz w:val="20"/>
          <w:szCs w:val="20"/>
        </w:rPr>
      </w:pPr>
      <w:r>
        <w:rPr>
          <w:rFonts w:ascii="Noto Sans" w:hAnsi="Noto Sans" w:cs="Arial"/>
          <w:sz w:val="20"/>
          <w:szCs w:val="20"/>
        </w:rPr>
        <w:t>As described in the SIP, t</w:t>
      </w:r>
      <w:r w:rsidR="00776ED0" w:rsidRPr="001F0D05">
        <w:rPr>
          <w:rFonts w:ascii="Noto Sans" w:hAnsi="Noto Sans" w:cs="Arial"/>
          <w:sz w:val="20"/>
          <w:szCs w:val="20"/>
        </w:rPr>
        <w:t xml:space="preserve">he </w:t>
      </w:r>
      <w:r w:rsidR="00776ED0" w:rsidRPr="00E425A5">
        <w:rPr>
          <w:rFonts w:ascii="Noto Sans" w:hAnsi="Noto Sans" w:cs="Arial"/>
          <w:sz w:val="20"/>
          <w:szCs w:val="20"/>
        </w:rPr>
        <w:t>Trustee</w:t>
      </w:r>
      <w:r w:rsidR="00163F68">
        <w:rPr>
          <w:rFonts w:ascii="Noto Sans" w:hAnsi="Noto Sans" w:cs="Arial"/>
          <w:sz w:val="20"/>
          <w:szCs w:val="20"/>
        </w:rPr>
        <w:t>s have</w:t>
      </w:r>
      <w:r w:rsidR="00591BFD" w:rsidRPr="001F0D05">
        <w:rPr>
          <w:rFonts w:ascii="Noto Sans" w:hAnsi="Noto Sans" w:cs="Arial"/>
          <w:sz w:val="20"/>
          <w:szCs w:val="20"/>
        </w:rPr>
        <w:t xml:space="preserve"> </w:t>
      </w:r>
      <w:r w:rsidR="002449DC" w:rsidRPr="001F0D05">
        <w:rPr>
          <w:rFonts w:ascii="Noto Sans" w:hAnsi="Noto Sans" w:cs="Arial"/>
          <w:sz w:val="20"/>
          <w:szCs w:val="20"/>
        </w:rPr>
        <w:t>instructed</w:t>
      </w:r>
      <w:r w:rsidR="00591BFD" w:rsidRPr="001F0D05">
        <w:rPr>
          <w:rFonts w:ascii="Noto Sans" w:hAnsi="Noto Sans" w:cs="Arial"/>
          <w:sz w:val="20"/>
          <w:szCs w:val="20"/>
        </w:rPr>
        <w:t xml:space="preserve"> </w:t>
      </w:r>
      <w:r w:rsidR="00132D1E">
        <w:rPr>
          <w:rFonts w:ascii="Noto Sans" w:hAnsi="Noto Sans" w:cs="Arial"/>
          <w:sz w:val="20"/>
          <w:szCs w:val="20"/>
        </w:rPr>
        <w:t>Schroders Investment Management Limited (the “</w:t>
      </w:r>
      <w:r w:rsidR="00C37673">
        <w:rPr>
          <w:rFonts w:ascii="Noto Sans" w:hAnsi="Noto Sans" w:cs="Arial"/>
          <w:b/>
          <w:bCs/>
          <w:sz w:val="20"/>
          <w:szCs w:val="20"/>
        </w:rPr>
        <w:t>f</w:t>
      </w:r>
      <w:r w:rsidR="00132D1E" w:rsidRPr="00132D1E">
        <w:rPr>
          <w:rFonts w:ascii="Noto Sans" w:hAnsi="Noto Sans" w:cs="Arial"/>
          <w:b/>
          <w:bCs/>
          <w:sz w:val="20"/>
          <w:szCs w:val="20"/>
        </w:rPr>
        <w:t xml:space="preserve">iduciary </w:t>
      </w:r>
      <w:r w:rsidR="00C37673">
        <w:rPr>
          <w:rFonts w:ascii="Noto Sans" w:hAnsi="Noto Sans" w:cs="Arial"/>
          <w:b/>
          <w:bCs/>
          <w:sz w:val="20"/>
          <w:szCs w:val="20"/>
        </w:rPr>
        <w:t>m</w:t>
      </w:r>
      <w:r w:rsidR="00132D1E" w:rsidRPr="00132D1E">
        <w:rPr>
          <w:rFonts w:ascii="Noto Sans" w:hAnsi="Noto Sans" w:cs="Arial"/>
          <w:b/>
          <w:bCs/>
          <w:sz w:val="20"/>
          <w:szCs w:val="20"/>
        </w:rPr>
        <w:t>anager</w:t>
      </w:r>
      <w:r w:rsidR="00132D1E">
        <w:rPr>
          <w:rFonts w:ascii="Noto Sans" w:hAnsi="Noto Sans" w:cs="Arial"/>
          <w:sz w:val="20"/>
          <w:szCs w:val="20"/>
        </w:rPr>
        <w:t>”)</w:t>
      </w:r>
      <w:r w:rsidR="00776ED0" w:rsidRPr="001F0D05">
        <w:rPr>
          <w:rFonts w:ascii="Noto Sans" w:hAnsi="Noto Sans" w:cs="Arial"/>
          <w:sz w:val="20"/>
          <w:szCs w:val="20"/>
        </w:rPr>
        <w:t xml:space="preserve"> to exercise </w:t>
      </w:r>
      <w:r w:rsidR="00E425A5">
        <w:rPr>
          <w:rFonts w:ascii="Noto Sans" w:hAnsi="Noto Sans" w:cs="Arial"/>
          <w:sz w:val="20"/>
          <w:szCs w:val="20"/>
        </w:rPr>
        <w:t>its</w:t>
      </w:r>
      <w:r w:rsidR="00776ED0" w:rsidRPr="001F0D05">
        <w:rPr>
          <w:rFonts w:ascii="Noto Sans" w:hAnsi="Noto Sans" w:cs="Arial"/>
          <w:sz w:val="20"/>
          <w:szCs w:val="20"/>
        </w:rPr>
        <w:t xml:space="preserve"> voting and other rights as shareholder in a manner the </w:t>
      </w:r>
      <w:r w:rsidR="00B46607" w:rsidRPr="001F0D05">
        <w:rPr>
          <w:rFonts w:ascii="Noto Sans" w:hAnsi="Noto Sans" w:cs="Arial"/>
          <w:sz w:val="20"/>
          <w:szCs w:val="20"/>
        </w:rPr>
        <w:t xml:space="preserve">fiduciary manager </w:t>
      </w:r>
      <w:r w:rsidR="00776ED0" w:rsidRPr="001F0D05">
        <w:rPr>
          <w:rFonts w:ascii="Noto Sans" w:hAnsi="Noto Sans" w:cs="Arial"/>
          <w:sz w:val="20"/>
          <w:szCs w:val="20"/>
        </w:rPr>
        <w:t>believe</w:t>
      </w:r>
      <w:r w:rsidR="00B46607" w:rsidRPr="001F0D05">
        <w:rPr>
          <w:rFonts w:ascii="Noto Sans" w:hAnsi="Noto Sans" w:cs="Arial"/>
          <w:sz w:val="20"/>
          <w:szCs w:val="20"/>
        </w:rPr>
        <w:t>s</w:t>
      </w:r>
      <w:r w:rsidR="00776ED0" w:rsidRPr="001F0D05">
        <w:rPr>
          <w:rFonts w:ascii="Noto Sans" w:hAnsi="Noto Sans" w:cs="Arial"/>
          <w:sz w:val="20"/>
          <w:szCs w:val="20"/>
        </w:rPr>
        <w:t xml:space="preserve"> to be consistent with best practice in relation to Corporate Governance and in accordance with the Institutional Shareholders’ Committee’s (“ISC”) Statement of Principles on the Responsibilities of Institutional Shareholders and Agents.</w:t>
      </w:r>
      <w:r w:rsidR="00B07B21">
        <w:rPr>
          <w:rFonts w:ascii="Noto Sans" w:hAnsi="Noto Sans" w:cs="Arial"/>
          <w:sz w:val="20"/>
          <w:szCs w:val="20"/>
        </w:rPr>
        <w:t xml:space="preserve"> The Trustees take responsibility fo</w:t>
      </w:r>
      <w:r w:rsidR="00A64C73">
        <w:rPr>
          <w:rFonts w:ascii="Noto Sans" w:hAnsi="Noto Sans" w:cs="Arial"/>
          <w:sz w:val="20"/>
          <w:szCs w:val="20"/>
        </w:rPr>
        <w:t xml:space="preserve">r regularly reviewing the </w:t>
      </w:r>
      <w:r w:rsidR="00C32D31">
        <w:rPr>
          <w:rFonts w:ascii="Noto Sans" w:hAnsi="Noto Sans" w:cs="Arial"/>
          <w:sz w:val="20"/>
          <w:szCs w:val="20"/>
        </w:rPr>
        <w:t>approach</w:t>
      </w:r>
      <w:r w:rsidR="00A64C73">
        <w:rPr>
          <w:rFonts w:ascii="Noto Sans" w:hAnsi="Noto Sans" w:cs="Arial"/>
          <w:sz w:val="20"/>
          <w:szCs w:val="20"/>
        </w:rPr>
        <w:t xml:space="preserve"> and stewardship policy of the fiduciary manager</w:t>
      </w:r>
      <w:r w:rsidR="00C32D31">
        <w:rPr>
          <w:rFonts w:ascii="Noto Sans" w:hAnsi="Noto Sans" w:cs="Arial"/>
          <w:sz w:val="20"/>
          <w:szCs w:val="20"/>
        </w:rPr>
        <w:t xml:space="preserve"> to ensure they are aligned with the Trustees’ stewardship priorities and objectives. </w:t>
      </w:r>
    </w:p>
    <w:p w14:paraId="28638286" w14:textId="4438C974" w:rsidR="00393996" w:rsidRPr="001F0D05" w:rsidRDefault="00F62C62" w:rsidP="00B750E9">
      <w:pPr>
        <w:spacing w:before="120" w:after="120"/>
        <w:rPr>
          <w:rFonts w:ascii="Noto Sans" w:hAnsi="Noto Sans" w:cs="Arial"/>
          <w:sz w:val="20"/>
          <w:szCs w:val="20"/>
        </w:rPr>
      </w:pPr>
      <w:r>
        <w:rPr>
          <w:rFonts w:ascii="Noto Sans" w:hAnsi="Noto Sans" w:cs="Arial"/>
          <w:sz w:val="20"/>
          <w:szCs w:val="20"/>
        </w:rPr>
        <w:t xml:space="preserve">The </w:t>
      </w:r>
      <w:r w:rsidRPr="00E425A5">
        <w:rPr>
          <w:rFonts w:ascii="Noto Sans" w:hAnsi="Noto Sans" w:cs="Arial"/>
          <w:sz w:val="20"/>
          <w:szCs w:val="20"/>
        </w:rPr>
        <w:t>Trustee</w:t>
      </w:r>
      <w:r w:rsidR="00163F68">
        <w:rPr>
          <w:rFonts w:ascii="Noto Sans" w:hAnsi="Noto Sans" w:cs="Arial"/>
          <w:sz w:val="20"/>
          <w:szCs w:val="20"/>
        </w:rPr>
        <w:t>s have</w:t>
      </w:r>
      <w:r>
        <w:rPr>
          <w:rFonts w:ascii="Noto Sans" w:hAnsi="Noto Sans" w:cs="Arial"/>
          <w:sz w:val="20"/>
          <w:szCs w:val="20"/>
        </w:rPr>
        <w:t xml:space="preserve"> </w:t>
      </w:r>
      <w:r w:rsidR="00182598">
        <w:rPr>
          <w:rFonts w:ascii="Noto Sans" w:hAnsi="Noto Sans" w:cs="Arial"/>
          <w:sz w:val="20"/>
          <w:szCs w:val="20"/>
        </w:rPr>
        <w:t xml:space="preserve">set </w:t>
      </w:r>
      <w:r>
        <w:rPr>
          <w:rFonts w:ascii="Noto Sans" w:hAnsi="Noto Sans" w:cs="Arial"/>
          <w:sz w:val="20"/>
          <w:szCs w:val="20"/>
        </w:rPr>
        <w:t xml:space="preserve">six </w:t>
      </w:r>
      <w:r w:rsidR="00182598">
        <w:rPr>
          <w:rFonts w:ascii="Noto Sans" w:hAnsi="Noto Sans" w:cs="Arial"/>
          <w:sz w:val="20"/>
          <w:szCs w:val="20"/>
        </w:rPr>
        <w:t xml:space="preserve">thematic </w:t>
      </w:r>
      <w:r>
        <w:rPr>
          <w:rFonts w:ascii="Noto Sans" w:hAnsi="Noto Sans" w:cs="Arial"/>
          <w:sz w:val="20"/>
          <w:szCs w:val="20"/>
        </w:rPr>
        <w:t xml:space="preserve">engagement </w:t>
      </w:r>
      <w:r w:rsidR="00182598">
        <w:rPr>
          <w:rFonts w:ascii="Noto Sans" w:hAnsi="Noto Sans" w:cs="Arial"/>
          <w:sz w:val="20"/>
          <w:szCs w:val="20"/>
        </w:rPr>
        <w:t xml:space="preserve">priorities </w:t>
      </w:r>
      <w:r w:rsidR="00BE6D4B">
        <w:rPr>
          <w:rFonts w:ascii="Noto Sans" w:hAnsi="Noto Sans" w:cs="Arial"/>
          <w:sz w:val="20"/>
          <w:szCs w:val="20"/>
        </w:rPr>
        <w:t>in line with</w:t>
      </w:r>
      <w:r w:rsidRPr="00E425A5">
        <w:rPr>
          <w:rFonts w:ascii="Noto Sans" w:hAnsi="Noto Sans" w:cs="Arial"/>
          <w:sz w:val="20"/>
          <w:szCs w:val="20"/>
        </w:rPr>
        <w:t xml:space="preserve"> </w:t>
      </w:r>
      <w:r w:rsidR="00163F68">
        <w:rPr>
          <w:rFonts w:ascii="Noto Sans" w:hAnsi="Noto Sans" w:cs="Arial"/>
          <w:sz w:val="20"/>
          <w:szCs w:val="20"/>
        </w:rPr>
        <w:t>their</w:t>
      </w:r>
      <w:r>
        <w:rPr>
          <w:rFonts w:ascii="Noto Sans" w:hAnsi="Noto Sans" w:cs="Arial"/>
          <w:sz w:val="20"/>
          <w:szCs w:val="20"/>
        </w:rPr>
        <w:t xml:space="preserve"> fiduciary manager</w:t>
      </w:r>
      <w:r w:rsidR="00616AE5">
        <w:rPr>
          <w:rFonts w:ascii="Noto Sans" w:hAnsi="Noto Sans" w:cs="Arial"/>
          <w:sz w:val="20"/>
          <w:szCs w:val="20"/>
        </w:rPr>
        <w:t>’s</w:t>
      </w:r>
      <w:r w:rsidR="00912881">
        <w:rPr>
          <w:rFonts w:ascii="Noto Sans" w:hAnsi="Noto Sans" w:cs="Arial"/>
          <w:sz w:val="20"/>
          <w:szCs w:val="20"/>
        </w:rPr>
        <w:t>,</w:t>
      </w:r>
      <w:r w:rsidR="00616AE5">
        <w:rPr>
          <w:rFonts w:ascii="Noto Sans" w:hAnsi="Noto Sans" w:cs="Arial"/>
          <w:sz w:val="20"/>
          <w:szCs w:val="20"/>
        </w:rPr>
        <w:t xml:space="preserve"> to ensure alignment </w:t>
      </w:r>
      <w:r w:rsidR="00752C15">
        <w:rPr>
          <w:rFonts w:ascii="Noto Sans" w:hAnsi="Noto Sans" w:cs="Arial"/>
          <w:sz w:val="20"/>
          <w:szCs w:val="20"/>
        </w:rPr>
        <w:t>on</w:t>
      </w:r>
      <w:r>
        <w:rPr>
          <w:rFonts w:ascii="Noto Sans" w:hAnsi="Noto Sans" w:cs="Arial"/>
          <w:sz w:val="20"/>
          <w:szCs w:val="20"/>
        </w:rPr>
        <w:t xml:space="preserve"> vot</w:t>
      </w:r>
      <w:r w:rsidR="00752C15">
        <w:rPr>
          <w:rFonts w:ascii="Noto Sans" w:hAnsi="Noto Sans" w:cs="Arial"/>
          <w:sz w:val="20"/>
          <w:szCs w:val="20"/>
        </w:rPr>
        <w:t>ing</w:t>
      </w:r>
      <w:r>
        <w:rPr>
          <w:rFonts w:ascii="Noto Sans" w:hAnsi="Noto Sans" w:cs="Arial"/>
          <w:sz w:val="20"/>
          <w:szCs w:val="20"/>
        </w:rPr>
        <w:t xml:space="preserve"> and engage</w:t>
      </w:r>
      <w:r w:rsidR="00752C15">
        <w:rPr>
          <w:rFonts w:ascii="Noto Sans" w:hAnsi="Noto Sans" w:cs="Arial"/>
          <w:sz w:val="20"/>
          <w:szCs w:val="20"/>
        </w:rPr>
        <w:t xml:space="preserve">ment. The priorities </w:t>
      </w:r>
      <w:r w:rsidR="00C37673">
        <w:rPr>
          <w:rFonts w:ascii="Noto Sans" w:hAnsi="Noto Sans" w:cs="Arial"/>
          <w:sz w:val="20"/>
          <w:szCs w:val="20"/>
        </w:rPr>
        <w:t>include</w:t>
      </w:r>
      <w:r>
        <w:rPr>
          <w:rFonts w:ascii="Noto Sans" w:hAnsi="Noto Sans" w:cs="Arial"/>
          <w:sz w:val="20"/>
          <w:szCs w:val="20"/>
        </w:rPr>
        <w:t xml:space="preserve"> Climate</w:t>
      </w:r>
      <w:r w:rsidR="00912881">
        <w:rPr>
          <w:rFonts w:ascii="Noto Sans" w:hAnsi="Noto Sans" w:cs="Arial"/>
          <w:sz w:val="20"/>
          <w:szCs w:val="20"/>
        </w:rPr>
        <w:t xml:space="preserve"> Change</w:t>
      </w:r>
      <w:r>
        <w:rPr>
          <w:rFonts w:ascii="Noto Sans" w:hAnsi="Noto Sans" w:cs="Arial"/>
          <w:sz w:val="20"/>
          <w:szCs w:val="20"/>
        </w:rPr>
        <w:t>; Corporate Governance; Human Capital Management; Human Rights; Diversity</w:t>
      </w:r>
      <w:r w:rsidR="00912881">
        <w:rPr>
          <w:rFonts w:ascii="Noto Sans" w:hAnsi="Noto Sans" w:cs="Arial"/>
          <w:sz w:val="20"/>
          <w:szCs w:val="20"/>
        </w:rPr>
        <w:t xml:space="preserve"> and Inclusion</w:t>
      </w:r>
      <w:r w:rsidR="00B67551">
        <w:rPr>
          <w:rFonts w:ascii="Noto Sans" w:hAnsi="Noto Sans" w:cs="Arial"/>
          <w:sz w:val="20"/>
          <w:szCs w:val="20"/>
        </w:rPr>
        <w:t>,</w:t>
      </w:r>
      <w:r>
        <w:rPr>
          <w:rFonts w:ascii="Noto Sans" w:hAnsi="Noto Sans" w:cs="Arial"/>
          <w:sz w:val="20"/>
          <w:szCs w:val="20"/>
        </w:rPr>
        <w:t xml:space="preserve"> and Natural Capital and Biodiversity. </w:t>
      </w:r>
      <w:r w:rsidR="0085060B" w:rsidRPr="0085060B">
        <w:rPr>
          <w:rFonts w:ascii="Noto Sans" w:hAnsi="Noto Sans" w:cs="Arial"/>
          <w:sz w:val="20"/>
          <w:szCs w:val="20"/>
        </w:rPr>
        <w:t>The Trustee</w:t>
      </w:r>
      <w:r w:rsidR="00163F68">
        <w:rPr>
          <w:rFonts w:ascii="Noto Sans" w:hAnsi="Noto Sans" w:cs="Arial"/>
          <w:sz w:val="20"/>
          <w:szCs w:val="20"/>
        </w:rPr>
        <w:t>s</w:t>
      </w:r>
      <w:r w:rsidR="0085060B" w:rsidRPr="0085060B">
        <w:rPr>
          <w:rFonts w:ascii="Noto Sans" w:hAnsi="Noto Sans" w:cs="Arial"/>
          <w:sz w:val="20"/>
          <w:szCs w:val="20"/>
        </w:rPr>
        <w:t xml:space="preserve"> believe </w:t>
      </w:r>
      <w:r w:rsidR="0085060B">
        <w:rPr>
          <w:rFonts w:ascii="Noto Sans" w:hAnsi="Noto Sans" w:cs="Arial"/>
          <w:sz w:val="20"/>
          <w:szCs w:val="20"/>
        </w:rPr>
        <w:t xml:space="preserve">that </w:t>
      </w:r>
      <w:r w:rsidR="0085060B" w:rsidRPr="0085060B">
        <w:rPr>
          <w:rFonts w:ascii="Noto Sans" w:hAnsi="Noto Sans" w:cs="Arial"/>
          <w:sz w:val="20"/>
          <w:szCs w:val="20"/>
        </w:rPr>
        <w:t>the</w:t>
      </w:r>
      <w:r w:rsidR="0085060B">
        <w:rPr>
          <w:rFonts w:ascii="Noto Sans" w:hAnsi="Noto Sans" w:cs="Arial"/>
          <w:sz w:val="20"/>
          <w:szCs w:val="20"/>
        </w:rPr>
        <w:t>se</w:t>
      </w:r>
      <w:r w:rsidR="0085060B" w:rsidRPr="0085060B">
        <w:rPr>
          <w:rFonts w:ascii="Noto Sans" w:hAnsi="Noto Sans" w:cs="Arial"/>
          <w:sz w:val="20"/>
          <w:szCs w:val="20"/>
        </w:rPr>
        <w:t xml:space="preserve"> themes are material to the long-term value of the investments</w:t>
      </w:r>
      <w:r w:rsidR="0085060B">
        <w:rPr>
          <w:rFonts w:ascii="Noto Sans" w:hAnsi="Noto Sans" w:cs="Arial"/>
          <w:sz w:val="20"/>
          <w:szCs w:val="20"/>
        </w:rPr>
        <w:t>, and</w:t>
      </w:r>
      <w:r w:rsidR="0085060B" w:rsidRPr="0085060B">
        <w:rPr>
          <w:rFonts w:ascii="Noto Sans" w:hAnsi="Noto Sans" w:cs="Arial"/>
          <w:sz w:val="20"/>
          <w:szCs w:val="20"/>
        </w:rPr>
        <w:t xml:space="preserve"> </w:t>
      </w:r>
      <w:r w:rsidR="0085060B">
        <w:rPr>
          <w:rFonts w:ascii="Noto Sans" w:hAnsi="Noto Sans" w:cs="Arial"/>
          <w:sz w:val="20"/>
          <w:szCs w:val="20"/>
        </w:rPr>
        <w:t xml:space="preserve">that </w:t>
      </w:r>
      <w:r w:rsidR="0085060B" w:rsidRPr="0085060B">
        <w:rPr>
          <w:rFonts w:ascii="Noto Sans" w:hAnsi="Noto Sans" w:cs="Arial"/>
          <w:sz w:val="20"/>
          <w:szCs w:val="20"/>
        </w:rPr>
        <w:t xml:space="preserve">companies </w:t>
      </w:r>
      <w:r w:rsidR="0085060B">
        <w:rPr>
          <w:rFonts w:ascii="Noto Sans" w:hAnsi="Noto Sans" w:cs="Arial"/>
          <w:sz w:val="20"/>
          <w:szCs w:val="20"/>
        </w:rPr>
        <w:t xml:space="preserve">which </w:t>
      </w:r>
      <w:r w:rsidR="0085060B" w:rsidRPr="0085060B">
        <w:rPr>
          <w:rFonts w:ascii="Noto Sans" w:hAnsi="Noto Sans" w:cs="Arial"/>
          <w:sz w:val="20"/>
          <w:szCs w:val="20"/>
        </w:rPr>
        <w:t>address th</w:t>
      </w:r>
      <w:r w:rsidR="0085060B">
        <w:rPr>
          <w:rFonts w:ascii="Noto Sans" w:hAnsi="Noto Sans" w:cs="Arial"/>
          <w:sz w:val="20"/>
          <w:szCs w:val="20"/>
        </w:rPr>
        <w:t>e</w:t>
      </w:r>
      <w:r w:rsidR="0085060B" w:rsidRPr="0085060B">
        <w:rPr>
          <w:rFonts w:ascii="Noto Sans" w:hAnsi="Noto Sans" w:cs="Arial"/>
          <w:sz w:val="20"/>
          <w:szCs w:val="20"/>
        </w:rPr>
        <w:t xml:space="preserve">se issues </w:t>
      </w:r>
      <w:r w:rsidR="0085060B">
        <w:rPr>
          <w:rFonts w:ascii="Noto Sans" w:hAnsi="Noto Sans" w:cs="Arial"/>
          <w:sz w:val="20"/>
          <w:szCs w:val="20"/>
        </w:rPr>
        <w:t xml:space="preserve">meaningfully </w:t>
      </w:r>
      <w:r w:rsidR="0085060B" w:rsidRPr="0085060B">
        <w:rPr>
          <w:rFonts w:ascii="Noto Sans" w:hAnsi="Noto Sans" w:cs="Arial"/>
          <w:sz w:val="20"/>
          <w:szCs w:val="20"/>
        </w:rPr>
        <w:t xml:space="preserve">will drive improved financial performance for the </w:t>
      </w:r>
      <w:r w:rsidR="00DA04B3">
        <w:rPr>
          <w:rFonts w:ascii="Noto Sans" w:hAnsi="Noto Sans" w:cs="Arial"/>
          <w:sz w:val="20"/>
          <w:szCs w:val="20"/>
        </w:rPr>
        <w:t>Plan</w:t>
      </w:r>
      <w:r w:rsidR="0085060B">
        <w:rPr>
          <w:rFonts w:ascii="Noto Sans" w:hAnsi="Noto Sans" w:cs="Arial"/>
          <w:sz w:val="20"/>
          <w:szCs w:val="20"/>
        </w:rPr>
        <w:t xml:space="preserve"> and ultimately benefit the </w:t>
      </w:r>
      <w:r w:rsidR="00DA04B3">
        <w:rPr>
          <w:rFonts w:ascii="Noto Sans" w:hAnsi="Noto Sans" w:cs="Arial"/>
          <w:sz w:val="20"/>
          <w:szCs w:val="20"/>
        </w:rPr>
        <w:t>Plan’s</w:t>
      </w:r>
      <w:r w:rsidR="0085060B">
        <w:rPr>
          <w:rFonts w:ascii="Noto Sans" w:hAnsi="Noto Sans" w:cs="Arial"/>
          <w:sz w:val="20"/>
          <w:szCs w:val="20"/>
        </w:rPr>
        <w:t xml:space="preserve"> members</w:t>
      </w:r>
      <w:r w:rsidR="00182598">
        <w:rPr>
          <w:rFonts w:ascii="Noto Sans" w:hAnsi="Noto Sans" w:cs="Arial"/>
          <w:sz w:val="20"/>
          <w:szCs w:val="20"/>
        </w:rPr>
        <w:t xml:space="preserve"> and beneficiaries</w:t>
      </w:r>
      <w:r w:rsidR="00D927DA" w:rsidRPr="001F0D05">
        <w:rPr>
          <w:rFonts w:ascii="Noto Sans" w:hAnsi="Noto Sans" w:cs="Arial"/>
          <w:sz w:val="20"/>
          <w:szCs w:val="20"/>
        </w:rPr>
        <w:t xml:space="preserve">. </w:t>
      </w:r>
    </w:p>
    <w:p w14:paraId="0464A358" w14:textId="29C9AC5A" w:rsidR="00CC09E6" w:rsidRDefault="00D927DA" w:rsidP="00B750E9">
      <w:pPr>
        <w:spacing w:before="120" w:after="120"/>
        <w:rPr>
          <w:rFonts w:ascii="Noto Sans" w:hAnsi="Noto Sans" w:cs="Arial"/>
          <w:sz w:val="20"/>
          <w:szCs w:val="20"/>
        </w:rPr>
      </w:pPr>
      <w:r w:rsidRPr="001F0D05">
        <w:rPr>
          <w:rFonts w:ascii="Noto Sans" w:hAnsi="Noto Sans" w:cs="Arial"/>
          <w:sz w:val="20"/>
          <w:szCs w:val="20"/>
        </w:rPr>
        <w:t xml:space="preserve">The </w:t>
      </w:r>
      <w:r w:rsidRPr="00E425A5">
        <w:rPr>
          <w:rFonts w:ascii="Noto Sans" w:hAnsi="Noto Sans" w:cs="Arial"/>
          <w:sz w:val="20"/>
          <w:szCs w:val="20"/>
        </w:rPr>
        <w:t>Trustee</w:t>
      </w:r>
      <w:r w:rsidR="00163F68">
        <w:rPr>
          <w:rFonts w:ascii="Noto Sans" w:hAnsi="Noto Sans" w:cs="Arial"/>
          <w:sz w:val="20"/>
          <w:szCs w:val="20"/>
        </w:rPr>
        <w:t>s</w:t>
      </w:r>
      <w:r w:rsidRPr="00E425A5">
        <w:rPr>
          <w:rFonts w:ascii="Noto Sans" w:hAnsi="Noto Sans" w:cs="Arial"/>
          <w:sz w:val="20"/>
          <w:szCs w:val="20"/>
        </w:rPr>
        <w:t xml:space="preserve"> </w:t>
      </w:r>
      <w:r w:rsidRPr="0059713A">
        <w:rPr>
          <w:rFonts w:ascii="Noto Sans" w:hAnsi="Noto Sans" w:cs="Arial"/>
          <w:sz w:val="20"/>
          <w:szCs w:val="20"/>
        </w:rPr>
        <w:t xml:space="preserve">therefore </w:t>
      </w:r>
      <w:r w:rsidRPr="00E425A5">
        <w:rPr>
          <w:rFonts w:ascii="Noto Sans" w:hAnsi="Noto Sans" w:cs="Arial"/>
          <w:sz w:val="20"/>
          <w:szCs w:val="20"/>
        </w:rPr>
        <w:t>require</w:t>
      </w:r>
      <w:r w:rsidRPr="0059713A">
        <w:rPr>
          <w:rFonts w:ascii="Noto Sans" w:hAnsi="Noto Sans" w:cs="Arial"/>
          <w:sz w:val="20"/>
          <w:szCs w:val="20"/>
        </w:rPr>
        <w:t xml:space="preserve"> </w:t>
      </w:r>
      <w:r w:rsidR="00163F68">
        <w:rPr>
          <w:rFonts w:ascii="Noto Sans" w:hAnsi="Noto Sans" w:cs="Arial"/>
          <w:sz w:val="20"/>
          <w:szCs w:val="20"/>
        </w:rPr>
        <w:t xml:space="preserve">their </w:t>
      </w:r>
      <w:r w:rsidR="00591BFD" w:rsidRPr="001F0D05">
        <w:rPr>
          <w:rFonts w:ascii="Noto Sans" w:hAnsi="Noto Sans" w:cs="Arial"/>
          <w:sz w:val="20"/>
          <w:szCs w:val="20"/>
        </w:rPr>
        <w:t>fiduciary manager</w:t>
      </w:r>
      <w:r w:rsidR="00887908">
        <w:rPr>
          <w:rFonts w:ascii="Noto Sans" w:hAnsi="Noto Sans" w:cs="Arial"/>
          <w:sz w:val="20"/>
          <w:szCs w:val="20"/>
        </w:rPr>
        <w:t>, who is also the investment manager</w:t>
      </w:r>
      <w:r w:rsidR="00912881">
        <w:rPr>
          <w:rFonts w:ascii="Noto Sans" w:hAnsi="Noto Sans" w:cs="Arial"/>
          <w:sz w:val="20"/>
          <w:szCs w:val="20"/>
        </w:rPr>
        <w:t>,</w:t>
      </w:r>
      <w:r w:rsidRPr="001F0D05">
        <w:rPr>
          <w:rFonts w:ascii="Noto Sans" w:hAnsi="Noto Sans" w:cs="Arial"/>
          <w:sz w:val="20"/>
          <w:szCs w:val="20"/>
        </w:rPr>
        <w:t xml:space="preserve"> in </w:t>
      </w:r>
      <w:r w:rsidR="006673C2">
        <w:rPr>
          <w:rFonts w:ascii="Noto Sans" w:hAnsi="Noto Sans" w:cs="Arial"/>
          <w:sz w:val="20"/>
          <w:szCs w:val="20"/>
        </w:rPr>
        <w:t xml:space="preserve">its </w:t>
      </w:r>
      <w:r w:rsidRPr="001F0D05">
        <w:rPr>
          <w:rFonts w:ascii="Noto Sans" w:hAnsi="Noto Sans" w:cs="Arial"/>
          <w:sz w:val="20"/>
          <w:szCs w:val="20"/>
        </w:rPr>
        <w:t xml:space="preserve">stewardship of </w:t>
      </w:r>
      <w:r w:rsidRPr="0059713A">
        <w:rPr>
          <w:rFonts w:ascii="Noto Sans" w:hAnsi="Noto Sans" w:cs="Arial"/>
          <w:sz w:val="20"/>
          <w:szCs w:val="20"/>
        </w:rPr>
        <w:t xml:space="preserve">the </w:t>
      </w:r>
      <w:r w:rsidR="00DA04B3">
        <w:rPr>
          <w:rFonts w:ascii="Noto Sans" w:hAnsi="Noto Sans" w:cs="Arial"/>
          <w:sz w:val="20"/>
          <w:szCs w:val="20"/>
        </w:rPr>
        <w:t>Plan’s</w:t>
      </w:r>
      <w:r w:rsidR="00393996" w:rsidRPr="001F0D05">
        <w:rPr>
          <w:rFonts w:ascii="Noto Sans" w:hAnsi="Noto Sans" w:cs="Arial"/>
          <w:sz w:val="20"/>
          <w:szCs w:val="20"/>
        </w:rPr>
        <w:t xml:space="preserve"> </w:t>
      </w:r>
      <w:r w:rsidRPr="001F0D05">
        <w:rPr>
          <w:rFonts w:ascii="Noto Sans" w:hAnsi="Noto Sans" w:cs="Arial"/>
          <w:sz w:val="20"/>
          <w:szCs w:val="20"/>
        </w:rPr>
        <w:t>assets</w:t>
      </w:r>
      <w:r w:rsidR="00912881">
        <w:rPr>
          <w:rFonts w:ascii="Noto Sans" w:hAnsi="Noto Sans" w:cs="Arial"/>
          <w:sz w:val="20"/>
          <w:szCs w:val="20"/>
        </w:rPr>
        <w:t>,</w:t>
      </w:r>
      <w:r w:rsidRPr="001F0D05">
        <w:rPr>
          <w:rFonts w:ascii="Noto Sans" w:hAnsi="Noto Sans" w:cs="Arial"/>
          <w:sz w:val="20"/>
          <w:szCs w:val="20"/>
        </w:rPr>
        <w:t xml:space="preserve"> to </w:t>
      </w:r>
      <w:r w:rsidR="00D4710B">
        <w:rPr>
          <w:rFonts w:ascii="Noto Sans" w:hAnsi="Noto Sans" w:cs="Arial"/>
          <w:sz w:val="20"/>
          <w:szCs w:val="20"/>
        </w:rPr>
        <w:t>prioritise</w:t>
      </w:r>
      <w:r w:rsidRPr="001F0D05">
        <w:rPr>
          <w:rFonts w:ascii="Noto Sans" w:hAnsi="Noto Sans" w:cs="Arial"/>
          <w:sz w:val="20"/>
          <w:szCs w:val="20"/>
        </w:rPr>
        <w:t xml:space="preserve"> </w:t>
      </w:r>
      <w:r w:rsidR="00EC1331" w:rsidRPr="001F0D05">
        <w:rPr>
          <w:rFonts w:ascii="Noto Sans" w:hAnsi="Noto Sans" w:cs="Arial"/>
          <w:sz w:val="20"/>
          <w:szCs w:val="20"/>
        </w:rPr>
        <w:t>the</w:t>
      </w:r>
      <w:r w:rsidR="006673C2">
        <w:rPr>
          <w:rFonts w:ascii="Noto Sans" w:hAnsi="Noto Sans" w:cs="Arial"/>
          <w:sz w:val="20"/>
          <w:szCs w:val="20"/>
        </w:rPr>
        <w:t xml:space="preserve">se six engagement themes, alongside the </w:t>
      </w:r>
      <w:r w:rsidR="00EC1331" w:rsidRPr="001F0D05">
        <w:rPr>
          <w:rFonts w:ascii="Noto Sans" w:hAnsi="Noto Sans" w:cs="Arial"/>
          <w:sz w:val="20"/>
          <w:szCs w:val="20"/>
        </w:rPr>
        <w:t xml:space="preserve">investee companies’ </w:t>
      </w:r>
      <w:r w:rsidR="00EA74AB" w:rsidRPr="001F0D05">
        <w:rPr>
          <w:rFonts w:ascii="Noto Sans" w:hAnsi="Noto Sans" w:cs="Arial"/>
          <w:sz w:val="20"/>
          <w:szCs w:val="20"/>
        </w:rPr>
        <w:t xml:space="preserve">performance, </w:t>
      </w:r>
      <w:r w:rsidR="002D05FF" w:rsidRPr="001F0D05">
        <w:rPr>
          <w:rFonts w:ascii="Noto Sans" w:hAnsi="Noto Sans" w:cs="Arial"/>
          <w:sz w:val="20"/>
          <w:szCs w:val="20"/>
        </w:rPr>
        <w:t xml:space="preserve">strategy, </w:t>
      </w:r>
      <w:r w:rsidR="00EA74AB" w:rsidRPr="001F0D05">
        <w:rPr>
          <w:rFonts w:ascii="Noto Sans" w:hAnsi="Noto Sans" w:cs="Arial"/>
          <w:sz w:val="20"/>
          <w:szCs w:val="20"/>
        </w:rPr>
        <w:t>capital structure, management of actual or potential conflicts of interest, risks, social</w:t>
      </w:r>
      <w:r w:rsidR="005E6F3B" w:rsidRPr="001F0D05">
        <w:rPr>
          <w:rFonts w:ascii="Noto Sans" w:hAnsi="Noto Sans" w:cs="Arial"/>
          <w:sz w:val="20"/>
          <w:szCs w:val="20"/>
        </w:rPr>
        <w:t>, ethical</w:t>
      </w:r>
      <w:r w:rsidR="00EA74AB" w:rsidRPr="001F0D05">
        <w:rPr>
          <w:rFonts w:ascii="Noto Sans" w:hAnsi="Noto Sans" w:cs="Arial"/>
          <w:sz w:val="20"/>
          <w:szCs w:val="20"/>
        </w:rPr>
        <w:t xml:space="preserve"> and environmental impact and corporate governance</w:t>
      </w:r>
      <w:r w:rsidR="00EA74AB" w:rsidRPr="001F0D05" w:rsidDel="00EA74AB">
        <w:rPr>
          <w:rFonts w:ascii="Noto Sans" w:hAnsi="Noto Sans" w:cs="Arial"/>
          <w:sz w:val="20"/>
          <w:szCs w:val="20"/>
        </w:rPr>
        <w:t xml:space="preserve"> </w:t>
      </w:r>
      <w:r w:rsidRPr="001F0D05">
        <w:rPr>
          <w:rFonts w:ascii="Noto Sans" w:hAnsi="Noto Sans" w:cs="Arial"/>
          <w:sz w:val="20"/>
          <w:szCs w:val="20"/>
        </w:rPr>
        <w:t>when considering the purchase, retention or sale</w:t>
      </w:r>
      <w:r w:rsidR="00393996" w:rsidRPr="001F0D05">
        <w:rPr>
          <w:rFonts w:ascii="Noto Sans" w:hAnsi="Noto Sans" w:cs="Arial"/>
          <w:sz w:val="20"/>
          <w:szCs w:val="20"/>
        </w:rPr>
        <w:t xml:space="preserve"> </w:t>
      </w:r>
      <w:r w:rsidRPr="001F0D05">
        <w:rPr>
          <w:rFonts w:ascii="Noto Sans" w:hAnsi="Noto Sans" w:cs="Arial"/>
          <w:sz w:val="20"/>
          <w:szCs w:val="20"/>
        </w:rPr>
        <w:t>of investments.</w:t>
      </w:r>
      <w:r w:rsidR="00AC0B3C" w:rsidRPr="001F0D05">
        <w:rPr>
          <w:rFonts w:ascii="Noto Sans" w:hAnsi="Noto Sans" w:cs="Arial"/>
          <w:sz w:val="20"/>
          <w:szCs w:val="20"/>
        </w:rPr>
        <w:t xml:space="preserve"> </w:t>
      </w:r>
    </w:p>
    <w:p w14:paraId="31FE809F" w14:textId="1E1ACEAB" w:rsidR="001140B7" w:rsidRDefault="00AC0B3C" w:rsidP="00B750E9">
      <w:pPr>
        <w:spacing w:before="120" w:after="120"/>
        <w:rPr>
          <w:rFonts w:ascii="Noto Sans" w:hAnsi="Noto Sans" w:cs="Arial"/>
          <w:sz w:val="20"/>
          <w:szCs w:val="20"/>
        </w:rPr>
      </w:pPr>
      <w:r w:rsidRPr="001F0D05">
        <w:rPr>
          <w:rFonts w:ascii="Noto Sans" w:hAnsi="Noto Sans" w:cs="Arial"/>
          <w:sz w:val="20"/>
          <w:szCs w:val="20"/>
        </w:rPr>
        <w:t xml:space="preserve">The </w:t>
      </w:r>
      <w:r w:rsidRPr="00E425A5">
        <w:rPr>
          <w:rFonts w:ascii="Noto Sans" w:hAnsi="Noto Sans" w:cs="Arial"/>
          <w:sz w:val="20"/>
          <w:szCs w:val="20"/>
        </w:rPr>
        <w:t>Trustee</w:t>
      </w:r>
      <w:r w:rsidR="00163F68">
        <w:rPr>
          <w:rFonts w:ascii="Noto Sans" w:hAnsi="Noto Sans" w:cs="Arial"/>
          <w:sz w:val="20"/>
          <w:szCs w:val="20"/>
        </w:rPr>
        <w:t>s</w:t>
      </w:r>
      <w:r w:rsidRPr="00E425A5">
        <w:rPr>
          <w:rFonts w:ascii="Noto Sans" w:hAnsi="Noto Sans" w:cs="Arial"/>
          <w:sz w:val="20"/>
          <w:szCs w:val="20"/>
        </w:rPr>
        <w:t xml:space="preserve"> </w:t>
      </w:r>
      <w:r w:rsidR="00163F68">
        <w:rPr>
          <w:rFonts w:ascii="Noto Sans" w:hAnsi="Noto Sans" w:cs="Arial"/>
          <w:sz w:val="20"/>
          <w:szCs w:val="20"/>
        </w:rPr>
        <w:t>oversee their</w:t>
      </w:r>
      <w:r w:rsidRPr="001F0D05">
        <w:rPr>
          <w:rFonts w:ascii="Noto Sans" w:hAnsi="Noto Sans" w:cs="Arial"/>
          <w:sz w:val="20"/>
          <w:szCs w:val="20"/>
        </w:rPr>
        <w:t xml:space="preserve"> fiduciary manager’s voting and engagement activities to ensure compliance with this requirement. Reporting on the fiduciary manager’s</w:t>
      </w:r>
      <w:r w:rsidRPr="005E4D70">
        <w:rPr>
          <w:rFonts w:ascii="Noto Sans" w:hAnsi="Noto Sans" w:cs="Arial"/>
          <w:sz w:val="20"/>
          <w:szCs w:val="20"/>
        </w:rPr>
        <w:t xml:space="preserve"> voting and engagement activities </w:t>
      </w:r>
      <w:r w:rsidR="00EA74AB" w:rsidRPr="005E4D70">
        <w:rPr>
          <w:rFonts w:ascii="Noto Sans" w:hAnsi="Noto Sans" w:cs="Arial"/>
          <w:sz w:val="20"/>
          <w:szCs w:val="20"/>
        </w:rPr>
        <w:t xml:space="preserve">and how these activities have had a bearing on the purchase, retention and sale of investments </w:t>
      </w:r>
      <w:r w:rsidRPr="005E4D70">
        <w:rPr>
          <w:rFonts w:ascii="Noto Sans" w:hAnsi="Noto Sans" w:cs="Arial"/>
          <w:sz w:val="20"/>
          <w:szCs w:val="20"/>
        </w:rPr>
        <w:t>is included in the quarterly investment monitoring reports.</w:t>
      </w:r>
    </w:p>
    <w:p w14:paraId="41EC75A8" w14:textId="364EA643" w:rsidR="002E01DF" w:rsidRDefault="002E01DF" w:rsidP="009122A7">
      <w:pPr>
        <w:spacing w:before="120" w:after="120"/>
        <w:rPr>
          <w:rFonts w:ascii="Noto Sans" w:hAnsi="Noto Sans" w:cs="Arial"/>
          <w:sz w:val="20"/>
          <w:szCs w:val="20"/>
        </w:rPr>
      </w:pPr>
      <w:r w:rsidRPr="00FB1755">
        <w:rPr>
          <w:rFonts w:ascii="Noto Sans" w:hAnsi="Noto Sans" w:cs="Arial"/>
          <w:sz w:val="20"/>
          <w:szCs w:val="20"/>
        </w:rPr>
        <w:t xml:space="preserve">The </w:t>
      </w:r>
      <w:r w:rsidR="00163F68">
        <w:rPr>
          <w:rFonts w:ascii="Noto Sans" w:hAnsi="Noto Sans" w:cs="Arial"/>
          <w:sz w:val="20"/>
          <w:szCs w:val="20"/>
        </w:rPr>
        <w:t>Trustees have</w:t>
      </w:r>
      <w:r w:rsidRPr="00FB1755">
        <w:rPr>
          <w:rFonts w:ascii="Noto Sans" w:hAnsi="Noto Sans" w:cs="Arial"/>
          <w:sz w:val="20"/>
          <w:szCs w:val="20"/>
        </w:rPr>
        <w:t xml:space="preserve"> considered the voting and engagement activit</w:t>
      </w:r>
      <w:r w:rsidR="007D043B">
        <w:rPr>
          <w:rFonts w:ascii="Noto Sans" w:hAnsi="Noto Sans" w:cs="Arial"/>
          <w:sz w:val="20"/>
          <w:szCs w:val="20"/>
        </w:rPr>
        <w:t>ies</w:t>
      </w:r>
      <w:r w:rsidRPr="00FB1755">
        <w:rPr>
          <w:rFonts w:ascii="Noto Sans" w:hAnsi="Noto Sans" w:cs="Arial"/>
          <w:sz w:val="20"/>
          <w:szCs w:val="20"/>
        </w:rPr>
        <w:t xml:space="preserve"> that took place on </w:t>
      </w:r>
      <w:r w:rsidR="00163F68">
        <w:rPr>
          <w:rFonts w:ascii="Noto Sans" w:hAnsi="Noto Sans" w:cs="Arial"/>
          <w:sz w:val="20"/>
          <w:szCs w:val="20"/>
        </w:rPr>
        <w:t xml:space="preserve">their </w:t>
      </w:r>
      <w:r w:rsidRPr="00FB1755">
        <w:rPr>
          <w:rFonts w:ascii="Noto Sans" w:hAnsi="Noto Sans" w:cs="Arial"/>
          <w:sz w:val="20"/>
          <w:szCs w:val="20"/>
        </w:rPr>
        <w:t xml:space="preserve">behalf </w:t>
      </w:r>
      <w:r w:rsidR="007D043B">
        <w:rPr>
          <w:rFonts w:ascii="Noto Sans" w:hAnsi="Noto Sans" w:cs="Arial"/>
          <w:sz w:val="20"/>
          <w:szCs w:val="20"/>
        </w:rPr>
        <w:t xml:space="preserve">by the fiduciary manager </w:t>
      </w:r>
      <w:r w:rsidRPr="00FB1755">
        <w:rPr>
          <w:rFonts w:ascii="Noto Sans" w:hAnsi="Noto Sans" w:cs="Arial"/>
          <w:sz w:val="20"/>
          <w:szCs w:val="20"/>
        </w:rPr>
        <w:t xml:space="preserve">during the </w:t>
      </w:r>
      <w:r w:rsidR="00DA04B3">
        <w:rPr>
          <w:rFonts w:ascii="Noto Sans" w:hAnsi="Noto Sans" w:cs="Arial"/>
          <w:sz w:val="20"/>
          <w:szCs w:val="20"/>
        </w:rPr>
        <w:t>Plan</w:t>
      </w:r>
      <w:r w:rsidRPr="00FB1755">
        <w:rPr>
          <w:rFonts w:ascii="Noto Sans" w:hAnsi="Noto Sans" w:cs="Arial"/>
          <w:sz w:val="20"/>
          <w:szCs w:val="20"/>
        </w:rPr>
        <w:t xml:space="preserve"> </w:t>
      </w:r>
      <w:r w:rsidR="007D043B">
        <w:rPr>
          <w:rFonts w:ascii="Noto Sans" w:hAnsi="Noto Sans" w:cs="Arial"/>
          <w:sz w:val="20"/>
          <w:szCs w:val="20"/>
        </w:rPr>
        <w:t>Y</w:t>
      </w:r>
      <w:r w:rsidRPr="00FB1755">
        <w:rPr>
          <w:rFonts w:ascii="Noto Sans" w:hAnsi="Noto Sans" w:cs="Arial"/>
          <w:sz w:val="20"/>
          <w:szCs w:val="20"/>
        </w:rPr>
        <w:t>ear</w:t>
      </w:r>
      <w:r w:rsidR="006349DE">
        <w:rPr>
          <w:rFonts w:ascii="Noto Sans" w:hAnsi="Noto Sans" w:cs="Arial"/>
          <w:sz w:val="20"/>
          <w:szCs w:val="20"/>
        </w:rPr>
        <w:t>,</w:t>
      </w:r>
      <w:r w:rsidRPr="00FB1755">
        <w:rPr>
          <w:rFonts w:ascii="Noto Sans" w:hAnsi="Noto Sans" w:cs="Arial"/>
          <w:sz w:val="20"/>
          <w:szCs w:val="20"/>
        </w:rPr>
        <w:t xml:space="preserve"> </w:t>
      </w:r>
      <w:r w:rsidR="002D4624">
        <w:rPr>
          <w:rFonts w:ascii="Noto Sans" w:hAnsi="Noto Sans" w:cs="Arial"/>
          <w:sz w:val="20"/>
          <w:szCs w:val="20"/>
        </w:rPr>
        <w:t>with voting activities</w:t>
      </w:r>
      <w:r w:rsidR="00DC71CF" w:rsidRPr="00FB1755">
        <w:rPr>
          <w:rFonts w:ascii="Noto Sans" w:hAnsi="Noto Sans" w:cs="Arial"/>
          <w:sz w:val="20"/>
          <w:szCs w:val="20"/>
        </w:rPr>
        <w:t xml:space="preserve"> </w:t>
      </w:r>
      <w:r w:rsidR="00A10C86" w:rsidRPr="00FB1755">
        <w:rPr>
          <w:rFonts w:ascii="Noto Sans" w:hAnsi="Noto Sans" w:cs="Arial"/>
          <w:sz w:val="20"/>
          <w:szCs w:val="20"/>
        </w:rPr>
        <w:t>described</w:t>
      </w:r>
      <w:r w:rsidR="00DC71CF" w:rsidRPr="00FB1755">
        <w:rPr>
          <w:rFonts w:ascii="Noto Sans" w:hAnsi="Noto Sans" w:cs="Arial"/>
          <w:sz w:val="20"/>
          <w:szCs w:val="20"/>
        </w:rPr>
        <w:t xml:space="preserve"> in</w:t>
      </w:r>
      <w:r w:rsidR="007D043B">
        <w:rPr>
          <w:rFonts w:ascii="Noto Sans" w:hAnsi="Noto Sans" w:cs="Arial"/>
          <w:sz w:val="20"/>
          <w:szCs w:val="20"/>
        </w:rPr>
        <w:t xml:space="preserve"> the next</w:t>
      </w:r>
      <w:r w:rsidR="00DC71CF" w:rsidRPr="00FB1755">
        <w:rPr>
          <w:rFonts w:ascii="Noto Sans" w:hAnsi="Noto Sans" w:cs="Arial"/>
          <w:sz w:val="20"/>
          <w:szCs w:val="20"/>
        </w:rPr>
        <w:t xml:space="preserve"> section. </w:t>
      </w:r>
      <w:r w:rsidR="00DC71CF" w:rsidRPr="00B1248A">
        <w:rPr>
          <w:rFonts w:ascii="Noto Sans" w:hAnsi="Noto Sans" w:cs="Arial"/>
          <w:b/>
          <w:bCs/>
          <w:sz w:val="20"/>
          <w:szCs w:val="20"/>
        </w:rPr>
        <w:t>The Trustee</w:t>
      </w:r>
      <w:r w:rsidR="00163F68" w:rsidRPr="00B1248A">
        <w:rPr>
          <w:rFonts w:ascii="Noto Sans" w:hAnsi="Noto Sans" w:cs="Arial"/>
          <w:b/>
          <w:bCs/>
          <w:sz w:val="20"/>
          <w:szCs w:val="20"/>
        </w:rPr>
        <w:t>s</w:t>
      </w:r>
      <w:r w:rsidR="00DC71CF" w:rsidRPr="00B1248A">
        <w:rPr>
          <w:rFonts w:ascii="Noto Sans" w:hAnsi="Noto Sans" w:cs="Arial"/>
          <w:b/>
          <w:bCs/>
          <w:sz w:val="20"/>
          <w:szCs w:val="20"/>
        </w:rPr>
        <w:t xml:space="preserve"> </w:t>
      </w:r>
      <w:r w:rsidR="00163F68" w:rsidRPr="00B1248A">
        <w:rPr>
          <w:rFonts w:ascii="Noto Sans" w:hAnsi="Noto Sans" w:cs="Arial"/>
          <w:b/>
          <w:bCs/>
          <w:sz w:val="20"/>
          <w:szCs w:val="20"/>
        </w:rPr>
        <w:t xml:space="preserve">are </w:t>
      </w:r>
      <w:r w:rsidR="00DC71CF" w:rsidRPr="00B1248A">
        <w:rPr>
          <w:rFonts w:ascii="Noto Sans" w:hAnsi="Noto Sans" w:cs="Arial"/>
          <w:b/>
          <w:bCs/>
          <w:sz w:val="20"/>
          <w:szCs w:val="20"/>
        </w:rPr>
        <w:t xml:space="preserve">satisfied </w:t>
      </w:r>
      <w:r w:rsidRPr="00B1248A">
        <w:rPr>
          <w:rFonts w:ascii="Noto Sans" w:hAnsi="Noto Sans" w:cs="Arial"/>
          <w:b/>
          <w:bCs/>
          <w:sz w:val="20"/>
          <w:szCs w:val="20"/>
        </w:rPr>
        <w:t xml:space="preserve">that </w:t>
      </w:r>
      <w:r w:rsidR="00163F68" w:rsidRPr="00B1248A">
        <w:rPr>
          <w:rFonts w:ascii="Noto Sans" w:hAnsi="Noto Sans" w:cs="Arial"/>
          <w:b/>
          <w:bCs/>
          <w:sz w:val="20"/>
          <w:szCs w:val="20"/>
        </w:rPr>
        <w:t>their</w:t>
      </w:r>
      <w:r w:rsidR="00DC71CF" w:rsidRPr="00B1248A">
        <w:rPr>
          <w:rFonts w:ascii="Noto Sans" w:hAnsi="Noto Sans" w:cs="Arial"/>
          <w:b/>
          <w:bCs/>
          <w:sz w:val="20"/>
          <w:szCs w:val="20"/>
        </w:rPr>
        <w:t xml:space="preserve"> f</w:t>
      </w:r>
      <w:r w:rsidRPr="00B1248A">
        <w:rPr>
          <w:rFonts w:ascii="Noto Sans" w:hAnsi="Noto Sans" w:cs="Arial"/>
          <w:b/>
          <w:bCs/>
          <w:sz w:val="20"/>
          <w:szCs w:val="20"/>
        </w:rPr>
        <w:t xml:space="preserve">iduciary </w:t>
      </w:r>
      <w:r w:rsidR="00DC71CF" w:rsidRPr="00B1248A">
        <w:rPr>
          <w:rFonts w:ascii="Noto Sans" w:hAnsi="Noto Sans" w:cs="Arial"/>
          <w:b/>
          <w:bCs/>
          <w:sz w:val="20"/>
          <w:szCs w:val="20"/>
        </w:rPr>
        <w:t>m</w:t>
      </w:r>
      <w:r w:rsidRPr="00B1248A">
        <w:rPr>
          <w:rFonts w:ascii="Noto Sans" w:hAnsi="Noto Sans" w:cs="Arial"/>
          <w:b/>
          <w:bCs/>
          <w:sz w:val="20"/>
          <w:szCs w:val="20"/>
        </w:rPr>
        <w:t>anager</w:t>
      </w:r>
      <w:r w:rsidR="002D4624" w:rsidRPr="00B1248A">
        <w:rPr>
          <w:rFonts w:ascii="Noto Sans" w:hAnsi="Noto Sans" w:cs="Arial"/>
          <w:b/>
          <w:bCs/>
          <w:sz w:val="20"/>
          <w:szCs w:val="20"/>
        </w:rPr>
        <w:t xml:space="preserve"> </w:t>
      </w:r>
      <w:r w:rsidR="00DC71CF" w:rsidRPr="00B1248A">
        <w:rPr>
          <w:rFonts w:ascii="Noto Sans" w:hAnsi="Noto Sans" w:cs="Arial"/>
          <w:b/>
          <w:bCs/>
          <w:sz w:val="20"/>
          <w:szCs w:val="20"/>
        </w:rPr>
        <w:t xml:space="preserve">has </w:t>
      </w:r>
      <w:r w:rsidR="00A510E8" w:rsidRPr="00B1248A">
        <w:rPr>
          <w:rFonts w:ascii="Noto Sans" w:hAnsi="Noto Sans" w:cs="Arial"/>
          <w:b/>
          <w:bCs/>
          <w:sz w:val="20"/>
          <w:szCs w:val="20"/>
        </w:rPr>
        <w:t>carried out stewardship activities</w:t>
      </w:r>
      <w:r w:rsidRPr="00B1248A">
        <w:rPr>
          <w:rFonts w:ascii="Noto Sans" w:hAnsi="Noto Sans" w:cs="Arial"/>
          <w:b/>
          <w:bCs/>
          <w:sz w:val="20"/>
          <w:szCs w:val="20"/>
        </w:rPr>
        <w:t xml:space="preserve"> </w:t>
      </w:r>
      <w:r w:rsidR="00417F51">
        <w:rPr>
          <w:rFonts w:ascii="Noto Sans" w:hAnsi="Noto Sans" w:cs="Arial"/>
          <w:b/>
          <w:bCs/>
          <w:sz w:val="20"/>
          <w:szCs w:val="20"/>
        </w:rPr>
        <w:t xml:space="preserve">on the trustees’ behalf </w:t>
      </w:r>
      <w:r w:rsidRPr="00B1248A">
        <w:rPr>
          <w:rFonts w:ascii="Noto Sans" w:hAnsi="Noto Sans" w:cs="Arial"/>
          <w:b/>
          <w:bCs/>
          <w:sz w:val="20"/>
          <w:szCs w:val="20"/>
        </w:rPr>
        <w:t xml:space="preserve">in line with </w:t>
      </w:r>
      <w:r w:rsidR="00A510E8" w:rsidRPr="00B1248A">
        <w:rPr>
          <w:rFonts w:ascii="Noto Sans" w:hAnsi="Noto Sans" w:cs="Arial"/>
          <w:b/>
          <w:bCs/>
          <w:sz w:val="20"/>
          <w:szCs w:val="20"/>
        </w:rPr>
        <w:t>the</w:t>
      </w:r>
      <w:r w:rsidRPr="00B1248A">
        <w:rPr>
          <w:rFonts w:ascii="Noto Sans" w:hAnsi="Noto Sans" w:cs="Arial"/>
          <w:b/>
          <w:bCs/>
          <w:sz w:val="20"/>
          <w:szCs w:val="20"/>
        </w:rPr>
        <w:t xml:space="preserve"> stewardship policy</w:t>
      </w:r>
      <w:r w:rsidR="00A510E8" w:rsidRPr="00B1248A">
        <w:rPr>
          <w:rFonts w:ascii="Noto Sans" w:hAnsi="Noto Sans" w:cs="Arial"/>
          <w:b/>
          <w:bCs/>
          <w:sz w:val="20"/>
          <w:szCs w:val="20"/>
        </w:rPr>
        <w:t xml:space="preserve"> described in the </w:t>
      </w:r>
      <w:r w:rsidR="00DA04B3">
        <w:rPr>
          <w:rFonts w:ascii="Noto Sans" w:hAnsi="Noto Sans" w:cs="Arial"/>
          <w:b/>
          <w:bCs/>
          <w:sz w:val="20"/>
          <w:szCs w:val="20"/>
        </w:rPr>
        <w:t>Plan’s</w:t>
      </w:r>
      <w:r w:rsidR="00A510E8" w:rsidRPr="00B1248A">
        <w:rPr>
          <w:rFonts w:ascii="Noto Sans" w:hAnsi="Noto Sans" w:cs="Arial"/>
          <w:b/>
          <w:bCs/>
          <w:sz w:val="20"/>
          <w:szCs w:val="20"/>
        </w:rPr>
        <w:t xml:space="preserve"> SIP</w:t>
      </w:r>
      <w:r w:rsidRPr="00B1248A">
        <w:rPr>
          <w:rFonts w:ascii="Noto Sans" w:hAnsi="Noto Sans" w:cs="Arial"/>
          <w:b/>
          <w:bCs/>
          <w:sz w:val="20"/>
          <w:szCs w:val="20"/>
        </w:rPr>
        <w:t>.</w:t>
      </w:r>
      <w:r w:rsidR="00DC71CF" w:rsidRPr="00FB1755">
        <w:rPr>
          <w:rFonts w:ascii="Noto Sans" w:hAnsi="Noto Sans" w:cs="Arial"/>
          <w:sz w:val="20"/>
          <w:szCs w:val="20"/>
        </w:rPr>
        <w:t xml:space="preserve"> In particular, the Trustee</w:t>
      </w:r>
      <w:r w:rsidR="00163F68">
        <w:rPr>
          <w:rFonts w:ascii="Noto Sans" w:hAnsi="Noto Sans" w:cs="Arial"/>
          <w:sz w:val="20"/>
          <w:szCs w:val="20"/>
        </w:rPr>
        <w:t>s</w:t>
      </w:r>
      <w:r w:rsidR="00DC71CF" w:rsidRPr="00FB1755">
        <w:rPr>
          <w:rFonts w:ascii="Noto Sans" w:hAnsi="Noto Sans" w:cs="Arial"/>
          <w:sz w:val="20"/>
          <w:szCs w:val="20"/>
        </w:rPr>
        <w:t xml:space="preserve"> noted the following</w:t>
      </w:r>
      <w:r w:rsidR="007D043B">
        <w:rPr>
          <w:rFonts w:ascii="Noto Sans" w:hAnsi="Noto Sans" w:cs="Arial"/>
          <w:sz w:val="20"/>
          <w:szCs w:val="20"/>
        </w:rPr>
        <w:t>:</w:t>
      </w:r>
    </w:p>
    <w:p w14:paraId="39A948B1" w14:textId="0F950A1E" w:rsidR="00DC71CF" w:rsidRPr="00DC71CF" w:rsidRDefault="00DC71CF" w:rsidP="006E5111">
      <w:pPr>
        <w:pStyle w:val="ListParagraph"/>
        <w:numPr>
          <w:ilvl w:val="0"/>
          <w:numId w:val="45"/>
        </w:numPr>
        <w:spacing w:before="120" w:after="120"/>
        <w:rPr>
          <w:rFonts w:ascii="Noto Sans" w:hAnsi="Noto Sans" w:cs="Arial"/>
          <w:sz w:val="20"/>
          <w:szCs w:val="20"/>
        </w:rPr>
      </w:pPr>
      <w:r>
        <w:rPr>
          <w:rFonts w:ascii="Noto Sans" w:hAnsi="Noto Sans" w:cs="Arial"/>
          <w:sz w:val="20"/>
          <w:szCs w:val="20"/>
        </w:rPr>
        <w:t>The fiduciary</w:t>
      </w:r>
      <w:r w:rsidRPr="00DC71CF">
        <w:rPr>
          <w:rFonts w:ascii="Noto Sans" w:hAnsi="Noto Sans" w:cs="Arial"/>
          <w:sz w:val="20"/>
          <w:szCs w:val="20"/>
        </w:rPr>
        <w:t xml:space="preserve"> manager demonstrated very high levels of voting rights being </w:t>
      </w:r>
      <w:r>
        <w:rPr>
          <w:rFonts w:ascii="Noto Sans" w:hAnsi="Noto Sans" w:cs="Arial"/>
          <w:sz w:val="20"/>
          <w:szCs w:val="20"/>
        </w:rPr>
        <w:t xml:space="preserve">exercised on </w:t>
      </w:r>
      <w:r w:rsidR="006349DE">
        <w:rPr>
          <w:rFonts w:ascii="Noto Sans" w:hAnsi="Noto Sans" w:cs="Arial"/>
          <w:sz w:val="20"/>
          <w:szCs w:val="20"/>
        </w:rPr>
        <w:t>the Trustee</w:t>
      </w:r>
      <w:r w:rsidR="0075184E">
        <w:rPr>
          <w:rFonts w:ascii="Noto Sans" w:hAnsi="Noto Sans" w:cs="Arial"/>
          <w:sz w:val="20"/>
          <w:szCs w:val="20"/>
        </w:rPr>
        <w:t>s’</w:t>
      </w:r>
      <w:r>
        <w:rPr>
          <w:rFonts w:ascii="Noto Sans" w:hAnsi="Noto Sans" w:cs="Arial"/>
          <w:sz w:val="20"/>
          <w:szCs w:val="20"/>
        </w:rPr>
        <w:t xml:space="preserve"> behalf</w:t>
      </w:r>
      <w:r w:rsidR="00DB211C">
        <w:rPr>
          <w:rFonts w:ascii="Noto Sans" w:hAnsi="Noto Sans" w:cs="Arial"/>
          <w:sz w:val="20"/>
          <w:szCs w:val="20"/>
        </w:rPr>
        <w:t xml:space="preserve"> where voting is relevant to the mandate. </w:t>
      </w:r>
    </w:p>
    <w:p w14:paraId="2E56715D" w14:textId="26AC3ECC" w:rsidR="00DC71CF" w:rsidRDefault="00DC71CF" w:rsidP="006E5111">
      <w:pPr>
        <w:pStyle w:val="ListParagraph"/>
        <w:numPr>
          <w:ilvl w:val="0"/>
          <w:numId w:val="45"/>
        </w:numPr>
        <w:spacing w:before="120" w:after="120"/>
        <w:rPr>
          <w:rFonts w:ascii="Noto Sans" w:hAnsi="Noto Sans" w:cs="Arial"/>
          <w:sz w:val="20"/>
          <w:szCs w:val="20"/>
        </w:rPr>
      </w:pPr>
      <w:r w:rsidRPr="00DC71CF">
        <w:rPr>
          <w:rFonts w:ascii="Noto Sans" w:hAnsi="Noto Sans" w:cs="Arial"/>
          <w:sz w:val="20"/>
          <w:szCs w:val="20"/>
        </w:rPr>
        <w:t xml:space="preserve">Challenge to </w:t>
      </w:r>
      <w:r>
        <w:rPr>
          <w:rFonts w:ascii="Noto Sans" w:hAnsi="Noto Sans" w:cs="Arial"/>
          <w:sz w:val="20"/>
          <w:szCs w:val="20"/>
        </w:rPr>
        <w:t xml:space="preserve">investee company </w:t>
      </w:r>
      <w:r w:rsidRPr="00DC71CF">
        <w:rPr>
          <w:rFonts w:ascii="Noto Sans" w:hAnsi="Noto Sans" w:cs="Arial"/>
          <w:sz w:val="20"/>
          <w:szCs w:val="20"/>
        </w:rPr>
        <w:t>management was demonstrated through</w:t>
      </w:r>
      <w:r>
        <w:rPr>
          <w:rFonts w:ascii="Noto Sans" w:hAnsi="Noto Sans" w:cs="Arial"/>
          <w:sz w:val="20"/>
          <w:szCs w:val="20"/>
        </w:rPr>
        <w:t xml:space="preserve"> the proportion of </w:t>
      </w:r>
      <w:r w:rsidRPr="00DC71CF">
        <w:rPr>
          <w:rFonts w:ascii="Noto Sans" w:hAnsi="Noto Sans" w:cs="Arial"/>
          <w:sz w:val="20"/>
          <w:szCs w:val="20"/>
        </w:rPr>
        <w:t>votes against management</w:t>
      </w:r>
      <w:r>
        <w:rPr>
          <w:rFonts w:ascii="Noto Sans" w:hAnsi="Noto Sans" w:cs="Arial"/>
          <w:sz w:val="20"/>
          <w:szCs w:val="20"/>
        </w:rPr>
        <w:t xml:space="preserve"> led resolutions</w:t>
      </w:r>
      <w:r w:rsidR="006349DE">
        <w:rPr>
          <w:rFonts w:ascii="Noto Sans" w:hAnsi="Noto Sans" w:cs="Arial"/>
          <w:sz w:val="20"/>
          <w:szCs w:val="20"/>
        </w:rPr>
        <w:t>.</w:t>
      </w:r>
    </w:p>
    <w:p w14:paraId="3B54C38C" w14:textId="18A5CDC5" w:rsidR="00A95A15" w:rsidRPr="00A95A15" w:rsidRDefault="0002507E" w:rsidP="006E5111">
      <w:pPr>
        <w:pStyle w:val="ListParagraph"/>
        <w:numPr>
          <w:ilvl w:val="0"/>
          <w:numId w:val="45"/>
        </w:numPr>
        <w:spacing w:before="120" w:after="120"/>
        <w:rPr>
          <w:rFonts w:ascii="Noto Sans" w:hAnsi="Noto Sans" w:cs="Arial"/>
          <w:sz w:val="20"/>
          <w:szCs w:val="20"/>
        </w:rPr>
      </w:pPr>
      <w:r>
        <w:rPr>
          <w:rFonts w:ascii="Noto Sans" w:hAnsi="Noto Sans" w:cs="Arial"/>
          <w:sz w:val="20"/>
          <w:szCs w:val="20"/>
        </w:rPr>
        <w:t>The fiduciary manager also voted based on its own voting policies</w:t>
      </w:r>
      <w:r w:rsidR="0011544E">
        <w:rPr>
          <w:rFonts w:ascii="Noto Sans" w:hAnsi="Noto Sans" w:cs="Arial"/>
          <w:sz w:val="20"/>
          <w:szCs w:val="20"/>
        </w:rPr>
        <w:t xml:space="preserve">, taking into considerations of the engagement priorities of the Trustees, </w:t>
      </w:r>
      <w:r>
        <w:rPr>
          <w:rFonts w:ascii="Noto Sans" w:hAnsi="Noto Sans" w:cs="Arial"/>
          <w:sz w:val="20"/>
          <w:szCs w:val="20"/>
        </w:rPr>
        <w:t xml:space="preserve">rather than blankly followed the recommendations of the </w:t>
      </w:r>
      <w:r w:rsidR="006552C7">
        <w:rPr>
          <w:rFonts w:ascii="Noto Sans" w:hAnsi="Noto Sans" w:cs="Arial"/>
          <w:sz w:val="20"/>
          <w:szCs w:val="20"/>
        </w:rPr>
        <w:t>proxy adviser</w:t>
      </w:r>
      <w:r w:rsidR="00A95A15">
        <w:rPr>
          <w:rFonts w:ascii="Noto Sans" w:hAnsi="Noto Sans" w:cs="Arial"/>
          <w:sz w:val="20"/>
          <w:szCs w:val="20"/>
        </w:rPr>
        <w:t>,</w:t>
      </w:r>
      <w:r w:rsidR="0011544E">
        <w:rPr>
          <w:rFonts w:ascii="Noto Sans" w:hAnsi="Noto Sans" w:cs="Arial"/>
          <w:sz w:val="20"/>
          <w:szCs w:val="20"/>
        </w:rPr>
        <w:t xml:space="preserve"> </w:t>
      </w:r>
      <w:r w:rsidR="006552C7">
        <w:rPr>
          <w:rFonts w:ascii="Noto Sans" w:hAnsi="Noto Sans" w:cs="Arial"/>
          <w:sz w:val="20"/>
          <w:szCs w:val="20"/>
        </w:rPr>
        <w:t>demonstrated by the percentage of votes voted in contrary</w:t>
      </w:r>
      <w:r w:rsidR="00A95A15">
        <w:rPr>
          <w:rFonts w:ascii="Noto Sans" w:hAnsi="Noto Sans" w:cs="Arial"/>
          <w:sz w:val="20"/>
          <w:szCs w:val="20"/>
        </w:rPr>
        <w:t xml:space="preserve"> to the recommendation of proxy adviser</w:t>
      </w:r>
      <w:r w:rsidR="00730B07">
        <w:rPr>
          <w:rFonts w:ascii="Noto Sans" w:hAnsi="Noto Sans" w:cs="Arial"/>
          <w:sz w:val="20"/>
          <w:szCs w:val="20"/>
        </w:rPr>
        <w:t xml:space="preserve">. This demonstrates a good implementation of the Trustees’ stewardship policy via voting. </w:t>
      </w:r>
    </w:p>
    <w:p w14:paraId="6D42C300" w14:textId="214EB3C1" w:rsidR="00796CD8" w:rsidRPr="006E5111" w:rsidRDefault="00DC71CF" w:rsidP="006E5111">
      <w:pPr>
        <w:pStyle w:val="ListParagraph"/>
        <w:numPr>
          <w:ilvl w:val="0"/>
          <w:numId w:val="45"/>
        </w:numPr>
        <w:spacing w:before="120" w:after="120"/>
        <w:rPr>
          <w:rFonts w:ascii="Noto Sans" w:hAnsi="Noto Sans" w:cs="Arial"/>
          <w:sz w:val="20"/>
          <w:szCs w:val="20"/>
        </w:rPr>
      </w:pPr>
      <w:r w:rsidRPr="00DC71CF">
        <w:rPr>
          <w:rFonts w:ascii="Noto Sans" w:hAnsi="Noto Sans" w:cs="Arial"/>
          <w:sz w:val="20"/>
          <w:szCs w:val="20"/>
        </w:rPr>
        <w:t xml:space="preserve">The </w:t>
      </w:r>
      <w:r>
        <w:rPr>
          <w:rFonts w:ascii="Noto Sans" w:hAnsi="Noto Sans" w:cs="Arial"/>
          <w:sz w:val="20"/>
          <w:szCs w:val="20"/>
        </w:rPr>
        <w:t>f</w:t>
      </w:r>
      <w:r w:rsidRPr="00DC71CF">
        <w:rPr>
          <w:rFonts w:ascii="Noto Sans" w:hAnsi="Noto Sans" w:cs="Arial"/>
          <w:sz w:val="20"/>
          <w:szCs w:val="20"/>
        </w:rPr>
        <w:t xml:space="preserve">iduciary </w:t>
      </w:r>
      <w:r>
        <w:rPr>
          <w:rFonts w:ascii="Noto Sans" w:hAnsi="Noto Sans" w:cs="Arial"/>
          <w:sz w:val="20"/>
          <w:szCs w:val="20"/>
        </w:rPr>
        <w:t>m</w:t>
      </w:r>
      <w:r w:rsidRPr="00DC71CF">
        <w:rPr>
          <w:rFonts w:ascii="Noto Sans" w:hAnsi="Noto Sans" w:cs="Arial"/>
          <w:sz w:val="20"/>
          <w:szCs w:val="20"/>
        </w:rPr>
        <w:t xml:space="preserve">anager </w:t>
      </w:r>
      <w:r w:rsidR="00453DB1">
        <w:rPr>
          <w:rFonts w:ascii="Noto Sans" w:hAnsi="Noto Sans" w:cs="Arial"/>
          <w:sz w:val="20"/>
          <w:szCs w:val="20"/>
        </w:rPr>
        <w:t xml:space="preserve">also </w:t>
      </w:r>
      <w:r w:rsidRPr="00DC71CF">
        <w:rPr>
          <w:rFonts w:ascii="Noto Sans" w:hAnsi="Noto Sans" w:cs="Arial"/>
          <w:sz w:val="20"/>
          <w:szCs w:val="20"/>
        </w:rPr>
        <w:t xml:space="preserve">carried out a high level of engagement activities with the </w:t>
      </w:r>
      <w:r>
        <w:rPr>
          <w:rFonts w:ascii="Noto Sans" w:hAnsi="Noto Sans" w:cs="Arial"/>
          <w:sz w:val="20"/>
          <w:szCs w:val="20"/>
        </w:rPr>
        <w:t>management of investee companies</w:t>
      </w:r>
      <w:r w:rsidR="00A10C86">
        <w:rPr>
          <w:rFonts w:ascii="Noto Sans" w:hAnsi="Noto Sans" w:cs="Arial"/>
          <w:sz w:val="20"/>
          <w:szCs w:val="20"/>
        </w:rPr>
        <w:t xml:space="preserve"> across </w:t>
      </w:r>
      <w:r w:rsidR="006349DE">
        <w:rPr>
          <w:rFonts w:ascii="Noto Sans" w:hAnsi="Noto Sans" w:cs="Arial"/>
          <w:sz w:val="20"/>
          <w:szCs w:val="20"/>
        </w:rPr>
        <w:t>the Trustee</w:t>
      </w:r>
      <w:r w:rsidR="00163F68">
        <w:rPr>
          <w:rFonts w:ascii="Noto Sans" w:hAnsi="Noto Sans" w:cs="Arial"/>
          <w:sz w:val="20"/>
          <w:szCs w:val="20"/>
        </w:rPr>
        <w:t>s’</w:t>
      </w:r>
      <w:r w:rsidR="00A10C86">
        <w:rPr>
          <w:rFonts w:ascii="Noto Sans" w:hAnsi="Noto Sans" w:cs="Arial"/>
          <w:sz w:val="20"/>
          <w:szCs w:val="20"/>
        </w:rPr>
        <w:t xml:space="preserve"> six engagement themes, including progress on some </w:t>
      </w:r>
      <w:r w:rsidR="00A10C86" w:rsidRPr="00947810">
        <w:rPr>
          <w:rFonts w:ascii="Noto Sans" w:hAnsi="Noto Sans" w:cs="Arial"/>
          <w:sz w:val="20"/>
          <w:szCs w:val="20"/>
        </w:rPr>
        <w:t>issues</w:t>
      </w:r>
      <w:r w:rsidR="00453DB1" w:rsidRPr="00947810">
        <w:rPr>
          <w:rFonts w:ascii="Noto Sans" w:hAnsi="Noto Sans" w:cs="Arial"/>
          <w:sz w:val="20"/>
          <w:szCs w:val="20"/>
        </w:rPr>
        <w:t xml:space="preserve">, </w:t>
      </w:r>
      <w:r w:rsidR="00453DB1" w:rsidRPr="003E7256">
        <w:rPr>
          <w:rFonts w:ascii="Noto Sans" w:hAnsi="Noto Sans" w:cs="Arial"/>
          <w:sz w:val="20"/>
          <w:szCs w:val="20"/>
        </w:rPr>
        <w:t xml:space="preserve">where the holdings did not have voting rights attached. </w:t>
      </w:r>
      <w:r w:rsidR="00796CD8" w:rsidRPr="006E5111">
        <w:rPr>
          <w:rFonts w:ascii="Noto Sans" w:hAnsi="Noto Sans" w:cs="Arial"/>
          <w:b/>
          <w:sz w:val="20"/>
          <w:szCs w:val="20"/>
        </w:rPr>
        <w:br w:type="page"/>
      </w:r>
    </w:p>
    <w:p w14:paraId="63124E17" w14:textId="762A7D57" w:rsidR="007D043B" w:rsidRPr="00163F68" w:rsidRDefault="007D043B" w:rsidP="00163F68">
      <w:pPr>
        <w:pStyle w:val="ListParagraph"/>
        <w:numPr>
          <w:ilvl w:val="0"/>
          <w:numId w:val="11"/>
        </w:numPr>
        <w:autoSpaceDE w:val="0"/>
        <w:autoSpaceDN w:val="0"/>
        <w:adjustRightInd w:val="0"/>
        <w:spacing w:before="120" w:after="120" w:line="240" w:lineRule="auto"/>
        <w:rPr>
          <w:rFonts w:ascii="Noto Sans" w:hAnsi="Noto Sans" w:cs="Arial"/>
          <w:b/>
          <w:sz w:val="20"/>
          <w:szCs w:val="20"/>
        </w:rPr>
      </w:pPr>
      <w:r w:rsidRPr="00163F68">
        <w:rPr>
          <w:rFonts w:ascii="Noto Sans" w:hAnsi="Noto Sans" w:cs="Arial"/>
          <w:b/>
          <w:sz w:val="20"/>
          <w:szCs w:val="20"/>
        </w:rPr>
        <w:lastRenderedPageBreak/>
        <w:t xml:space="preserve">Voting </w:t>
      </w:r>
      <w:r w:rsidR="00F42D82">
        <w:rPr>
          <w:rFonts w:ascii="Noto Sans" w:hAnsi="Noto Sans" w:cs="Arial"/>
          <w:b/>
          <w:sz w:val="20"/>
          <w:szCs w:val="20"/>
        </w:rPr>
        <w:t xml:space="preserve">statistics </w:t>
      </w:r>
      <w:r w:rsidR="008B5A14">
        <w:rPr>
          <w:rFonts w:ascii="Noto Sans" w:hAnsi="Noto Sans" w:cs="Arial"/>
          <w:b/>
          <w:sz w:val="20"/>
          <w:szCs w:val="20"/>
        </w:rPr>
        <w:t xml:space="preserve">over the </w:t>
      </w:r>
      <w:r w:rsidR="00DA04B3">
        <w:rPr>
          <w:rFonts w:ascii="Noto Sans" w:hAnsi="Noto Sans" w:cs="Arial"/>
          <w:b/>
          <w:sz w:val="20"/>
          <w:szCs w:val="20"/>
        </w:rPr>
        <w:t>Plan</w:t>
      </w:r>
      <w:r w:rsidR="008B5A14">
        <w:rPr>
          <w:rFonts w:ascii="Noto Sans" w:hAnsi="Noto Sans" w:cs="Arial"/>
          <w:b/>
          <w:sz w:val="20"/>
          <w:szCs w:val="20"/>
        </w:rPr>
        <w:t xml:space="preserve"> Year </w:t>
      </w:r>
    </w:p>
    <w:p w14:paraId="0E7C9F46" w14:textId="4C52F92A" w:rsidR="00FB76BC" w:rsidRPr="00013846" w:rsidRDefault="00013846" w:rsidP="00D05E66">
      <w:pPr>
        <w:autoSpaceDE w:val="0"/>
        <w:autoSpaceDN w:val="0"/>
        <w:rPr>
          <w:rFonts w:ascii="Noto Sans" w:hAnsi="Noto Sans" w:cs="Arial"/>
          <w:sz w:val="20"/>
          <w:szCs w:val="20"/>
        </w:rPr>
      </w:pPr>
      <w:r w:rsidRPr="00013846">
        <w:rPr>
          <w:rFonts w:ascii="Noto Sans" w:hAnsi="Noto Sans" w:cs="Arial"/>
          <w:sz w:val="20"/>
          <w:szCs w:val="20"/>
        </w:rPr>
        <w:t>The</w:t>
      </w:r>
      <w:r>
        <w:rPr>
          <w:rFonts w:ascii="Noto Sans" w:hAnsi="Noto Sans" w:cs="Arial"/>
          <w:sz w:val="20"/>
          <w:szCs w:val="20"/>
        </w:rPr>
        <w:t xml:space="preserve"> Trustees have</w:t>
      </w:r>
      <w:r w:rsidRPr="00013846">
        <w:rPr>
          <w:rFonts w:ascii="Noto Sans" w:hAnsi="Noto Sans" w:cs="Arial"/>
          <w:sz w:val="20"/>
          <w:szCs w:val="20"/>
        </w:rPr>
        <w:t xml:space="preserve"> delegated</w:t>
      </w:r>
      <w:r>
        <w:rPr>
          <w:rFonts w:ascii="Noto Sans" w:hAnsi="Noto Sans" w:cs="Arial"/>
          <w:sz w:val="20"/>
          <w:szCs w:val="20"/>
        </w:rPr>
        <w:t xml:space="preserve"> the</w:t>
      </w:r>
      <w:r w:rsidRPr="00013846">
        <w:rPr>
          <w:rFonts w:ascii="Noto Sans" w:hAnsi="Noto Sans" w:cs="Arial"/>
          <w:sz w:val="20"/>
          <w:szCs w:val="20"/>
        </w:rPr>
        <w:t xml:space="preserve"> responsibility for voting on </w:t>
      </w:r>
      <w:r>
        <w:rPr>
          <w:rFonts w:ascii="Noto Sans" w:hAnsi="Noto Sans" w:cs="Arial"/>
          <w:sz w:val="20"/>
          <w:szCs w:val="20"/>
        </w:rPr>
        <w:t xml:space="preserve">their </w:t>
      </w:r>
      <w:r w:rsidRPr="00013846">
        <w:rPr>
          <w:rFonts w:ascii="Noto Sans" w:hAnsi="Noto Sans" w:cs="Arial"/>
          <w:sz w:val="20"/>
          <w:szCs w:val="20"/>
        </w:rPr>
        <w:t xml:space="preserve">behalf to the </w:t>
      </w:r>
      <w:r>
        <w:rPr>
          <w:rFonts w:ascii="Noto Sans" w:hAnsi="Noto Sans" w:cs="Arial"/>
          <w:sz w:val="20"/>
          <w:szCs w:val="20"/>
        </w:rPr>
        <w:t>f</w:t>
      </w:r>
      <w:r w:rsidRPr="00013846">
        <w:rPr>
          <w:rFonts w:ascii="Noto Sans" w:hAnsi="Noto Sans" w:cs="Arial"/>
          <w:sz w:val="20"/>
          <w:szCs w:val="20"/>
        </w:rPr>
        <w:t xml:space="preserve">iduciary </w:t>
      </w:r>
      <w:r>
        <w:rPr>
          <w:rFonts w:ascii="Noto Sans" w:hAnsi="Noto Sans" w:cs="Arial"/>
          <w:sz w:val="20"/>
          <w:szCs w:val="20"/>
        </w:rPr>
        <w:t>m</w:t>
      </w:r>
      <w:r w:rsidRPr="00013846">
        <w:rPr>
          <w:rFonts w:ascii="Noto Sans" w:hAnsi="Noto Sans" w:cs="Arial"/>
          <w:sz w:val="20"/>
          <w:szCs w:val="20"/>
        </w:rPr>
        <w:t xml:space="preserve">anager. Most voting rights associated with the </w:t>
      </w:r>
      <w:r w:rsidR="00DA04B3">
        <w:rPr>
          <w:rFonts w:ascii="Noto Sans" w:hAnsi="Noto Sans" w:cs="Arial"/>
          <w:sz w:val="20"/>
          <w:szCs w:val="20"/>
        </w:rPr>
        <w:t>Plan’s</w:t>
      </w:r>
      <w:r w:rsidRPr="00013846">
        <w:rPr>
          <w:rFonts w:ascii="Noto Sans" w:hAnsi="Noto Sans" w:cs="Arial"/>
          <w:sz w:val="20"/>
          <w:szCs w:val="20"/>
        </w:rPr>
        <w:t xml:space="preserve"> investments pertain to the underlying securities within the pooled funds managed by the </w:t>
      </w:r>
      <w:r>
        <w:rPr>
          <w:rFonts w:ascii="Noto Sans" w:hAnsi="Noto Sans" w:cs="Arial"/>
          <w:sz w:val="20"/>
          <w:szCs w:val="20"/>
        </w:rPr>
        <w:t>fiduciary manager</w:t>
      </w:r>
      <w:r w:rsidRPr="00013846">
        <w:rPr>
          <w:rFonts w:ascii="Noto Sans" w:hAnsi="Noto Sans" w:cs="Arial"/>
          <w:sz w:val="20"/>
          <w:szCs w:val="20"/>
        </w:rPr>
        <w:t xml:space="preserve">. In a general meeting of a company issuing these securities, the </w:t>
      </w:r>
      <w:r>
        <w:rPr>
          <w:rFonts w:ascii="Noto Sans" w:hAnsi="Noto Sans" w:cs="Arial"/>
          <w:sz w:val="20"/>
          <w:szCs w:val="20"/>
        </w:rPr>
        <w:t>fiduciary manager</w:t>
      </w:r>
      <w:r w:rsidRPr="00013846">
        <w:rPr>
          <w:rFonts w:ascii="Noto Sans" w:hAnsi="Noto Sans" w:cs="Arial"/>
          <w:sz w:val="20"/>
          <w:szCs w:val="20"/>
        </w:rPr>
        <w:t xml:space="preserve"> </w:t>
      </w:r>
      <w:r w:rsidR="00AA5093" w:rsidRPr="00013846">
        <w:rPr>
          <w:rFonts w:ascii="Noto Sans" w:hAnsi="Noto Sans" w:cs="Arial"/>
          <w:sz w:val="20"/>
          <w:szCs w:val="20"/>
        </w:rPr>
        <w:t>exercises</w:t>
      </w:r>
      <w:r w:rsidRPr="00013846">
        <w:rPr>
          <w:rFonts w:ascii="Noto Sans" w:hAnsi="Noto Sans" w:cs="Arial"/>
          <w:sz w:val="20"/>
          <w:szCs w:val="20"/>
        </w:rPr>
        <w:t xml:space="preserve"> </w:t>
      </w:r>
      <w:r w:rsidR="00E45FB0">
        <w:rPr>
          <w:rFonts w:ascii="Noto Sans" w:hAnsi="Noto Sans" w:cs="Arial"/>
          <w:sz w:val="20"/>
          <w:szCs w:val="20"/>
        </w:rPr>
        <w:t>its</w:t>
      </w:r>
      <w:r w:rsidRPr="00013846">
        <w:rPr>
          <w:rFonts w:ascii="Noto Sans" w:hAnsi="Noto Sans" w:cs="Arial"/>
          <w:sz w:val="20"/>
          <w:szCs w:val="20"/>
        </w:rPr>
        <w:t xml:space="preserve"> voting rights</w:t>
      </w:r>
      <w:r w:rsidR="00E45FB0">
        <w:rPr>
          <w:rFonts w:ascii="Noto Sans" w:hAnsi="Noto Sans" w:cs="Arial"/>
          <w:sz w:val="20"/>
          <w:szCs w:val="20"/>
        </w:rPr>
        <w:t xml:space="preserve"> on behalf of the Trustees</w:t>
      </w:r>
      <w:r w:rsidRPr="00013846">
        <w:rPr>
          <w:rFonts w:ascii="Noto Sans" w:hAnsi="Noto Sans" w:cs="Arial"/>
          <w:sz w:val="20"/>
          <w:szCs w:val="20"/>
        </w:rPr>
        <w:t xml:space="preserve"> according to </w:t>
      </w:r>
      <w:r>
        <w:rPr>
          <w:rFonts w:ascii="Noto Sans" w:hAnsi="Noto Sans" w:cs="Arial"/>
          <w:sz w:val="20"/>
          <w:szCs w:val="20"/>
        </w:rPr>
        <w:t>its</w:t>
      </w:r>
      <w:r w:rsidRPr="00013846">
        <w:rPr>
          <w:rFonts w:ascii="Noto Sans" w:hAnsi="Noto Sans" w:cs="Arial"/>
          <w:sz w:val="20"/>
          <w:szCs w:val="20"/>
        </w:rPr>
        <w:t xml:space="preserve"> own </w:t>
      </w:r>
      <w:r>
        <w:rPr>
          <w:rFonts w:ascii="Noto Sans" w:hAnsi="Noto Sans" w:cs="Arial"/>
          <w:sz w:val="20"/>
          <w:szCs w:val="20"/>
        </w:rPr>
        <w:t xml:space="preserve">voting </w:t>
      </w:r>
      <w:r w:rsidRPr="00013846">
        <w:rPr>
          <w:rFonts w:ascii="Noto Sans" w:hAnsi="Noto Sans" w:cs="Arial"/>
          <w:sz w:val="20"/>
          <w:szCs w:val="20"/>
        </w:rPr>
        <w:t>polic</w:t>
      </w:r>
      <w:r>
        <w:rPr>
          <w:rFonts w:ascii="Noto Sans" w:hAnsi="Noto Sans" w:cs="Arial"/>
          <w:sz w:val="20"/>
          <w:szCs w:val="20"/>
        </w:rPr>
        <w:t>y.</w:t>
      </w:r>
    </w:p>
    <w:p w14:paraId="5CAB0C0C" w14:textId="2870E7E2" w:rsidR="00D05E66" w:rsidRPr="00D05E66" w:rsidRDefault="00D05E66" w:rsidP="00D05E66">
      <w:pPr>
        <w:autoSpaceDE w:val="0"/>
        <w:autoSpaceDN w:val="0"/>
        <w:rPr>
          <w:rFonts w:ascii="Noto Sans" w:eastAsia="Noto Sans" w:hAnsi="Noto Sans" w:cs="Noto Sans"/>
          <w:b/>
          <w:color w:val="57C7CD"/>
          <w:sz w:val="20"/>
          <w:szCs w:val="20"/>
        </w:rPr>
      </w:pPr>
      <w:r w:rsidRPr="00D05E66">
        <w:rPr>
          <w:rFonts w:ascii="Noto Sans" w:eastAsia="Noto Sans" w:hAnsi="Noto Sans" w:cs="Noto Sans"/>
          <w:b/>
          <w:color w:val="57C7CD"/>
          <w:sz w:val="20"/>
          <w:szCs w:val="20"/>
        </w:rPr>
        <w:t>Summary of voting</w:t>
      </w:r>
    </w:p>
    <w:p w14:paraId="51808451" w14:textId="42B20B5B" w:rsidR="005972B4" w:rsidRDefault="00C678E9" w:rsidP="009122A7">
      <w:pPr>
        <w:spacing w:before="120" w:after="120"/>
        <w:rPr>
          <w:rFonts w:ascii="Noto Sans" w:hAnsi="Noto Sans" w:cs="Arial"/>
          <w:sz w:val="20"/>
          <w:szCs w:val="20"/>
        </w:rPr>
      </w:pPr>
      <w:r w:rsidRPr="00C678E9">
        <w:rPr>
          <w:rFonts w:ascii="Noto Sans" w:hAnsi="Noto Sans" w:cs="Arial"/>
          <w:sz w:val="20"/>
          <w:szCs w:val="20"/>
        </w:rPr>
        <w:t xml:space="preserve">Only the </w:t>
      </w:r>
      <w:r w:rsidR="00DA04B3">
        <w:rPr>
          <w:rFonts w:ascii="Noto Sans" w:hAnsi="Noto Sans" w:cs="Arial"/>
          <w:sz w:val="20"/>
          <w:szCs w:val="20"/>
        </w:rPr>
        <w:t>Plan’s</w:t>
      </w:r>
      <w:r>
        <w:rPr>
          <w:rFonts w:ascii="Noto Sans" w:hAnsi="Noto Sans" w:cs="Arial"/>
          <w:sz w:val="20"/>
          <w:szCs w:val="20"/>
        </w:rPr>
        <w:t xml:space="preserve"> Diversified Growth Fund </w:t>
      </w:r>
      <w:r w:rsidRPr="00C678E9">
        <w:rPr>
          <w:rFonts w:ascii="Noto Sans" w:hAnsi="Noto Sans" w:cs="Arial"/>
          <w:sz w:val="20"/>
          <w:szCs w:val="20"/>
        </w:rPr>
        <w:t>invest</w:t>
      </w:r>
      <w:r w:rsidR="007D3E84">
        <w:rPr>
          <w:rFonts w:ascii="Noto Sans" w:hAnsi="Noto Sans" w:cs="Arial"/>
          <w:sz w:val="20"/>
          <w:szCs w:val="20"/>
        </w:rPr>
        <w:t>s</w:t>
      </w:r>
      <w:r w:rsidRPr="00C678E9">
        <w:rPr>
          <w:rFonts w:ascii="Noto Sans" w:hAnsi="Noto Sans" w:cs="Arial"/>
          <w:sz w:val="20"/>
          <w:szCs w:val="20"/>
        </w:rPr>
        <w:t xml:space="preserve"> in assets with voting rights attached. </w:t>
      </w:r>
      <w:r w:rsidR="00AC18BF">
        <w:rPr>
          <w:rFonts w:ascii="Noto Sans" w:hAnsi="Noto Sans" w:cs="Arial"/>
          <w:sz w:val="20"/>
          <w:szCs w:val="20"/>
        </w:rPr>
        <w:t>The table below</w:t>
      </w:r>
      <w:r w:rsidR="00811A77">
        <w:rPr>
          <w:rFonts w:ascii="Noto Sans" w:hAnsi="Noto Sans" w:cs="Arial"/>
          <w:sz w:val="20"/>
          <w:szCs w:val="20"/>
        </w:rPr>
        <w:t xml:space="preserve"> summarise</w:t>
      </w:r>
      <w:r w:rsidR="00AC18BF">
        <w:rPr>
          <w:rFonts w:ascii="Noto Sans" w:hAnsi="Noto Sans" w:cs="Arial"/>
          <w:sz w:val="20"/>
          <w:szCs w:val="20"/>
        </w:rPr>
        <w:t>s</w:t>
      </w:r>
      <w:r w:rsidR="00811A77">
        <w:rPr>
          <w:rFonts w:ascii="Noto Sans" w:hAnsi="Noto Sans" w:cs="Arial"/>
          <w:sz w:val="20"/>
          <w:szCs w:val="20"/>
        </w:rPr>
        <w:t xml:space="preserve"> the fiduciary manager’s voting behavi</w:t>
      </w:r>
      <w:r w:rsidR="005E0D07">
        <w:rPr>
          <w:rFonts w:ascii="Noto Sans" w:hAnsi="Noto Sans" w:cs="Arial"/>
          <w:sz w:val="20"/>
          <w:szCs w:val="20"/>
        </w:rPr>
        <w:t>our</w:t>
      </w:r>
      <w:r w:rsidR="00811A77">
        <w:rPr>
          <w:rFonts w:ascii="Noto Sans" w:hAnsi="Noto Sans" w:cs="Arial"/>
          <w:sz w:val="20"/>
          <w:szCs w:val="20"/>
        </w:rPr>
        <w:t xml:space="preserve"> over the </w:t>
      </w:r>
      <w:r w:rsidR="003B31D0">
        <w:rPr>
          <w:rFonts w:ascii="Noto Sans" w:hAnsi="Noto Sans" w:cs="Arial"/>
          <w:sz w:val="20"/>
          <w:szCs w:val="20"/>
        </w:rPr>
        <w:t xml:space="preserve">12 months period to </w:t>
      </w:r>
      <w:r w:rsidR="007D3E84">
        <w:rPr>
          <w:rFonts w:ascii="Noto Sans" w:hAnsi="Noto Sans" w:cs="Arial"/>
          <w:sz w:val="20"/>
          <w:szCs w:val="20"/>
        </w:rPr>
        <w:t>30 June</w:t>
      </w:r>
      <w:r w:rsidR="003B31D0">
        <w:rPr>
          <w:rFonts w:ascii="Noto Sans" w:hAnsi="Noto Sans" w:cs="Arial"/>
          <w:sz w:val="20"/>
          <w:szCs w:val="20"/>
        </w:rPr>
        <w:t xml:space="preserve"> 2025</w:t>
      </w:r>
      <w:r w:rsidR="009122A7">
        <w:rPr>
          <w:rFonts w:ascii="Noto Sans" w:hAnsi="Noto Sans" w:cs="Arial"/>
          <w:sz w:val="20"/>
          <w:szCs w:val="20"/>
        </w:rPr>
        <w:t xml:space="preserve">. </w:t>
      </w:r>
      <w:r w:rsidR="009122A7" w:rsidRPr="009122A7">
        <w:rPr>
          <w:rFonts w:ascii="Noto Sans" w:hAnsi="Noto Sans" w:cs="Arial"/>
          <w:sz w:val="20"/>
          <w:szCs w:val="20"/>
        </w:rPr>
        <w:t xml:space="preserve">The fiduciary manager’s voting policies </w:t>
      </w:r>
      <w:r w:rsidR="00AA5093">
        <w:rPr>
          <w:rFonts w:ascii="Noto Sans" w:hAnsi="Noto Sans" w:cs="Arial"/>
          <w:sz w:val="20"/>
          <w:szCs w:val="20"/>
        </w:rPr>
        <w:t>can be found in the appendix</w:t>
      </w:r>
      <w:r w:rsidR="009122A7" w:rsidRPr="009122A7">
        <w:rPr>
          <w:rFonts w:ascii="Noto Sans" w:hAnsi="Noto Sans" w:cs="Arial"/>
          <w:sz w:val="20"/>
          <w:szCs w:val="20"/>
        </w:rPr>
        <w:t>.</w:t>
      </w:r>
    </w:p>
    <w:tbl>
      <w:tblPr>
        <w:tblStyle w:val="RMTable"/>
        <w:tblW w:w="7230" w:type="dxa"/>
        <w:jc w:val="center"/>
        <w:tblLayout w:type="fixed"/>
        <w:tblLook w:val="04A0" w:firstRow="1" w:lastRow="0" w:firstColumn="1" w:lastColumn="0" w:noHBand="0" w:noVBand="1"/>
      </w:tblPr>
      <w:tblGrid>
        <w:gridCol w:w="4962"/>
        <w:gridCol w:w="2268"/>
      </w:tblGrid>
      <w:tr w:rsidR="00947810" w:rsidRPr="003E7256" w14:paraId="651BC80A" w14:textId="77777777" w:rsidTr="00C513A9">
        <w:trPr>
          <w:cnfStyle w:val="100000000000" w:firstRow="1" w:lastRow="0" w:firstColumn="0" w:lastColumn="0" w:oddVBand="0" w:evenVBand="0" w:oddHBand="0" w:evenHBand="0" w:firstRowFirstColumn="0" w:firstRowLastColumn="0" w:lastRowFirstColumn="0" w:lastRowLastColumn="0"/>
          <w:trHeight w:val="572"/>
          <w:jc w:val="center"/>
        </w:trPr>
        <w:tc>
          <w:tcPr>
            <w:tcW w:w="4962" w:type="dxa"/>
            <w:tcBorders>
              <w:bottom w:val="single" w:sz="4" w:space="0" w:color="FFFFFF" w:themeColor="background1"/>
            </w:tcBorders>
            <w:shd w:val="clear" w:color="auto" w:fill="4F81BD" w:themeFill="accent1"/>
            <w:noWrap/>
            <w:vAlign w:val="center"/>
          </w:tcPr>
          <w:p w14:paraId="73C7E071" w14:textId="5A1CD892" w:rsidR="00947810" w:rsidRPr="003E7256" w:rsidRDefault="00947810" w:rsidP="003B31D0">
            <w:pPr>
              <w:pStyle w:val="RMbody"/>
              <w:rPr>
                <w:rFonts w:ascii="Noto Sans" w:hAnsi="Noto Sans"/>
                <w:b/>
                <w:color w:val="FFFFFF" w:themeColor="background1"/>
                <w:sz w:val="20"/>
                <w:szCs w:val="20"/>
              </w:rPr>
            </w:pPr>
            <w:r w:rsidRPr="003E7256">
              <w:rPr>
                <w:rFonts w:ascii="Noto Sans" w:hAnsi="Noto Sans" w:cstheme="minorHAnsi"/>
                <w:b/>
                <w:bCs/>
                <w:color w:val="FFFFFF" w:themeColor="background1"/>
                <w:sz w:val="20"/>
                <w:szCs w:val="20"/>
              </w:rPr>
              <w:t>Funds where voting is relevant</w:t>
            </w:r>
          </w:p>
        </w:tc>
        <w:tc>
          <w:tcPr>
            <w:tcW w:w="2268" w:type="dxa"/>
            <w:tcBorders>
              <w:bottom w:val="none" w:sz="0" w:space="0" w:color="auto"/>
            </w:tcBorders>
            <w:shd w:val="clear" w:color="auto" w:fill="4F81BD" w:themeFill="accent1"/>
            <w:vAlign w:val="center"/>
          </w:tcPr>
          <w:p w14:paraId="3992B463" w14:textId="77777777" w:rsidR="00947810" w:rsidRPr="003E7256" w:rsidRDefault="00947810" w:rsidP="00381BAB">
            <w:pPr>
              <w:pStyle w:val="RMbody"/>
              <w:jc w:val="center"/>
              <w:rPr>
                <w:rFonts w:ascii="Noto Sans" w:hAnsi="Noto Sans"/>
                <w:b/>
                <w:color w:val="FFFFFF" w:themeColor="background1"/>
                <w:sz w:val="20"/>
                <w:szCs w:val="20"/>
              </w:rPr>
            </w:pPr>
            <w:r w:rsidRPr="003E7256">
              <w:rPr>
                <w:rFonts w:ascii="Noto Sans" w:hAnsi="Noto Sans"/>
                <w:b/>
                <w:color w:val="FFFFFF" w:themeColor="background1"/>
                <w:sz w:val="20"/>
                <w:szCs w:val="20"/>
              </w:rPr>
              <w:t xml:space="preserve">Schroders </w:t>
            </w:r>
          </w:p>
          <w:p w14:paraId="7F0FBEBC" w14:textId="38C00528" w:rsidR="00947810" w:rsidRPr="003E7256" w:rsidRDefault="00947810" w:rsidP="00381BAB">
            <w:pPr>
              <w:pStyle w:val="RMbody"/>
              <w:jc w:val="center"/>
              <w:rPr>
                <w:rFonts w:ascii="Noto Sans" w:hAnsi="Noto Sans"/>
                <w:b/>
                <w:color w:val="FFFFFF" w:themeColor="background1"/>
                <w:sz w:val="20"/>
                <w:szCs w:val="20"/>
                <w:highlight w:val="green"/>
              </w:rPr>
            </w:pPr>
            <w:r w:rsidRPr="003E7256">
              <w:rPr>
                <w:rFonts w:ascii="Noto Sans" w:hAnsi="Noto Sans"/>
                <w:b/>
                <w:color w:val="FFFFFF" w:themeColor="background1"/>
                <w:sz w:val="20"/>
                <w:szCs w:val="20"/>
              </w:rPr>
              <w:t>Diversified Growth Fund</w:t>
            </w:r>
          </w:p>
        </w:tc>
      </w:tr>
      <w:tr w:rsidR="00947810" w:rsidRPr="003E7256" w14:paraId="25F3C961" w14:textId="77777777" w:rsidTr="00C513A9">
        <w:trPr>
          <w:trHeight w:val="471"/>
          <w:jc w:val="center"/>
        </w:trPr>
        <w:tc>
          <w:tcPr>
            <w:tcW w:w="4962" w:type="dxa"/>
            <w:noWrap/>
            <w:vAlign w:val="center"/>
            <w:hideMark/>
          </w:tcPr>
          <w:p w14:paraId="75D60CB5" w14:textId="77777777" w:rsidR="00947810" w:rsidRPr="003E7256" w:rsidRDefault="00947810" w:rsidP="003B31D0">
            <w:pPr>
              <w:pStyle w:val="RMbody"/>
              <w:rPr>
                <w:rFonts w:ascii="Noto Sans" w:hAnsi="Noto Sans" w:cstheme="minorHAnsi"/>
                <w:sz w:val="20"/>
                <w:szCs w:val="20"/>
              </w:rPr>
            </w:pPr>
            <w:r w:rsidRPr="003E7256">
              <w:rPr>
                <w:rFonts w:ascii="Noto Sans" w:hAnsi="Noto Sans" w:cstheme="minorHAnsi"/>
                <w:sz w:val="20"/>
                <w:szCs w:val="20"/>
              </w:rPr>
              <w:t>Total meetings eligible to vote</w:t>
            </w:r>
          </w:p>
        </w:tc>
        <w:tc>
          <w:tcPr>
            <w:tcW w:w="2268" w:type="dxa"/>
            <w:vAlign w:val="center"/>
          </w:tcPr>
          <w:p w14:paraId="2FB27D3B" w14:textId="175448E1" w:rsidR="00947810" w:rsidRPr="003E7256" w:rsidRDefault="00947810" w:rsidP="00381BAB">
            <w:pPr>
              <w:pStyle w:val="RMbody"/>
              <w:jc w:val="center"/>
              <w:rPr>
                <w:rFonts w:ascii="Noto Sans" w:hAnsi="Noto Sans"/>
                <w:sz w:val="20"/>
                <w:szCs w:val="20"/>
              </w:rPr>
            </w:pPr>
            <w:r w:rsidRPr="003E7256">
              <w:rPr>
                <w:rFonts w:ascii="Noto Sans" w:hAnsi="Noto Sans"/>
                <w:sz w:val="20"/>
                <w:szCs w:val="20"/>
              </w:rPr>
              <w:t>1</w:t>
            </w:r>
            <w:r w:rsidR="00DC10A4">
              <w:rPr>
                <w:rFonts w:ascii="Noto Sans" w:hAnsi="Noto Sans"/>
                <w:sz w:val="20"/>
                <w:szCs w:val="20"/>
              </w:rPr>
              <w:t>,280</w:t>
            </w:r>
          </w:p>
        </w:tc>
      </w:tr>
      <w:tr w:rsidR="00947810" w:rsidRPr="003E7256" w14:paraId="2E3A9634" w14:textId="77777777" w:rsidTr="00C513A9">
        <w:trPr>
          <w:cnfStyle w:val="000000010000" w:firstRow="0" w:lastRow="0" w:firstColumn="0" w:lastColumn="0" w:oddVBand="0" w:evenVBand="0" w:oddHBand="0" w:evenHBand="1" w:firstRowFirstColumn="0" w:firstRowLastColumn="0" w:lastRowFirstColumn="0" w:lastRowLastColumn="0"/>
          <w:trHeight w:val="471"/>
          <w:jc w:val="center"/>
        </w:trPr>
        <w:tc>
          <w:tcPr>
            <w:tcW w:w="4962" w:type="dxa"/>
            <w:noWrap/>
            <w:vAlign w:val="center"/>
            <w:hideMark/>
          </w:tcPr>
          <w:p w14:paraId="148162FC" w14:textId="77777777" w:rsidR="00947810" w:rsidRPr="003E7256" w:rsidRDefault="00947810" w:rsidP="003B31D0">
            <w:pPr>
              <w:pStyle w:val="RMbody"/>
              <w:rPr>
                <w:rFonts w:ascii="Noto Sans" w:hAnsi="Noto Sans" w:cstheme="minorHAnsi"/>
                <w:sz w:val="20"/>
                <w:szCs w:val="20"/>
              </w:rPr>
            </w:pPr>
            <w:r w:rsidRPr="003E7256">
              <w:rPr>
                <w:rFonts w:ascii="Noto Sans" w:hAnsi="Noto Sans" w:cstheme="minorHAnsi"/>
                <w:sz w:val="20"/>
                <w:szCs w:val="20"/>
              </w:rPr>
              <w:t>Total resolutions eligible to vote</w:t>
            </w:r>
          </w:p>
        </w:tc>
        <w:tc>
          <w:tcPr>
            <w:tcW w:w="2268" w:type="dxa"/>
            <w:vAlign w:val="center"/>
          </w:tcPr>
          <w:p w14:paraId="42BF21BB" w14:textId="410D703A" w:rsidR="00947810" w:rsidRPr="003E7256" w:rsidRDefault="00947810" w:rsidP="00381BAB">
            <w:pPr>
              <w:pStyle w:val="RMbody"/>
              <w:jc w:val="center"/>
              <w:rPr>
                <w:rFonts w:ascii="Noto Sans" w:hAnsi="Noto Sans"/>
                <w:sz w:val="20"/>
                <w:szCs w:val="20"/>
              </w:rPr>
            </w:pPr>
            <w:r w:rsidRPr="003E7256">
              <w:rPr>
                <w:rFonts w:ascii="Noto Sans" w:hAnsi="Noto Sans"/>
                <w:sz w:val="20"/>
                <w:szCs w:val="20"/>
              </w:rPr>
              <w:t>16,</w:t>
            </w:r>
            <w:r w:rsidR="00DC10A4">
              <w:rPr>
                <w:rFonts w:ascii="Noto Sans" w:hAnsi="Noto Sans"/>
                <w:sz w:val="20"/>
                <w:szCs w:val="20"/>
              </w:rPr>
              <w:t>778</w:t>
            </w:r>
          </w:p>
        </w:tc>
      </w:tr>
      <w:tr w:rsidR="00947810" w:rsidRPr="003E7256" w14:paraId="4581F45A" w14:textId="77777777" w:rsidTr="00C513A9">
        <w:trPr>
          <w:trHeight w:val="471"/>
          <w:jc w:val="center"/>
        </w:trPr>
        <w:tc>
          <w:tcPr>
            <w:tcW w:w="4962" w:type="dxa"/>
            <w:noWrap/>
            <w:vAlign w:val="center"/>
            <w:hideMark/>
          </w:tcPr>
          <w:p w14:paraId="18A11DF0" w14:textId="77777777" w:rsidR="00947810" w:rsidRPr="003E7256" w:rsidRDefault="00947810" w:rsidP="003B31D0">
            <w:pPr>
              <w:pStyle w:val="RMbody"/>
              <w:rPr>
                <w:rFonts w:ascii="Noto Sans" w:hAnsi="Noto Sans" w:cstheme="minorHAnsi"/>
                <w:sz w:val="20"/>
                <w:szCs w:val="20"/>
              </w:rPr>
            </w:pPr>
            <w:r w:rsidRPr="003E7256">
              <w:rPr>
                <w:rFonts w:ascii="Noto Sans" w:hAnsi="Noto Sans" w:cstheme="minorHAnsi"/>
                <w:sz w:val="20"/>
                <w:szCs w:val="20"/>
              </w:rPr>
              <w:t xml:space="preserve">Of resolutions eligible to vote, % of resolutions voted on </w:t>
            </w:r>
          </w:p>
        </w:tc>
        <w:tc>
          <w:tcPr>
            <w:tcW w:w="2268" w:type="dxa"/>
            <w:vAlign w:val="center"/>
          </w:tcPr>
          <w:p w14:paraId="780639E1" w14:textId="791D1B80" w:rsidR="00947810" w:rsidRPr="003E7256" w:rsidRDefault="00DC10A4" w:rsidP="00381BAB">
            <w:pPr>
              <w:pStyle w:val="RMbody"/>
              <w:jc w:val="center"/>
              <w:rPr>
                <w:rFonts w:ascii="Noto Sans" w:hAnsi="Noto Sans"/>
                <w:sz w:val="20"/>
                <w:szCs w:val="20"/>
              </w:rPr>
            </w:pPr>
            <w:r>
              <w:rPr>
                <w:rFonts w:ascii="Noto Sans" w:hAnsi="Noto Sans"/>
                <w:sz w:val="20"/>
                <w:szCs w:val="20"/>
              </w:rPr>
              <w:t>94.5</w:t>
            </w:r>
            <w:r w:rsidR="00947810" w:rsidRPr="003E7256">
              <w:rPr>
                <w:rFonts w:ascii="Noto Sans" w:hAnsi="Noto Sans"/>
                <w:sz w:val="20"/>
                <w:szCs w:val="20"/>
              </w:rPr>
              <w:t>%</w:t>
            </w:r>
          </w:p>
        </w:tc>
      </w:tr>
      <w:tr w:rsidR="00947810" w:rsidRPr="003E7256" w14:paraId="2C155830" w14:textId="77777777" w:rsidTr="00C513A9">
        <w:trPr>
          <w:cnfStyle w:val="000000010000" w:firstRow="0" w:lastRow="0" w:firstColumn="0" w:lastColumn="0" w:oddVBand="0" w:evenVBand="0" w:oddHBand="0" w:evenHBand="1" w:firstRowFirstColumn="0" w:firstRowLastColumn="0" w:lastRowFirstColumn="0" w:lastRowLastColumn="0"/>
          <w:trHeight w:val="471"/>
          <w:jc w:val="center"/>
        </w:trPr>
        <w:tc>
          <w:tcPr>
            <w:tcW w:w="4962" w:type="dxa"/>
            <w:noWrap/>
            <w:vAlign w:val="center"/>
            <w:hideMark/>
          </w:tcPr>
          <w:p w14:paraId="2587EE9F" w14:textId="77777777" w:rsidR="00947810" w:rsidRPr="003E7256" w:rsidRDefault="00947810" w:rsidP="003B31D0">
            <w:pPr>
              <w:pStyle w:val="RMbody"/>
              <w:rPr>
                <w:rFonts w:ascii="Noto Sans" w:hAnsi="Noto Sans" w:cstheme="minorHAnsi"/>
                <w:sz w:val="20"/>
                <w:szCs w:val="20"/>
              </w:rPr>
            </w:pPr>
            <w:r w:rsidRPr="003E7256">
              <w:rPr>
                <w:rFonts w:ascii="Noto Sans" w:hAnsi="Noto Sans" w:cstheme="minorHAnsi"/>
                <w:sz w:val="20"/>
                <w:szCs w:val="20"/>
              </w:rPr>
              <w:t xml:space="preserve">Of voted resolutions, % vote with management </w:t>
            </w:r>
          </w:p>
        </w:tc>
        <w:tc>
          <w:tcPr>
            <w:tcW w:w="2268" w:type="dxa"/>
            <w:vAlign w:val="center"/>
          </w:tcPr>
          <w:p w14:paraId="6ADA2000" w14:textId="6D46E936" w:rsidR="00947810" w:rsidRPr="003E7256" w:rsidRDefault="00DC10A4" w:rsidP="00381BAB">
            <w:pPr>
              <w:pStyle w:val="RMbody"/>
              <w:jc w:val="center"/>
              <w:rPr>
                <w:rFonts w:ascii="Noto Sans" w:hAnsi="Noto Sans"/>
                <w:sz w:val="20"/>
                <w:szCs w:val="20"/>
              </w:rPr>
            </w:pPr>
            <w:r>
              <w:rPr>
                <w:rFonts w:ascii="Noto Sans" w:hAnsi="Noto Sans"/>
                <w:sz w:val="20"/>
                <w:szCs w:val="20"/>
              </w:rPr>
              <w:t>89.5</w:t>
            </w:r>
            <w:r w:rsidR="00947810" w:rsidRPr="003E7256">
              <w:rPr>
                <w:rFonts w:ascii="Noto Sans" w:hAnsi="Noto Sans"/>
                <w:sz w:val="20"/>
                <w:szCs w:val="20"/>
              </w:rPr>
              <w:t>%</w:t>
            </w:r>
          </w:p>
        </w:tc>
      </w:tr>
      <w:tr w:rsidR="00947810" w:rsidRPr="003E7256" w14:paraId="086D499D" w14:textId="77777777" w:rsidTr="00C513A9">
        <w:trPr>
          <w:trHeight w:val="471"/>
          <w:jc w:val="center"/>
        </w:trPr>
        <w:tc>
          <w:tcPr>
            <w:tcW w:w="4962" w:type="dxa"/>
            <w:noWrap/>
            <w:vAlign w:val="center"/>
          </w:tcPr>
          <w:p w14:paraId="49E4F39E" w14:textId="77777777" w:rsidR="00947810" w:rsidRPr="003E7256" w:rsidRDefault="00947810" w:rsidP="003B31D0">
            <w:pPr>
              <w:pStyle w:val="RMbody"/>
              <w:rPr>
                <w:rFonts w:ascii="Noto Sans" w:hAnsi="Noto Sans" w:cstheme="minorHAnsi"/>
                <w:sz w:val="20"/>
                <w:szCs w:val="20"/>
              </w:rPr>
            </w:pPr>
            <w:r w:rsidRPr="003E7256">
              <w:rPr>
                <w:rFonts w:ascii="Noto Sans" w:hAnsi="Noto Sans" w:cstheme="minorHAnsi"/>
                <w:sz w:val="20"/>
                <w:szCs w:val="20"/>
              </w:rPr>
              <w:t>Of voted resolutions, % vote against management</w:t>
            </w:r>
          </w:p>
        </w:tc>
        <w:tc>
          <w:tcPr>
            <w:tcW w:w="2268" w:type="dxa"/>
            <w:vAlign w:val="center"/>
          </w:tcPr>
          <w:p w14:paraId="6F62C77E" w14:textId="24667496" w:rsidR="00947810" w:rsidRPr="003E7256" w:rsidRDefault="00947810" w:rsidP="00381BAB">
            <w:pPr>
              <w:pStyle w:val="RMbody"/>
              <w:jc w:val="center"/>
              <w:rPr>
                <w:rFonts w:ascii="Noto Sans" w:hAnsi="Noto Sans"/>
                <w:sz w:val="20"/>
                <w:szCs w:val="20"/>
              </w:rPr>
            </w:pPr>
            <w:r w:rsidRPr="003E7256">
              <w:rPr>
                <w:rFonts w:ascii="Noto Sans" w:hAnsi="Noto Sans"/>
                <w:sz w:val="20"/>
                <w:szCs w:val="20"/>
              </w:rPr>
              <w:t>10.5%</w:t>
            </w:r>
          </w:p>
        </w:tc>
      </w:tr>
      <w:tr w:rsidR="00947810" w:rsidRPr="003E7256" w14:paraId="50702E4D" w14:textId="77777777" w:rsidTr="00C513A9">
        <w:trPr>
          <w:cnfStyle w:val="000000010000" w:firstRow="0" w:lastRow="0" w:firstColumn="0" w:lastColumn="0" w:oddVBand="0" w:evenVBand="0" w:oddHBand="0" w:evenHBand="1" w:firstRowFirstColumn="0" w:firstRowLastColumn="0" w:lastRowFirstColumn="0" w:lastRowLastColumn="0"/>
          <w:trHeight w:val="471"/>
          <w:jc w:val="center"/>
        </w:trPr>
        <w:tc>
          <w:tcPr>
            <w:tcW w:w="4962" w:type="dxa"/>
            <w:noWrap/>
            <w:vAlign w:val="center"/>
          </w:tcPr>
          <w:p w14:paraId="63ADB88A" w14:textId="77777777" w:rsidR="00947810" w:rsidRPr="003E7256" w:rsidRDefault="00947810" w:rsidP="003B31D0">
            <w:pPr>
              <w:pStyle w:val="RMbody"/>
              <w:rPr>
                <w:rFonts w:ascii="Noto Sans" w:hAnsi="Noto Sans" w:cstheme="minorHAnsi"/>
                <w:sz w:val="20"/>
                <w:szCs w:val="20"/>
              </w:rPr>
            </w:pPr>
            <w:r w:rsidRPr="003E7256">
              <w:rPr>
                <w:rFonts w:ascii="Noto Sans" w:hAnsi="Noto Sans" w:cstheme="minorHAnsi"/>
                <w:sz w:val="20"/>
                <w:szCs w:val="20"/>
              </w:rPr>
              <w:t>Of voted resolutions, % abstained</w:t>
            </w:r>
          </w:p>
        </w:tc>
        <w:tc>
          <w:tcPr>
            <w:tcW w:w="2268" w:type="dxa"/>
            <w:vAlign w:val="center"/>
          </w:tcPr>
          <w:p w14:paraId="1A8D824B" w14:textId="5C4F936E" w:rsidR="00947810" w:rsidRPr="003E7256" w:rsidRDefault="00DC10A4" w:rsidP="00381BAB">
            <w:pPr>
              <w:pStyle w:val="RMbody"/>
              <w:jc w:val="center"/>
              <w:rPr>
                <w:rFonts w:ascii="Noto Sans" w:hAnsi="Noto Sans"/>
                <w:sz w:val="20"/>
                <w:szCs w:val="20"/>
              </w:rPr>
            </w:pPr>
            <w:r>
              <w:rPr>
                <w:rFonts w:ascii="Noto Sans" w:hAnsi="Noto Sans"/>
                <w:sz w:val="20"/>
                <w:szCs w:val="20"/>
              </w:rPr>
              <w:t>0.1</w:t>
            </w:r>
            <w:r w:rsidR="00947810" w:rsidRPr="003E7256">
              <w:rPr>
                <w:rFonts w:ascii="Noto Sans" w:hAnsi="Noto Sans"/>
                <w:sz w:val="20"/>
                <w:szCs w:val="20"/>
              </w:rPr>
              <w:t>%</w:t>
            </w:r>
          </w:p>
        </w:tc>
      </w:tr>
      <w:tr w:rsidR="00947810" w:rsidRPr="003E7256" w14:paraId="1D1B5E2D" w14:textId="77777777" w:rsidTr="00C513A9">
        <w:trPr>
          <w:trHeight w:val="471"/>
          <w:jc w:val="center"/>
        </w:trPr>
        <w:tc>
          <w:tcPr>
            <w:tcW w:w="4962" w:type="dxa"/>
            <w:noWrap/>
            <w:vAlign w:val="center"/>
          </w:tcPr>
          <w:p w14:paraId="7AAD2054" w14:textId="77777777" w:rsidR="00947810" w:rsidRPr="003E7256" w:rsidRDefault="00947810" w:rsidP="003B31D0">
            <w:pPr>
              <w:pStyle w:val="RMbody"/>
              <w:rPr>
                <w:rFonts w:ascii="Noto Sans" w:hAnsi="Noto Sans" w:cstheme="minorHAnsi"/>
                <w:sz w:val="20"/>
                <w:szCs w:val="20"/>
              </w:rPr>
            </w:pPr>
            <w:r w:rsidRPr="003E7256">
              <w:rPr>
                <w:rFonts w:ascii="Noto Sans" w:hAnsi="Noto Sans" w:cstheme="minorHAnsi"/>
                <w:sz w:val="20"/>
                <w:szCs w:val="20"/>
              </w:rPr>
              <w:t>Of voted resolutions, % vote contrary to the recommendation of proxy adviser (if applicable)</w:t>
            </w:r>
          </w:p>
        </w:tc>
        <w:tc>
          <w:tcPr>
            <w:tcW w:w="2268" w:type="dxa"/>
            <w:vAlign w:val="center"/>
          </w:tcPr>
          <w:p w14:paraId="5EBE26FB" w14:textId="421073E2" w:rsidR="00947810" w:rsidRPr="003E7256" w:rsidRDefault="00DC10A4" w:rsidP="00381BAB">
            <w:pPr>
              <w:pStyle w:val="RMbody"/>
              <w:jc w:val="center"/>
              <w:rPr>
                <w:rFonts w:ascii="Noto Sans" w:hAnsi="Noto Sans"/>
                <w:sz w:val="20"/>
                <w:szCs w:val="20"/>
              </w:rPr>
            </w:pPr>
            <w:r>
              <w:rPr>
                <w:rFonts w:ascii="Noto Sans" w:hAnsi="Noto Sans"/>
                <w:sz w:val="20"/>
                <w:szCs w:val="20"/>
              </w:rPr>
              <w:t>8.5</w:t>
            </w:r>
            <w:r w:rsidR="00947810" w:rsidRPr="003E7256">
              <w:rPr>
                <w:rFonts w:ascii="Noto Sans" w:hAnsi="Noto Sans"/>
                <w:sz w:val="20"/>
                <w:szCs w:val="20"/>
              </w:rPr>
              <w:t>%</w:t>
            </w:r>
          </w:p>
        </w:tc>
      </w:tr>
    </w:tbl>
    <w:p w14:paraId="402B4A1F" w14:textId="77777777" w:rsidR="00E30E81" w:rsidRDefault="00E30E81" w:rsidP="00E30E81">
      <w:pPr>
        <w:autoSpaceDE w:val="0"/>
        <w:autoSpaceDN w:val="0"/>
        <w:rPr>
          <w:rFonts w:ascii="Noto Sans" w:eastAsia="Noto Sans" w:hAnsi="Noto Sans" w:cs="Noto Sans"/>
          <w:b/>
          <w:color w:val="57C7CD"/>
          <w:sz w:val="20"/>
          <w:szCs w:val="20"/>
        </w:rPr>
      </w:pPr>
    </w:p>
    <w:p w14:paraId="146CBA68" w14:textId="77777777" w:rsidR="00E30E81" w:rsidRDefault="009F6724" w:rsidP="00E30E81">
      <w:pPr>
        <w:autoSpaceDE w:val="0"/>
        <w:autoSpaceDN w:val="0"/>
        <w:rPr>
          <w:rFonts w:ascii="Noto Sans" w:eastAsia="Noto Sans" w:hAnsi="Noto Sans" w:cs="Noto Sans"/>
          <w:b/>
          <w:color w:val="57C7CD"/>
          <w:sz w:val="20"/>
          <w:szCs w:val="20"/>
        </w:rPr>
      </w:pPr>
      <w:r w:rsidRPr="009F6724">
        <w:rPr>
          <w:rFonts w:ascii="Noto Sans" w:eastAsia="Noto Sans" w:hAnsi="Noto Sans" w:cs="Noto Sans"/>
          <w:b/>
          <w:color w:val="57C7CD"/>
          <w:sz w:val="20"/>
          <w:szCs w:val="20"/>
        </w:rPr>
        <w:t>Note:</w:t>
      </w:r>
    </w:p>
    <w:p w14:paraId="66839B23" w14:textId="4D395C09" w:rsidR="00496693" w:rsidRPr="00496693" w:rsidRDefault="00F84D2D" w:rsidP="00E30E81">
      <w:pPr>
        <w:pStyle w:val="ListParagraph"/>
        <w:numPr>
          <w:ilvl w:val="0"/>
          <w:numId w:val="44"/>
        </w:numPr>
        <w:autoSpaceDE w:val="0"/>
        <w:autoSpaceDN w:val="0"/>
        <w:rPr>
          <w:rFonts w:ascii="Noto Sans" w:eastAsia="Noto Sans" w:hAnsi="Noto Sans" w:cs="Noto Sans"/>
          <w:b/>
          <w:sz w:val="20"/>
          <w:szCs w:val="20"/>
        </w:rPr>
      </w:pPr>
      <w:r>
        <w:rPr>
          <w:rFonts w:ascii="Noto Sans" w:eastAsia="Noto Sans" w:hAnsi="Noto Sans" w:cs="Noto Sans"/>
          <w:bCs/>
          <w:sz w:val="20"/>
          <w:szCs w:val="20"/>
        </w:rPr>
        <w:t>Data is sourced from the</w:t>
      </w:r>
      <w:r w:rsidR="00887908">
        <w:rPr>
          <w:rFonts w:ascii="Noto Sans" w:eastAsia="Noto Sans" w:hAnsi="Noto Sans" w:cs="Noto Sans"/>
          <w:bCs/>
          <w:sz w:val="20"/>
          <w:szCs w:val="20"/>
        </w:rPr>
        <w:t xml:space="preserve"> investment manager.</w:t>
      </w:r>
      <w:r>
        <w:rPr>
          <w:rFonts w:ascii="Noto Sans" w:eastAsia="Noto Sans" w:hAnsi="Noto Sans" w:cs="Noto Sans"/>
          <w:bCs/>
          <w:sz w:val="20"/>
          <w:szCs w:val="20"/>
        </w:rPr>
        <w:t xml:space="preserve"> </w:t>
      </w:r>
    </w:p>
    <w:p w14:paraId="168A7897" w14:textId="694FD356" w:rsidR="00E30E81" w:rsidRPr="00496693" w:rsidRDefault="009F6724" w:rsidP="00E30E81">
      <w:pPr>
        <w:pStyle w:val="ListParagraph"/>
        <w:numPr>
          <w:ilvl w:val="0"/>
          <w:numId w:val="44"/>
        </w:numPr>
        <w:autoSpaceDE w:val="0"/>
        <w:autoSpaceDN w:val="0"/>
        <w:rPr>
          <w:rFonts w:ascii="Noto Sans" w:eastAsia="Noto Sans" w:hAnsi="Noto Sans" w:cs="Noto Sans"/>
          <w:b/>
          <w:sz w:val="20"/>
          <w:szCs w:val="20"/>
        </w:rPr>
      </w:pPr>
      <w:r w:rsidRPr="00496693">
        <w:rPr>
          <w:rFonts w:ascii="Noto Sans" w:hAnsi="Noto Sans" w:cs="Arial"/>
          <w:sz w:val="20"/>
          <w:szCs w:val="20"/>
        </w:rPr>
        <w:t xml:space="preserve">Schroders Investment Management use Glass Lewis </w:t>
      </w:r>
      <w:r w:rsidR="00733A91" w:rsidRPr="00496693">
        <w:rPr>
          <w:rFonts w:ascii="Noto Sans" w:hAnsi="Noto Sans" w:cs="Arial"/>
          <w:sz w:val="20"/>
          <w:szCs w:val="20"/>
        </w:rPr>
        <w:t xml:space="preserve">(“GL”) </w:t>
      </w:r>
      <w:r w:rsidRPr="00496693">
        <w:rPr>
          <w:rFonts w:ascii="Noto Sans" w:hAnsi="Noto Sans" w:cs="Arial"/>
          <w:sz w:val="20"/>
          <w:szCs w:val="20"/>
        </w:rPr>
        <w:t xml:space="preserve">for proxy voting services and </w:t>
      </w:r>
      <w:r w:rsidR="00B04D15">
        <w:rPr>
          <w:rFonts w:ascii="Noto Sans" w:hAnsi="Noto Sans" w:cs="Arial"/>
          <w:sz w:val="20"/>
          <w:szCs w:val="20"/>
        </w:rPr>
        <w:t>receive their Benchmark research</w:t>
      </w:r>
      <w:r w:rsidRPr="00496693">
        <w:rPr>
          <w:rFonts w:ascii="Noto Sans" w:hAnsi="Noto Sans" w:cs="Arial"/>
          <w:sz w:val="20"/>
          <w:szCs w:val="20"/>
        </w:rPr>
        <w:t xml:space="preserve">. Schroders receives recommendations from GL in line with </w:t>
      </w:r>
      <w:r w:rsidR="00D8358C" w:rsidRPr="00496693">
        <w:rPr>
          <w:rFonts w:ascii="Noto Sans" w:hAnsi="Noto Sans" w:cs="Arial"/>
          <w:sz w:val="20"/>
          <w:szCs w:val="20"/>
        </w:rPr>
        <w:t>its</w:t>
      </w:r>
      <w:r w:rsidRPr="00496693">
        <w:rPr>
          <w:rFonts w:ascii="Noto Sans" w:hAnsi="Noto Sans" w:cs="Arial"/>
          <w:sz w:val="20"/>
          <w:szCs w:val="20"/>
        </w:rPr>
        <w:t xml:space="preserve"> own bespoke guidelines</w:t>
      </w:r>
      <w:r w:rsidR="00D8358C" w:rsidRPr="00496693">
        <w:rPr>
          <w:rFonts w:ascii="Noto Sans" w:hAnsi="Noto Sans" w:cs="Arial"/>
          <w:sz w:val="20"/>
          <w:szCs w:val="20"/>
        </w:rPr>
        <w:t xml:space="preserve"> which can be found in the appendix</w:t>
      </w:r>
      <w:r w:rsidRPr="00496693">
        <w:rPr>
          <w:rFonts w:ascii="Noto Sans" w:hAnsi="Noto Sans" w:cs="Arial"/>
          <w:sz w:val="20"/>
          <w:szCs w:val="20"/>
        </w:rPr>
        <w:t>. This is complemented with analysis by their in-house ESG specialists and where appropriate with reference to financial analysts and portfolio managers.</w:t>
      </w:r>
    </w:p>
    <w:p w14:paraId="4AD407D5" w14:textId="56D46914" w:rsidR="00D77E0B" w:rsidRPr="00796CD8" w:rsidRDefault="00D77E0B" w:rsidP="00796CD8">
      <w:pPr>
        <w:rPr>
          <w:rFonts w:ascii="Noto Sans" w:hAnsi="Noto Sans" w:cs="Arial"/>
          <w:sz w:val="20"/>
          <w:szCs w:val="20"/>
        </w:rPr>
      </w:pPr>
      <w:r w:rsidRPr="00E30E81">
        <w:rPr>
          <w:rFonts w:ascii="Noto Sans" w:eastAsia="Noto Sans" w:hAnsi="Noto Sans" w:cs="Noto Sans"/>
          <w:b/>
          <w:color w:val="57C7CD"/>
          <w:sz w:val="20"/>
          <w:szCs w:val="20"/>
        </w:rPr>
        <w:t>Most significant votes</w:t>
      </w:r>
    </w:p>
    <w:p w14:paraId="35970181" w14:textId="77777777" w:rsidR="00E96DC9" w:rsidRPr="00E30E81" w:rsidRDefault="00E96DC9" w:rsidP="00E96DC9">
      <w:pPr>
        <w:spacing w:after="120" w:line="240" w:lineRule="auto"/>
        <w:rPr>
          <w:rFonts w:ascii="Noto Sans" w:eastAsia="Noto Sans" w:hAnsi="Noto Sans" w:cs="Times New Roman"/>
          <w:sz w:val="20"/>
          <w:szCs w:val="20"/>
        </w:rPr>
      </w:pPr>
      <w:r w:rsidRPr="00E30E81">
        <w:rPr>
          <w:rFonts w:ascii="Noto Sans" w:eastAsia="Noto Sans" w:hAnsi="Noto Sans" w:cs="Times New Roman"/>
          <w:sz w:val="20"/>
          <w:szCs w:val="20"/>
        </w:rPr>
        <w:t>The following criteria must be met for a vote to be considered ‘significant’:</w:t>
      </w:r>
    </w:p>
    <w:p w14:paraId="09B478AE" w14:textId="4CDBBAD4" w:rsidR="00E96DC9" w:rsidRPr="00E30E81" w:rsidRDefault="00E96DC9" w:rsidP="00150988">
      <w:pPr>
        <w:pStyle w:val="ListParagraph"/>
        <w:numPr>
          <w:ilvl w:val="0"/>
          <w:numId w:val="41"/>
        </w:numPr>
        <w:spacing w:after="120" w:line="240" w:lineRule="auto"/>
        <w:rPr>
          <w:rFonts w:ascii="Noto Sans" w:eastAsia="Times New Roman" w:hAnsi="Noto Sans" w:cs="Arial"/>
          <w:sz w:val="20"/>
          <w:szCs w:val="20"/>
          <w:lang w:eastAsia="ja-JP"/>
        </w:rPr>
      </w:pPr>
      <w:r w:rsidRPr="00E30E81">
        <w:rPr>
          <w:rFonts w:ascii="Noto Sans" w:eastAsia="Times New Roman" w:hAnsi="Noto Sans" w:cs="Arial"/>
          <w:sz w:val="20"/>
          <w:szCs w:val="20"/>
          <w:lang w:eastAsia="ja-JP"/>
        </w:rPr>
        <w:t xml:space="preserve">Must be defined as significant by the </w:t>
      </w:r>
      <w:r w:rsidR="00AC494A" w:rsidRPr="00E30E81">
        <w:rPr>
          <w:rFonts w:ascii="Noto Sans" w:eastAsia="Times New Roman" w:hAnsi="Noto Sans" w:cs="Arial"/>
          <w:sz w:val="20"/>
          <w:szCs w:val="20"/>
          <w:lang w:eastAsia="ja-JP"/>
        </w:rPr>
        <w:t>f</w:t>
      </w:r>
      <w:r w:rsidRPr="00E30E81">
        <w:rPr>
          <w:rFonts w:ascii="Noto Sans" w:eastAsia="Times New Roman" w:hAnsi="Noto Sans" w:cs="Arial"/>
          <w:sz w:val="20"/>
          <w:szCs w:val="20"/>
          <w:lang w:eastAsia="ja-JP"/>
        </w:rPr>
        <w:t xml:space="preserve">iduciary </w:t>
      </w:r>
      <w:r w:rsidR="00AC494A" w:rsidRPr="00E30E81">
        <w:rPr>
          <w:rFonts w:ascii="Noto Sans" w:eastAsia="Times New Roman" w:hAnsi="Noto Sans" w:cs="Arial"/>
          <w:sz w:val="20"/>
          <w:szCs w:val="20"/>
          <w:lang w:eastAsia="ja-JP"/>
        </w:rPr>
        <w:t>m</w:t>
      </w:r>
      <w:r w:rsidRPr="00E30E81">
        <w:rPr>
          <w:rFonts w:ascii="Noto Sans" w:eastAsia="Times New Roman" w:hAnsi="Noto Sans" w:cs="Arial"/>
          <w:sz w:val="20"/>
          <w:szCs w:val="20"/>
          <w:lang w:eastAsia="ja-JP"/>
        </w:rPr>
        <w:t>anager; and</w:t>
      </w:r>
    </w:p>
    <w:p w14:paraId="6B8663A1" w14:textId="79E40715" w:rsidR="00E96DC9" w:rsidRPr="00E30E81" w:rsidRDefault="00E96DC9" w:rsidP="00150988">
      <w:pPr>
        <w:pStyle w:val="ListParagraph"/>
        <w:numPr>
          <w:ilvl w:val="0"/>
          <w:numId w:val="41"/>
        </w:numPr>
        <w:spacing w:after="120" w:line="240" w:lineRule="auto"/>
        <w:rPr>
          <w:rFonts w:ascii="Noto Sans" w:eastAsia="Times New Roman" w:hAnsi="Noto Sans" w:cs="Arial"/>
          <w:sz w:val="20"/>
          <w:szCs w:val="20"/>
          <w:lang w:eastAsia="ja-JP"/>
        </w:rPr>
      </w:pPr>
      <w:r w:rsidRPr="00E30E81">
        <w:rPr>
          <w:rFonts w:ascii="Noto Sans" w:eastAsia="Times New Roman" w:hAnsi="Noto Sans" w:cs="Arial"/>
          <w:sz w:val="20"/>
          <w:szCs w:val="20"/>
          <w:lang w:eastAsia="ja-JP"/>
        </w:rPr>
        <w:t>Must relate to the Trustees</w:t>
      </w:r>
      <w:r w:rsidR="00AD37F9" w:rsidRPr="00E30E81">
        <w:rPr>
          <w:rFonts w:ascii="Noto Sans" w:eastAsia="Times New Roman" w:hAnsi="Noto Sans" w:cs="Arial"/>
          <w:sz w:val="20"/>
          <w:szCs w:val="20"/>
          <w:lang w:eastAsia="ja-JP"/>
        </w:rPr>
        <w:t>’</w:t>
      </w:r>
      <w:r w:rsidRPr="00E30E81">
        <w:rPr>
          <w:rFonts w:ascii="Noto Sans" w:eastAsia="Times New Roman" w:hAnsi="Noto Sans" w:cs="Arial"/>
          <w:sz w:val="20"/>
          <w:szCs w:val="20"/>
          <w:lang w:eastAsia="ja-JP"/>
        </w:rPr>
        <w:t xml:space="preserve"> stewardship priority themes</w:t>
      </w:r>
    </w:p>
    <w:p w14:paraId="1826796A" w14:textId="77777777" w:rsidR="002E0B9C" w:rsidRDefault="00E96DC9" w:rsidP="00E96DC9">
      <w:pPr>
        <w:spacing w:after="120" w:line="240" w:lineRule="auto"/>
        <w:rPr>
          <w:rFonts w:ascii="Noto Sans" w:eastAsia="Noto Sans" w:hAnsi="Noto Sans" w:cs="Times New Roman"/>
          <w:sz w:val="20"/>
          <w:szCs w:val="20"/>
        </w:rPr>
      </w:pPr>
      <w:r w:rsidRPr="00E30E81">
        <w:rPr>
          <w:rFonts w:ascii="Noto Sans" w:eastAsia="Noto Sans" w:hAnsi="Noto Sans" w:cs="Times New Roman"/>
          <w:sz w:val="20"/>
          <w:szCs w:val="20"/>
        </w:rPr>
        <w:t xml:space="preserve">Of the votes that satisfy the above criteria, the </w:t>
      </w:r>
      <w:r w:rsidR="00AD37F9" w:rsidRPr="00E30E81">
        <w:rPr>
          <w:rFonts w:ascii="Noto Sans" w:eastAsia="Noto Sans" w:hAnsi="Noto Sans" w:cs="Times New Roman"/>
          <w:sz w:val="20"/>
          <w:szCs w:val="20"/>
        </w:rPr>
        <w:t>Trustees have</w:t>
      </w:r>
      <w:r w:rsidRPr="00E30E81">
        <w:rPr>
          <w:rFonts w:ascii="Noto Sans" w:eastAsia="Noto Sans" w:hAnsi="Noto Sans" w:cs="Times New Roman"/>
          <w:sz w:val="20"/>
          <w:szCs w:val="20"/>
        </w:rPr>
        <w:t xml:space="preserve"> selected one vote relating to each of the priority themes that </w:t>
      </w:r>
      <w:r w:rsidR="00AD37F9" w:rsidRPr="00E30E81">
        <w:rPr>
          <w:rFonts w:ascii="Noto Sans" w:eastAsia="Noto Sans" w:hAnsi="Noto Sans" w:cs="Times New Roman"/>
          <w:sz w:val="20"/>
          <w:szCs w:val="20"/>
        </w:rPr>
        <w:t xml:space="preserve">they deem </w:t>
      </w:r>
      <w:r w:rsidRPr="00E30E81">
        <w:rPr>
          <w:rFonts w:ascii="Noto Sans" w:eastAsia="Noto Sans" w:hAnsi="Noto Sans" w:cs="Times New Roman"/>
          <w:sz w:val="20"/>
          <w:szCs w:val="20"/>
        </w:rPr>
        <w:t xml:space="preserve">material to the long-term value of the investments. These </w:t>
      </w:r>
      <w:r w:rsidRPr="00E30E81">
        <w:rPr>
          <w:rFonts w:ascii="Noto Sans" w:eastAsia="Noto Sans" w:hAnsi="Noto Sans" w:cs="Times New Roman"/>
          <w:sz w:val="20"/>
          <w:szCs w:val="20"/>
        </w:rPr>
        <w:lastRenderedPageBreak/>
        <w:t xml:space="preserve">votes are hereby defined as ‘most significant votes’, and as per DWP guidance, the </w:t>
      </w:r>
      <w:r w:rsidR="00AD37F9" w:rsidRPr="00E30E81">
        <w:rPr>
          <w:rFonts w:ascii="Noto Sans" w:eastAsia="Noto Sans" w:hAnsi="Noto Sans" w:cs="Times New Roman"/>
          <w:sz w:val="20"/>
          <w:szCs w:val="20"/>
        </w:rPr>
        <w:t xml:space="preserve">Trustees have </w:t>
      </w:r>
      <w:r w:rsidRPr="00E30E81">
        <w:rPr>
          <w:rFonts w:ascii="Noto Sans" w:eastAsia="Noto Sans" w:hAnsi="Noto Sans" w:cs="Times New Roman"/>
          <w:sz w:val="20"/>
          <w:szCs w:val="20"/>
        </w:rPr>
        <w:t xml:space="preserve">communicated this definition of ‘most significant votes’ to the </w:t>
      </w:r>
      <w:r w:rsidR="00AD37F9" w:rsidRPr="00E30E81">
        <w:rPr>
          <w:rFonts w:ascii="Noto Sans" w:eastAsia="Noto Sans" w:hAnsi="Noto Sans" w:cs="Times New Roman"/>
          <w:sz w:val="20"/>
          <w:szCs w:val="20"/>
        </w:rPr>
        <w:t>f</w:t>
      </w:r>
      <w:r w:rsidRPr="00E30E81">
        <w:rPr>
          <w:rFonts w:ascii="Noto Sans" w:eastAsia="Noto Sans" w:hAnsi="Noto Sans" w:cs="Times New Roman"/>
          <w:sz w:val="20"/>
          <w:szCs w:val="20"/>
        </w:rPr>
        <w:t xml:space="preserve">iduciary </w:t>
      </w:r>
      <w:r w:rsidR="00AD37F9" w:rsidRPr="00E30E81">
        <w:rPr>
          <w:rFonts w:ascii="Noto Sans" w:eastAsia="Noto Sans" w:hAnsi="Noto Sans" w:cs="Times New Roman"/>
          <w:sz w:val="20"/>
          <w:szCs w:val="20"/>
        </w:rPr>
        <w:t>m</w:t>
      </w:r>
      <w:r w:rsidRPr="00E30E81">
        <w:rPr>
          <w:rFonts w:ascii="Noto Sans" w:eastAsia="Noto Sans" w:hAnsi="Noto Sans" w:cs="Times New Roman"/>
          <w:sz w:val="20"/>
          <w:szCs w:val="20"/>
        </w:rPr>
        <w:t xml:space="preserve">anager. </w:t>
      </w:r>
    </w:p>
    <w:p w14:paraId="0E83426C" w14:textId="3DF55D32" w:rsidR="00E96DC9" w:rsidRPr="00E30E81" w:rsidRDefault="00E96DC9" w:rsidP="00E96DC9">
      <w:pPr>
        <w:spacing w:after="120" w:line="240" w:lineRule="auto"/>
        <w:rPr>
          <w:rFonts w:ascii="Noto Sans" w:eastAsia="Noto Sans" w:hAnsi="Noto Sans" w:cs="Times New Roman"/>
          <w:sz w:val="20"/>
          <w:szCs w:val="20"/>
        </w:rPr>
      </w:pPr>
      <w:r w:rsidRPr="00E30E81">
        <w:rPr>
          <w:rFonts w:ascii="Noto Sans" w:eastAsia="Noto Sans" w:hAnsi="Noto Sans" w:cs="Times New Roman"/>
          <w:sz w:val="20"/>
          <w:szCs w:val="20"/>
        </w:rPr>
        <w:t>All of the most significant votes over this</w:t>
      </w:r>
      <w:r w:rsidR="00AD37F9" w:rsidRPr="00E30E81">
        <w:rPr>
          <w:rFonts w:ascii="Noto Sans" w:eastAsia="Noto Sans" w:hAnsi="Noto Sans" w:cs="Times New Roman"/>
          <w:sz w:val="20"/>
          <w:szCs w:val="20"/>
        </w:rPr>
        <w:t xml:space="preserve"> </w:t>
      </w:r>
      <w:r w:rsidR="00DA04B3">
        <w:rPr>
          <w:rFonts w:ascii="Noto Sans" w:eastAsia="Noto Sans" w:hAnsi="Noto Sans" w:cs="Times New Roman"/>
          <w:sz w:val="20"/>
          <w:szCs w:val="20"/>
        </w:rPr>
        <w:t>Plan</w:t>
      </w:r>
      <w:r w:rsidRPr="00E30E81">
        <w:rPr>
          <w:rFonts w:ascii="Noto Sans" w:eastAsia="Noto Sans" w:hAnsi="Noto Sans" w:cs="Times New Roman"/>
          <w:sz w:val="20"/>
          <w:szCs w:val="20"/>
        </w:rPr>
        <w:t xml:space="preserve"> Year have been reported below. </w:t>
      </w:r>
    </w:p>
    <w:p w14:paraId="4C4DDD82" w14:textId="63297C02" w:rsidR="00E96DC9" w:rsidRPr="00E30E81" w:rsidRDefault="00E96DC9" w:rsidP="00C513A9">
      <w:pPr>
        <w:spacing w:line="240" w:lineRule="auto"/>
        <w:rPr>
          <w:rFonts w:ascii="Noto Sans" w:eastAsia="Noto Sans" w:hAnsi="Noto Sans" w:cs="Times New Roman"/>
          <w:sz w:val="20"/>
          <w:szCs w:val="20"/>
        </w:rPr>
      </w:pPr>
      <w:r w:rsidRPr="00E30E81">
        <w:rPr>
          <w:rFonts w:ascii="Noto Sans" w:eastAsia="Noto Sans" w:hAnsi="Noto Sans" w:cs="Times New Roman"/>
          <w:b/>
          <w:bCs/>
          <w:sz w:val="20"/>
          <w:szCs w:val="20"/>
          <w:lang w:eastAsia="ja-JP"/>
        </w:rPr>
        <w:t>CLIMATE CHANGE</w:t>
      </w:r>
      <w:r w:rsidRPr="00E30E81">
        <w:rPr>
          <w:rFonts w:ascii="Noto Sans" w:eastAsia="Noto Sans" w:hAnsi="Noto Sans" w:cs="Times New Roman"/>
          <w:sz w:val="20"/>
          <w:szCs w:val="20"/>
          <w:lang w:eastAsia="ja-JP"/>
        </w:rPr>
        <w:t xml:space="preserve"> – </w:t>
      </w:r>
      <w:r w:rsidR="00C513A9" w:rsidRPr="00C513A9">
        <w:rPr>
          <w:rFonts w:ascii="Noto Sans" w:eastAsia="Noto Sans" w:hAnsi="Noto Sans" w:cs="Times New Roman"/>
          <w:sz w:val="20"/>
          <w:szCs w:val="20"/>
          <w:lang w:eastAsia="ja-JP"/>
        </w:rPr>
        <w:t>At Meta Platforms Inc.’s AGM on 29 May 2025, Schroders supported a shareholder proposal calling for alignment of lobbying activities with the company’s net zero emissions commitment by 2030. This vote, cast against management, reflected Schroders’s belief that shareholders benefit from understanding how lobbying supports long-term climate goals. The proposal was not approved, consistent with other ESG proposals at Meta that have gained significant independent shareholder backing but failed due to the company’s dual-class share structure, which grants Mark Zuckerberg majority voting control.</w:t>
      </w:r>
    </w:p>
    <w:p w14:paraId="6237A568" w14:textId="267089D4" w:rsidR="00E96DC9" w:rsidRPr="00E30E81" w:rsidRDefault="00E96DC9" w:rsidP="00E96DC9">
      <w:pPr>
        <w:spacing w:after="120" w:line="240" w:lineRule="auto"/>
        <w:rPr>
          <w:rFonts w:ascii="Noto Sans" w:eastAsia="Noto Sans" w:hAnsi="Noto Sans" w:cs="Times New Roman"/>
          <w:i/>
          <w:iCs/>
          <w:sz w:val="20"/>
          <w:szCs w:val="20"/>
        </w:rPr>
      </w:pPr>
      <w:r w:rsidRPr="00E30E81">
        <w:rPr>
          <w:rFonts w:ascii="Noto Sans" w:eastAsia="Noto Sans" w:hAnsi="Noto Sans" w:cs="Times New Roman"/>
          <w:b/>
          <w:bCs/>
          <w:sz w:val="20"/>
          <w:szCs w:val="20"/>
          <w:lang w:eastAsia="ja-JP"/>
        </w:rPr>
        <w:t>NATURAL CAPITAL AND BIODIVERSITY</w:t>
      </w:r>
      <w:r w:rsidRPr="00E30E81">
        <w:rPr>
          <w:rFonts w:ascii="Noto Sans" w:eastAsia="Noto Sans" w:hAnsi="Noto Sans" w:cs="Times New Roman"/>
          <w:sz w:val="20"/>
          <w:szCs w:val="20"/>
          <w:lang w:eastAsia="ja-JP"/>
        </w:rPr>
        <w:t xml:space="preserve"> </w:t>
      </w:r>
      <w:r w:rsidR="00C513A9">
        <w:rPr>
          <w:rFonts w:ascii="Noto Sans" w:eastAsia="Noto Sans" w:hAnsi="Noto Sans" w:cs="Times New Roman"/>
          <w:sz w:val="20"/>
          <w:szCs w:val="20"/>
          <w:lang w:eastAsia="ja-JP"/>
        </w:rPr>
        <w:t xml:space="preserve">- </w:t>
      </w:r>
      <w:r w:rsidR="00C513A9" w:rsidRPr="00C513A9">
        <w:rPr>
          <w:rFonts w:ascii="Noto Sans" w:eastAsia="Noto Sans" w:hAnsi="Noto Sans" w:cs="Times New Roman"/>
          <w:sz w:val="20"/>
          <w:szCs w:val="20"/>
          <w:lang w:eastAsia="ja-JP"/>
        </w:rPr>
        <w:t>At Amazon.com Inc.’s AGM on 21 May 2025, Schroders voted for a proposal requesting disclosure on the company’s use of unrecyclable flexible plastic packaging, a material widely criticized for its environmental impact, especially on marine ecosystems. Amazon is believed to be one of the largest users of flexible plastic packaging globally, yet it does not disclose the tonnage used. Schroders viewed expanded reporting as beneficial for transparency and reducing environmental risks, particularly to marine ecosystems. Management opposed the proposal, arguing existing reporting was sufficient. While the resolution did not pass, Schroders noted Amazon has reported reduced plastic packaging by more than 25% in 2024.</w:t>
      </w:r>
    </w:p>
    <w:p w14:paraId="0BD1772D" w14:textId="36749A0A" w:rsidR="00E96DC9" w:rsidRPr="00C513A9" w:rsidRDefault="00E96DC9" w:rsidP="00E96DC9">
      <w:pPr>
        <w:spacing w:after="120" w:line="240" w:lineRule="auto"/>
        <w:rPr>
          <w:rFonts w:ascii="Noto Sans" w:eastAsia="Noto Sans" w:hAnsi="Noto Sans" w:cs="Times New Roman"/>
          <w:sz w:val="20"/>
          <w:szCs w:val="20"/>
          <w:lang w:eastAsia="ja-JP"/>
        </w:rPr>
      </w:pPr>
      <w:r w:rsidRPr="00E30E81">
        <w:rPr>
          <w:rFonts w:ascii="Noto Sans" w:eastAsia="Noto Sans" w:hAnsi="Noto Sans" w:cs="Times New Roman"/>
          <w:b/>
          <w:bCs/>
          <w:sz w:val="20"/>
          <w:szCs w:val="20"/>
          <w:lang w:eastAsia="ja-JP"/>
        </w:rPr>
        <w:t>HUMAN RIGHTS</w:t>
      </w:r>
      <w:r w:rsidRPr="00E30E81">
        <w:rPr>
          <w:rFonts w:ascii="Noto Sans" w:eastAsia="Noto Sans" w:hAnsi="Noto Sans" w:cs="Times New Roman"/>
          <w:sz w:val="20"/>
          <w:szCs w:val="20"/>
          <w:lang w:eastAsia="ja-JP"/>
        </w:rPr>
        <w:t xml:space="preserve"> – </w:t>
      </w:r>
      <w:r w:rsidR="00C513A9" w:rsidRPr="00C513A9">
        <w:rPr>
          <w:rFonts w:ascii="Noto Sans" w:eastAsia="Noto Sans" w:hAnsi="Noto Sans" w:cs="Times New Roman"/>
          <w:sz w:val="20"/>
          <w:szCs w:val="20"/>
          <w:lang w:eastAsia="ja-JP"/>
        </w:rPr>
        <w:t xml:space="preserve">At Johnson &amp; Johnson’s AGM on 24 May 2025, Schroders supported a shareholder resolution led by Mercy Investment Services, a socially responsible investor, and is grounded in international human rights frameworks, calling for a human rights impact assessment (HRIA) on operations related to access to medicines. Although J&amp;J has due diligence processes in place, concerns were raised that its lobbying activities may undermine commitments on access. Schroders supported the proposal, believing it would improve transparency, reduce reputational and regulatory risks, and protect long-term shareholder value. Unfortunately, the resolution was not passed. </w:t>
      </w:r>
    </w:p>
    <w:p w14:paraId="7DD5BE81" w14:textId="19F2AE9F" w:rsidR="00E96DC9" w:rsidRPr="00E30E81" w:rsidRDefault="00E96DC9" w:rsidP="00E96DC9">
      <w:pPr>
        <w:spacing w:after="120" w:line="240" w:lineRule="auto"/>
        <w:rPr>
          <w:rFonts w:ascii="Noto Sans" w:eastAsia="Noto Sans" w:hAnsi="Noto Sans" w:cs="Times New Roman"/>
          <w:b/>
          <w:bCs/>
          <w:i/>
          <w:iCs/>
          <w:color w:val="4F3398"/>
          <w:sz w:val="20"/>
          <w:szCs w:val="20"/>
          <w:u w:val="single"/>
        </w:rPr>
      </w:pPr>
      <w:r w:rsidRPr="00E30E81">
        <w:rPr>
          <w:rFonts w:ascii="Noto Sans" w:eastAsia="Noto Sans" w:hAnsi="Noto Sans" w:cs="Times New Roman"/>
          <w:b/>
          <w:bCs/>
          <w:sz w:val="20"/>
          <w:szCs w:val="20"/>
          <w:lang w:eastAsia="ja-JP"/>
        </w:rPr>
        <w:t>CORPORATE GOVERNANCE</w:t>
      </w:r>
      <w:r w:rsidRPr="00E30E81">
        <w:rPr>
          <w:rFonts w:ascii="Noto Sans" w:eastAsia="Noto Sans" w:hAnsi="Noto Sans" w:cs="Times New Roman"/>
          <w:sz w:val="20"/>
          <w:szCs w:val="20"/>
          <w:lang w:eastAsia="ja-JP"/>
        </w:rPr>
        <w:t xml:space="preserve"> – </w:t>
      </w:r>
      <w:r w:rsidR="00C513A9" w:rsidRPr="00C513A9">
        <w:rPr>
          <w:rFonts w:ascii="Noto Sans" w:eastAsia="Noto Sans" w:hAnsi="Noto Sans" w:cs="Times New Roman"/>
          <w:sz w:val="20"/>
          <w:szCs w:val="20"/>
          <w:lang w:eastAsia="ja-JP"/>
        </w:rPr>
        <w:t>At Meta Platforms Inc.’s AGM on 29 May 2025, Schroders co-filed a shareholder resolution requesting disclosure of voting results by share class. Given Meta’s dual-class structure, with Class B shares carrying 10 times the voting power of class A shares and Zuckerberg controlling most of them, shareholder concerns are often obscured. Schroders believes that separating results by share class would improve accountability and more clearly delineate the concerns of independent shareholders. The proposal was not successful, however the proposal built support on the prior year.</w:t>
      </w:r>
    </w:p>
    <w:p w14:paraId="5B003BE7" w14:textId="77777777" w:rsidR="00C513A9" w:rsidRDefault="00E96DC9" w:rsidP="00E96DC9">
      <w:pPr>
        <w:spacing w:after="120" w:line="240" w:lineRule="auto"/>
        <w:rPr>
          <w:rFonts w:ascii="Noto Sans" w:eastAsia="Noto Sans" w:hAnsi="Noto Sans" w:cs="Times New Roman"/>
          <w:sz w:val="20"/>
          <w:szCs w:val="20"/>
          <w:lang w:eastAsia="ja-JP"/>
        </w:rPr>
      </w:pPr>
      <w:r w:rsidRPr="00E30E81">
        <w:rPr>
          <w:rFonts w:ascii="Noto Sans" w:eastAsia="Noto Sans" w:hAnsi="Noto Sans" w:cs="Times New Roman"/>
          <w:b/>
          <w:bCs/>
          <w:sz w:val="20"/>
          <w:szCs w:val="20"/>
          <w:lang w:eastAsia="ja-JP"/>
        </w:rPr>
        <w:t>HUMAN CAPITAL MANAGEMENT</w:t>
      </w:r>
      <w:r w:rsidRPr="00E30E81">
        <w:rPr>
          <w:rFonts w:ascii="Noto Sans" w:eastAsia="Noto Sans" w:hAnsi="Noto Sans" w:cs="Times New Roman"/>
          <w:sz w:val="20"/>
          <w:szCs w:val="20"/>
          <w:lang w:eastAsia="ja-JP"/>
        </w:rPr>
        <w:t xml:space="preserve"> – </w:t>
      </w:r>
      <w:r w:rsidR="00C513A9" w:rsidRPr="00C513A9">
        <w:rPr>
          <w:rFonts w:ascii="Noto Sans" w:eastAsia="Noto Sans" w:hAnsi="Noto Sans" w:cs="Times New Roman"/>
          <w:sz w:val="20"/>
          <w:szCs w:val="20"/>
          <w:lang w:eastAsia="ja-JP"/>
        </w:rPr>
        <w:t>At Amazon.com Inc.’s AGM on 21 May 2025, Schroders supported a shareholder proposal requesting an independent report on warehouse working conditions. Despite acknowledging Amazon’s investments in workforce management, Schroders saw value in third-party oversight, given reputational risks, and ongoing scrutiny of labour practices. Management opposed the proposal, which was not approved.</w:t>
      </w:r>
    </w:p>
    <w:p w14:paraId="331CA261" w14:textId="77777777" w:rsidR="00C513A9" w:rsidRPr="00C513A9" w:rsidRDefault="00E96DC9" w:rsidP="00C513A9">
      <w:pPr>
        <w:spacing w:after="120" w:line="240" w:lineRule="auto"/>
        <w:rPr>
          <w:rFonts w:ascii="Noto Sans" w:eastAsia="Noto Sans" w:hAnsi="Noto Sans" w:cs="Times New Roman"/>
          <w:sz w:val="20"/>
          <w:szCs w:val="20"/>
          <w:lang w:eastAsia="ja-JP"/>
        </w:rPr>
      </w:pPr>
      <w:r w:rsidRPr="00E30E81">
        <w:rPr>
          <w:rFonts w:ascii="Noto Sans" w:eastAsia="Noto Sans" w:hAnsi="Noto Sans" w:cs="Times New Roman"/>
          <w:b/>
          <w:bCs/>
          <w:sz w:val="20"/>
          <w:szCs w:val="20"/>
          <w:lang w:eastAsia="ja-JP"/>
        </w:rPr>
        <w:t>DIVERSITY AND INCLUSION</w:t>
      </w:r>
      <w:r w:rsidRPr="00E30E81">
        <w:rPr>
          <w:rFonts w:ascii="Noto Sans" w:eastAsia="Noto Sans" w:hAnsi="Noto Sans" w:cs="Times New Roman"/>
          <w:sz w:val="20"/>
          <w:szCs w:val="20"/>
          <w:lang w:eastAsia="ja-JP"/>
        </w:rPr>
        <w:t xml:space="preserve"> –</w:t>
      </w:r>
      <w:r w:rsidR="00C513A9" w:rsidRPr="00C513A9">
        <w:rPr>
          <w:rFonts w:ascii="Noto Sans" w:eastAsia="Noto Sans" w:hAnsi="Noto Sans" w:cs="Times New Roman"/>
          <w:sz w:val="20"/>
          <w:szCs w:val="20"/>
          <w:lang w:eastAsia="ja-JP"/>
        </w:rPr>
        <w:t>At NVIDIA Corp’s AGM on 25 June 2025, Schroders voted against the re-election of Stephen C. Neal due to insufficient gender diversity on the Executive Committee. This was consistent with Schroders’s broader voting policy, which saw opposition to directors at over 570 companies in 2025 on diversity grounds. The resolution was not approved, but Schroders continues to engage with NVIDIA on diversity, noting the company’s stated commitments in this area.</w:t>
      </w:r>
    </w:p>
    <w:p w14:paraId="73CEC3D6" w14:textId="6C8E2EB0" w:rsidR="00796CD8" w:rsidRDefault="00796CD8" w:rsidP="00E96DC9">
      <w:pPr>
        <w:spacing w:after="120" w:line="240" w:lineRule="auto"/>
        <w:rPr>
          <w:rFonts w:ascii="Noto Sans" w:eastAsia="Noto Sans" w:hAnsi="Noto Sans" w:cs="Times New Roman"/>
          <w:sz w:val="20"/>
          <w:szCs w:val="20"/>
          <w:lang w:eastAsia="ja-JP"/>
        </w:rPr>
      </w:pPr>
    </w:p>
    <w:p w14:paraId="17EE05EF" w14:textId="77777777" w:rsidR="00C513A9" w:rsidRPr="00E30E81" w:rsidRDefault="00C513A9" w:rsidP="00E96DC9">
      <w:pPr>
        <w:spacing w:after="120" w:line="240" w:lineRule="auto"/>
        <w:rPr>
          <w:rFonts w:ascii="Noto Sans" w:eastAsia="Noto Sans" w:hAnsi="Noto Sans" w:cs="Times New Roman"/>
          <w:sz w:val="20"/>
          <w:szCs w:val="20"/>
          <w:lang w:eastAsia="ja-JP"/>
        </w:rPr>
      </w:pPr>
    </w:p>
    <w:p w14:paraId="1F6C2329" w14:textId="650734CB" w:rsidR="00653E1B" w:rsidRPr="00641B8C" w:rsidRDefault="00653E1B" w:rsidP="00641B8C">
      <w:pPr>
        <w:rPr>
          <w:rFonts w:ascii="Noto Sans" w:hAnsi="Noto Sans" w:cs="Arial"/>
          <w:sz w:val="20"/>
          <w:szCs w:val="20"/>
        </w:rPr>
      </w:pPr>
      <w:r w:rsidRPr="00641B8C">
        <w:rPr>
          <w:rFonts w:ascii="Noto Sans" w:hAnsi="Noto Sans"/>
          <w:b/>
          <w:bCs/>
          <w:sz w:val="20"/>
          <w:szCs w:val="20"/>
        </w:rPr>
        <w:t>The Trustees are</w:t>
      </w:r>
      <w:r w:rsidRPr="00641B8C">
        <w:rPr>
          <w:rFonts w:ascii="Noto Sans" w:hAnsi="Noto Sans"/>
          <w:sz w:val="20"/>
          <w:szCs w:val="20"/>
        </w:rPr>
        <w:t xml:space="preserve"> </w:t>
      </w:r>
      <w:r w:rsidRPr="00641B8C">
        <w:rPr>
          <w:rFonts w:ascii="Noto Sans" w:hAnsi="Noto Sans"/>
          <w:b/>
          <w:bCs/>
          <w:sz w:val="20"/>
          <w:szCs w:val="20"/>
        </w:rPr>
        <w:t xml:space="preserve">satisfied that the voting and engagement activities undertaken by the fiduciary manager align with the stewardship priorities </w:t>
      </w:r>
      <w:r w:rsidR="00641B8C" w:rsidRPr="00641B8C">
        <w:rPr>
          <w:rFonts w:ascii="Noto Sans" w:hAnsi="Noto Sans"/>
          <w:b/>
          <w:bCs/>
          <w:sz w:val="20"/>
          <w:szCs w:val="20"/>
        </w:rPr>
        <w:t xml:space="preserve">of the Trustees over the </w:t>
      </w:r>
      <w:r w:rsidR="00DA04B3">
        <w:rPr>
          <w:rFonts w:ascii="Noto Sans" w:hAnsi="Noto Sans"/>
          <w:b/>
          <w:bCs/>
          <w:sz w:val="20"/>
          <w:szCs w:val="20"/>
        </w:rPr>
        <w:t>Plan</w:t>
      </w:r>
      <w:r w:rsidRPr="00641B8C">
        <w:rPr>
          <w:rFonts w:ascii="Noto Sans" w:hAnsi="Noto Sans"/>
          <w:b/>
          <w:bCs/>
          <w:sz w:val="20"/>
          <w:szCs w:val="20"/>
        </w:rPr>
        <w:t xml:space="preserve"> Year, hence the </w:t>
      </w:r>
      <w:r w:rsidR="00641B8C" w:rsidRPr="00641B8C">
        <w:rPr>
          <w:rFonts w:ascii="Noto Sans" w:hAnsi="Noto Sans"/>
          <w:b/>
          <w:bCs/>
          <w:sz w:val="20"/>
          <w:szCs w:val="20"/>
        </w:rPr>
        <w:t>Trustees believe</w:t>
      </w:r>
      <w:r w:rsidRPr="00641B8C">
        <w:rPr>
          <w:rFonts w:ascii="Noto Sans" w:hAnsi="Noto Sans"/>
          <w:b/>
          <w:bCs/>
          <w:sz w:val="20"/>
          <w:szCs w:val="20"/>
        </w:rPr>
        <w:t xml:space="preserve"> that </w:t>
      </w:r>
      <w:r w:rsidR="00641B8C" w:rsidRPr="00641B8C">
        <w:rPr>
          <w:rFonts w:ascii="Noto Sans" w:hAnsi="Noto Sans"/>
          <w:b/>
          <w:bCs/>
          <w:sz w:val="20"/>
          <w:szCs w:val="20"/>
        </w:rPr>
        <w:t>they did</w:t>
      </w:r>
      <w:r w:rsidRPr="00641B8C">
        <w:rPr>
          <w:rFonts w:ascii="Noto Sans" w:hAnsi="Noto Sans"/>
          <w:b/>
          <w:bCs/>
          <w:sz w:val="20"/>
          <w:szCs w:val="20"/>
        </w:rPr>
        <w:t xml:space="preserve"> satisfactorily implement the Stewardship Policy stated in the </w:t>
      </w:r>
      <w:r w:rsidR="00DA04B3">
        <w:rPr>
          <w:rFonts w:ascii="Noto Sans" w:hAnsi="Noto Sans"/>
          <w:b/>
          <w:bCs/>
          <w:sz w:val="20"/>
          <w:szCs w:val="20"/>
        </w:rPr>
        <w:t>Plan’s</w:t>
      </w:r>
      <w:r w:rsidRPr="00641B8C">
        <w:rPr>
          <w:rFonts w:ascii="Noto Sans" w:hAnsi="Noto Sans"/>
          <w:b/>
          <w:bCs/>
          <w:sz w:val="20"/>
          <w:szCs w:val="20"/>
        </w:rPr>
        <w:t xml:space="preserve"> SIP</w:t>
      </w:r>
      <w:r w:rsidR="008065C6">
        <w:rPr>
          <w:rFonts w:ascii="Noto Sans" w:hAnsi="Noto Sans"/>
          <w:b/>
          <w:bCs/>
          <w:sz w:val="20"/>
          <w:szCs w:val="20"/>
        </w:rPr>
        <w:t xml:space="preserve"> over the </w:t>
      </w:r>
      <w:r w:rsidR="00DA04B3">
        <w:rPr>
          <w:rFonts w:ascii="Noto Sans" w:hAnsi="Noto Sans"/>
          <w:b/>
          <w:bCs/>
          <w:sz w:val="20"/>
          <w:szCs w:val="20"/>
        </w:rPr>
        <w:t>Plan</w:t>
      </w:r>
      <w:r w:rsidR="008065C6">
        <w:rPr>
          <w:rFonts w:ascii="Noto Sans" w:hAnsi="Noto Sans"/>
          <w:b/>
          <w:bCs/>
          <w:sz w:val="20"/>
          <w:szCs w:val="20"/>
        </w:rPr>
        <w:t xml:space="preserve"> Year</w:t>
      </w:r>
      <w:r w:rsidRPr="00641B8C">
        <w:rPr>
          <w:rFonts w:ascii="Noto Sans" w:hAnsi="Noto Sans"/>
          <w:b/>
          <w:bCs/>
          <w:sz w:val="20"/>
          <w:szCs w:val="20"/>
        </w:rPr>
        <w:t>.</w:t>
      </w:r>
    </w:p>
    <w:p w14:paraId="5C6E796C" w14:textId="77777777" w:rsidR="00653E1B" w:rsidRDefault="00653E1B" w:rsidP="00150988">
      <w:pPr>
        <w:autoSpaceDE w:val="0"/>
        <w:autoSpaceDN w:val="0"/>
        <w:adjustRightInd w:val="0"/>
        <w:spacing w:before="120" w:after="120" w:line="240" w:lineRule="auto"/>
        <w:rPr>
          <w:rFonts w:ascii="Noto Sans" w:hAnsi="Noto Sans" w:cs="Arial"/>
          <w:sz w:val="20"/>
          <w:szCs w:val="20"/>
        </w:rPr>
      </w:pPr>
    </w:p>
    <w:p w14:paraId="0D47AFF3" w14:textId="401FF7BC" w:rsidR="00150988" w:rsidRPr="005E4D70" w:rsidRDefault="00150988" w:rsidP="00150988">
      <w:pPr>
        <w:autoSpaceDE w:val="0"/>
        <w:autoSpaceDN w:val="0"/>
        <w:adjustRightInd w:val="0"/>
        <w:spacing w:before="120" w:after="120" w:line="240" w:lineRule="auto"/>
        <w:rPr>
          <w:rFonts w:ascii="Noto Sans" w:hAnsi="Noto Sans" w:cs="Arial"/>
          <w:sz w:val="20"/>
          <w:szCs w:val="20"/>
        </w:rPr>
      </w:pPr>
      <w:r>
        <w:rPr>
          <w:rFonts w:ascii="Noto Sans" w:hAnsi="Noto Sans" w:cs="Arial"/>
          <w:sz w:val="20"/>
          <w:szCs w:val="20"/>
        </w:rPr>
        <w:t xml:space="preserve">Dated: </w:t>
      </w:r>
      <w:r w:rsidR="009B4F4A">
        <w:rPr>
          <w:rFonts w:ascii="Noto Sans" w:hAnsi="Noto Sans" w:cs="Arial"/>
          <w:sz w:val="20"/>
          <w:szCs w:val="20"/>
        </w:rPr>
        <w:t>13 October 2025</w:t>
      </w:r>
    </w:p>
    <w:p w14:paraId="0239E225" w14:textId="77777777" w:rsidR="00F44604" w:rsidRPr="00F44604" w:rsidRDefault="00F44604" w:rsidP="00150988">
      <w:pPr>
        <w:autoSpaceDE w:val="0"/>
        <w:autoSpaceDN w:val="0"/>
        <w:adjustRightInd w:val="0"/>
        <w:spacing w:before="120" w:after="120" w:line="240" w:lineRule="auto"/>
        <w:rPr>
          <w:rFonts w:ascii="Noto Sans" w:hAnsi="Noto Sans" w:cs="Arial"/>
          <w:b/>
          <w:bCs/>
          <w:sz w:val="20"/>
          <w:szCs w:val="20"/>
        </w:rPr>
      </w:pPr>
      <w:r w:rsidRPr="00F44604">
        <w:rPr>
          <w:rFonts w:ascii="Noto Sans" w:hAnsi="Noto Sans" w:cs="Arial"/>
          <w:b/>
          <w:bCs/>
          <w:sz w:val="20"/>
          <w:szCs w:val="20"/>
        </w:rPr>
        <w:t xml:space="preserve">Zahir Fazal, Chair of Trustees </w:t>
      </w:r>
    </w:p>
    <w:p w14:paraId="1235A2BF" w14:textId="256FBB83" w:rsidR="00150988" w:rsidRPr="005E4D70" w:rsidRDefault="00150988" w:rsidP="00150988">
      <w:pPr>
        <w:autoSpaceDE w:val="0"/>
        <w:autoSpaceDN w:val="0"/>
        <w:adjustRightInd w:val="0"/>
        <w:spacing w:before="120" w:after="120" w:line="240" w:lineRule="auto"/>
        <w:rPr>
          <w:rFonts w:ascii="Noto Sans" w:hAnsi="Noto Sans" w:cs="Arial"/>
          <w:sz w:val="20"/>
          <w:szCs w:val="20"/>
        </w:rPr>
      </w:pPr>
      <w:r w:rsidRPr="001F0D05">
        <w:rPr>
          <w:rFonts w:ascii="Noto Sans" w:hAnsi="Noto Sans" w:cs="Arial"/>
          <w:sz w:val="20"/>
          <w:szCs w:val="20"/>
        </w:rPr>
        <w:t xml:space="preserve">Signed for and on behalf of the </w:t>
      </w:r>
      <w:r w:rsidRPr="00E425A5">
        <w:rPr>
          <w:rFonts w:ascii="Noto Sans" w:hAnsi="Noto Sans" w:cs="Arial"/>
          <w:sz w:val="20"/>
          <w:szCs w:val="20"/>
        </w:rPr>
        <w:t>Trustee</w:t>
      </w:r>
      <w:r>
        <w:rPr>
          <w:rFonts w:ascii="Noto Sans" w:hAnsi="Noto Sans" w:cs="Arial"/>
          <w:sz w:val="20"/>
          <w:szCs w:val="20"/>
        </w:rPr>
        <w:t>s</w:t>
      </w:r>
      <w:r w:rsidRPr="009739C8">
        <w:rPr>
          <w:rFonts w:ascii="Noto Sans" w:hAnsi="Noto Sans" w:cs="Arial"/>
          <w:sz w:val="20"/>
          <w:szCs w:val="20"/>
        </w:rPr>
        <w:t xml:space="preserve"> of the </w:t>
      </w:r>
      <w:r w:rsidR="00DA04B3">
        <w:rPr>
          <w:rFonts w:ascii="Noto Sans" w:hAnsi="Noto Sans" w:cs="Arial"/>
          <w:sz w:val="20"/>
          <w:szCs w:val="20"/>
        </w:rPr>
        <w:t>Plan</w:t>
      </w:r>
    </w:p>
    <w:p w14:paraId="2EB125F8" w14:textId="77777777" w:rsidR="00150988" w:rsidRPr="005E4D70" w:rsidRDefault="00150988" w:rsidP="00150988">
      <w:pPr>
        <w:autoSpaceDE w:val="0"/>
        <w:autoSpaceDN w:val="0"/>
        <w:adjustRightInd w:val="0"/>
        <w:spacing w:before="120" w:after="120" w:line="240" w:lineRule="auto"/>
        <w:rPr>
          <w:rFonts w:ascii="Noto Sans" w:hAnsi="Noto Sans" w:cs="Arial"/>
          <w:sz w:val="20"/>
          <w:szCs w:val="20"/>
        </w:rPr>
      </w:pPr>
    </w:p>
    <w:p w14:paraId="5EEFEB9E" w14:textId="77777777" w:rsidR="00150988" w:rsidRPr="005E4D70" w:rsidRDefault="00150988" w:rsidP="00150988">
      <w:pPr>
        <w:autoSpaceDE w:val="0"/>
        <w:autoSpaceDN w:val="0"/>
        <w:adjustRightInd w:val="0"/>
        <w:spacing w:before="120" w:after="120" w:line="240" w:lineRule="auto"/>
        <w:rPr>
          <w:rFonts w:ascii="Noto Sans" w:hAnsi="Noto Sans" w:cs="Arial"/>
          <w:sz w:val="20"/>
          <w:szCs w:val="20"/>
        </w:rPr>
      </w:pPr>
    </w:p>
    <w:p w14:paraId="5E3BD78F" w14:textId="77777777" w:rsidR="00796CD8" w:rsidRPr="00E96DC9" w:rsidRDefault="00796CD8" w:rsidP="00E96DC9">
      <w:pPr>
        <w:spacing w:after="120" w:line="240" w:lineRule="auto"/>
        <w:rPr>
          <w:rFonts w:ascii="Noto Sans" w:eastAsia="Noto Sans" w:hAnsi="Noto Sans" w:cs="Times New Roman"/>
          <w:b/>
          <w:bCs/>
          <w:i/>
          <w:iCs/>
          <w:color w:val="4F3398"/>
          <w:sz w:val="18"/>
          <w:szCs w:val="20"/>
          <w:u w:val="single"/>
        </w:rPr>
      </w:pPr>
    </w:p>
    <w:p w14:paraId="3385285D" w14:textId="77777777" w:rsidR="00796CD8" w:rsidRPr="00E96DC9" w:rsidRDefault="00796CD8" w:rsidP="00E96DC9">
      <w:pPr>
        <w:spacing w:after="120" w:line="240" w:lineRule="auto"/>
        <w:rPr>
          <w:rFonts w:ascii="Noto Sans" w:eastAsia="Noto Sans" w:hAnsi="Noto Sans" w:cs="Times New Roman"/>
          <w:b/>
          <w:bCs/>
          <w:i/>
          <w:iCs/>
          <w:color w:val="4F3398"/>
          <w:sz w:val="18"/>
          <w:szCs w:val="20"/>
          <w:u w:val="single"/>
        </w:rPr>
      </w:pPr>
    </w:p>
    <w:p w14:paraId="2D8C4A57" w14:textId="77777777" w:rsidR="00796CD8" w:rsidRDefault="00796CD8" w:rsidP="00E96DC9">
      <w:pPr>
        <w:spacing w:after="120" w:line="240" w:lineRule="auto"/>
        <w:rPr>
          <w:rFonts w:ascii="Noto Sans" w:eastAsia="Noto Sans" w:hAnsi="Noto Sans" w:cs="Times New Roman"/>
          <w:sz w:val="18"/>
          <w:szCs w:val="20"/>
          <w:lang w:eastAsia="ja-JP"/>
        </w:rPr>
      </w:pPr>
    </w:p>
    <w:p w14:paraId="7A0CAA8B" w14:textId="77777777" w:rsidR="00796CD8" w:rsidRPr="00E96DC9" w:rsidRDefault="00796CD8" w:rsidP="00E96DC9">
      <w:pPr>
        <w:spacing w:after="120" w:line="240" w:lineRule="auto"/>
        <w:rPr>
          <w:rFonts w:ascii="Noto Sans" w:eastAsia="Noto Sans" w:hAnsi="Noto Sans" w:cs="Times New Roman"/>
          <w:b/>
          <w:bCs/>
          <w:i/>
          <w:iCs/>
          <w:color w:val="4F3398"/>
          <w:sz w:val="18"/>
          <w:szCs w:val="20"/>
          <w:u w:val="single"/>
        </w:rPr>
      </w:pPr>
    </w:p>
    <w:p w14:paraId="7CF03EB5" w14:textId="77777777" w:rsidR="00796CD8" w:rsidRDefault="00796CD8">
      <w:pPr>
        <w:rPr>
          <w:rFonts w:ascii="Noto Sans" w:hAnsi="Noto Sans" w:cs="Arial"/>
          <w:b/>
          <w:sz w:val="20"/>
          <w:szCs w:val="20"/>
        </w:rPr>
      </w:pPr>
      <w:r>
        <w:rPr>
          <w:rFonts w:ascii="Noto Sans" w:hAnsi="Noto Sans" w:cs="Arial"/>
          <w:b/>
          <w:sz w:val="20"/>
          <w:szCs w:val="20"/>
        </w:rPr>
        <w:br w:type="page"/>
      </w:r>
    </w:p>
    <w:p w14:paraId="7D8BA819" w14:textId="77777777" w:rsidR="00B041C1" w:rsidRPr="00DA04B3" w:rsidRDefault="00B041C1" w:rsidP="00B041C1">
      <w:pPr>
        <w:pStyle w:val="Heading1"/>
        <w:rPr>
          <w:rFonts w:ascii="Noto Sans" w:hAnsi="Noto Sans"/>
        </w:rPr>
      </w:pPr>
      <w:r w:rsidRPr="00DA04B3">
        <w:rPr>
          <w:rFonts w:ascii="Noto Sans" w:hAnsi="Noto Sans"/>
        </w:rPr>
        <w:lastRenderedPageBreak/>
        <w:t xml:space="preserve">Appendix 1 – ESG, Voting and Engagement Policies </w:t>
      </w:r>
    </w:p>
    <w:p w14:paraId="71BCCB2E" w14:textId="5349B9B0" w:rsidR="00B041C1" w:rsidRPr="00DA04B3" w:rsidRDefault="00B041C1" w:rsidP="00B041C1">
      <w:pPr>
        <w:pStyle w:val="RMbody"/>
        <w:spacing w:before="120" w:after="120"/>
        <w:rPr>
          <w:rFonts w:ascii="Noto Sans" w:hAnsi="Noto Sans" w:cstheme="minorHAnsi"/>
          <w:sz w:val="19"/>
          <w:szCs w:val="19"/>
        </w:rPr>
      </w:pPr>
      <w:r w:rsidRPr="00DA04B3">
        <w:rPr>
          <w:rFonts w:ascii="Noto Sans" w:hAnsi="Noto Sans" w:cstheme="minorHAnsi"/>
          <w:sz w:val="19"/>
          <w:szCs w:val="19"/>
        </w:rPr>
        <w:t>The links to the voting and engagement policies of the fiduciary manager c</w:t>
      </w:r>
      <w:r w:rsidR="00A75F80" w:rsidRPr="00DA04B3">
        <w:rPr>
          <w:rFonts w:ascii="Noto Sans" w:hAnsi="Noto Sans" w:cstheme="minorHAnsi"/>
          <w:sz w:val="19"/>
          <w:szCs w:val="19"/>
        </w:rPr>
        <w:t>an be found below:</w:t>
      </w:r>
    </w:p>
    <w:tbl>
      <w:tblPr>
        <w:tblStyle w:val="RMTable"/>
        <w:tblW w:w="9781" w:type="dxa"/>
        <w:tblLayout w:type="fixed"/>
        <w:tblLook w:val="04A0" w:firstRow="1" w:lastRow="0" w:firstColumn="1" w:lastColumn="0" w:noHBand="0" w:noVBand="1"/>
      </w:tblPr>
      <w:tblGrid>
        <w:gridCol w:w="3687"/>
        <w:gridCol w:w="6094"/>
      </w:tblGrid>
      <w:tr w:rsidR="00B041C1" w:rsidRPr="00DA04B3" w14:paraId="5182BC68" w14:textId="77777777" w:rsidTr="00381BAB">
        <w:trPr>
          <w:cnfStyle w:val="100000000000" w:firstRow="1" w:lastRow="0" w:firstColumn="0" w:lastColumn="0" w:oddVBand="0" w:evenVBand="0" w:oddHBand="0" w:evenHBand="0" w:firstRowFirstColumn="0" w:firstRowLastColumn="0" w:lastRowFirstColumn="0" w:lastRowLastColumn="0"/>
          <w:trHeight w:val="733"/>
        </w:trPr>
        <w:tc>
          <w:tcPr>
            <w:tcW w:w="3687" w:type="dxa"/>
            <w:shd w:val="clear" w:color="auto" w:fill="002A5E"/>
            <w:noWrap/>
            <w:vAlign w:val="center"/>
            <w:hideMark/>
          </w:tcPr>
          <w:p w14:paraId="72CB868A" w14:textId="2F1D875F" w:rsidR="00B041C1" w:rsidRPr="00DA04B3" w:rsidRDefault="002304A7" w:rsidP="00381BAB">
            <w:pPr>
              <w:pStyle w:val="RMbody"/>
              <w:spacing w:before="120" w:after="120"/>
              <w:rPr>
                <w:rFonts w:ascii="Noto Sans" w:hAnsi="Noto Sans" w:cstheme="minorHAnsi"/>
                <w:color w:val="FFFFFF" w:themeColor="background1"/>
                <w:sz w:val="19"/>
                <w:szCs w:val="19"/>
              </w:rPr>
            </w:pPr>
            <w:r w:rsidRPr="00DA04B3">
              <w:rPr>
                <w:rFonts w:ascii="Noto Sans" w:hAnsi="Noto Sans" w:cstheme="minorHAnsi"/>
                <w:color w:val="FFFFFF" w:themeColor="background1"/>
                <w:sz w:val="19"/>
                <w:szCs w:val="19"/>
              </w:rPr>
              <w:t>Fiduciary Manager</w:t>
            </w:r>
          </w:p>
        </w:tc>
        <w:tc>
          <w:tcPr>
            <w:tcW w:w="6094" w:type="dxa"/>
            <w:shd w:val="clear" w:color="auto" w:fill="002A5E"/>
            <w:vAlign w:val="center"/>
          </w:tcPr>
          <w:p w14:paraId="04F54C74" w14:textId="77777777" w:rsidR="00B041C1" w:rsidRPr="00DA04B3" w:rsidRDefault="00B041C1" w:rsidP="00381BAB">
            <w:pPr>
              <w:pStyle w:val="RMbody"/>
              <w:spacing w:before="120" w:after="120"/>
              <w:rPr>
                <w:rFonts w:ascii="Noto Sans" w:hAnsi="Noto Sans" w:cstheme="minorHAnsi"/>
                <w:color w:val="FFFFFF" w:themeColor="background1"/>
                <w:sz w:val="19"/>
                <w:szCs w:val="19"/>
              </w:rPr>
            </w:pPr>
            <w:r w:rsidRPr="00DA04B3">
              <w:rPr>
                <w:rFonts w:ascii="Noto Sans" w:hAnsi="Noto Sans" w:cstheme="minorHAnsi"/>
                <w:color w:val="FFFFFF" w:themeColor="background1"/>
                <w:sz w:val="19"/>
                <w:szCs w:val="19"/>
              </w:rPr>
              <w:t>Voting &amp; Engagement Policy</w:t>
            </w:r>
          </w:p>
        </w:tc>
      </w:tr>
      <w:tr w:rsidR="00B041C1" w:rsidRPr="00DA04B3" w14:paraId="4EB707D3" w14:textId="77777777" w:rsidTr="00381BAB">
        <w:trPr>
          <w:trHeight w:val="453"/>
        </w:trPr>
        <w:tc>
          <w:tcPr>
            <w:tcW w:w="3687" w:type="dxa"/>
            <w:tcBorders>
              <w:top w:val="single" w:sz="4" w:space="0" w:color="58595B"/>
              <w:bottom w:val="single" w:sz="4" w:space="0" w:color="auto"/>
            </w:tcBorders>
            <w:noWrap/>
            <w:vAlign w:val="center"/>
            <w:hideMark/>
          </w:tcPr>
          <w:p w14:paraId="1F82B973" w14:textId="5564D044" w:rsidR="00B041C1" w:rsidRPr="00DA04B3" w:rsidRDefault="00B041C1" w:rsidP="00381BAB">
            <w:pPr>
              <w:pStyle w:val="RMbody"/>
              <w:spacing w:before="120" w:after="120"/>
              <w:rPr>
                <w:rFonts w:ascii="Noto Sans" w:hAnsi="Noto Sans" w:cstheme="minorHAnsi"/>
                <w:sz w:val="19"/>
                <w:szCs w:val="19"/>
              </w:rPr>
            </w:pPr>
            <w:r w:rsidRPr="00DA04B3">
              <w:rPr>
                <w:rFonts w:ascii="Noto Sans" w:hAnsi="Noto Sans" w:cstheme="minorHAnsi"/>
                <w:sz w:val="19"/>
                <w:szCs w:val="19"/>
              </w:rPr>
              <w:t xml:space="preserve">Schroders </w:t>
            </w:r>
            <w:r w:rsidR="002304A7" w:rsidRPr="00DA04B3">
              <w:rPr>
                <w:rFonts w:ascii="Noto Sans" w:hAnsi="Noto Sans" w:cstheme="minorHAnsi"/>
                <w:sz w:val="19"/>
                <w:szCs w:val="19"/>
              </w:rPr>
              <w:t xml:space="preserve">Investment Management Limited </w:t>
            </w:r>
          </w:p>
        </w:tc>
        <w:tc>
          <w:tcPr>
            <w:tcW w:w="6094" w:type="dxa"/>
            <w:tcBorders>
              <w:top w:val="single" w:sz="4" w:space="0" w:color="58595B"/>
              <w:bottom w:val="single" w:sz="4" w:space="0" w:color="auto"/>
            </w:tcBorders>
            <w:vAlign w:val="center"/>
          </w:tcPr>
          <w:p w14:paraId="7511382E" w14:textId="6B7F0E84" w:rsidR="00B041C1" w:rsidRPr="00DA04B3" w:rsidRDefault="0095577B" w:rsidP="00381BAB">
            <w:pPr>
              <w:pStyle w:val="RMbody"/>
              <w:spacing w:before="120" w:after="120"/>
              <w:rPr>
                <w:rFonts w:ascii="Noto Sans" w:hAnsi="Noto Sans" w:cstheme="minorHAnsi"/>
                <w:sz w:val="19"/>
                <w:szCs w:val="19"/>
              </w:rPr>
            </w:pPr>
            <w:r w:rsidRPr="00DA04B3">
              <w:rPr>
                <w:rFonts w:ascii="Noto Sans" w:hAnsi="Noto Sans"/>
              </w:rPr>
              <w:t xml:space="preserve">Voting: </w:t>
            </w:r>
            <w:hyperlink r:id="rId10" w:history="1">
              <w:r w:rsidRPr="00DA04B3">
                <w:rPr>
                  <w:rStyle w:val="Hyperlink"/>
                  <w:rFonts w:ascii="Noto Sans" w:hAnsi="Noto Sans" w:cstheme="minorHAnsi"/>
                  <w:sz w:val="19"/>
                  <w:szCs w:val="19"/>
                  <w:lang w:val="en-GB"/>
                </w:rPr>
                <w:t>https://mybrand.schroders.com/m/6197143c263420f5/original/Schroders-Group-Sustainable-Investment-Policy.pdf</w:t>
              </w:r>
            </w:hyperlink>
          </w:p>
          <w:p w14:paraId="47E29E61" w14:textId="77777777" w:rsidR="0095577B" w:rsidRPr="00DA04B3" w:rsidRDefault="0095577B" w:rsidP="00381BAB">
            <w:pPr>
              <w:pStyle w:val="RMbody"/>
              <w:spacing w:before="120" w:after="120"/>
              <w:rPr>
                <w:rFonts w:ascii="Noto Sans" w:hAnsi="Noto Sans"/>
              </w:rPr>
            </w:pPr>
            <w:r w:rsidRPr="00DA04B3">
              <w:rPr>
                <w:rFonts w:ascii="Noto Sans" w:hAnsi="Noto Sans"/>
              </w:rPr>
              <w:t xml:space="preserve">Engagement: </w:t>
            </w:r>
          </w:p>
          <w:p w14:paraId="30A540E3" w14:textId="73D72EC9" w:rsidR="00B041C1" w:rsidRPr="00DA04B3" w:rsidRDefault="00417F51" w:rsidP="00381BAB">
            <w:pPr>
              <w:pStyle w:val="RMbody"/>
              <w:spacing w:before="120" w:after="120"/>
              <w:rPr>
                <w:rFonts w:ascii="Noto Sans" w:hAnsi="Noto Sans" w:cstheme="minorHAnsi"/>
                <w:sz w:val="19"/>
                <w:szCs w:val="19"/>
              </w:rPr>
            </w:pPr>
            <w:hyperlink r:id="rId11" w:history="1">
              <w:r w:rsidRPr="00DA04B3">
                <w:rPr>
                  <w:rStyle w:val="Hyperlink"/>
                  <w:rFonts w:ascii="Noto Sans" w:eastAsia="Times New Roman" w:hAnsi="Noto Sans" w:cstheme="minorHAnsi"/>
                  <w:sz w:val="19"/>
                  <w:szCs w:val="19"/>
                  <w:lang w:val="en-GB"/>
                </w:rPr>
                <w:t>https://mybrand.schroders.com/m/1d7b11399a5fa4b9/original/613798_SC_Listed-Assets-Blueprint-2025.pdf</w:t>
              </w:r>
            </w:hyperlink>
          </w:p>
        </w:tc>
      </w:tr>
    </w:tbl>
    <w:p w14:paraId="65C0754E" w14:textId="40AB8545" w:rsidR="00776ED0" w:rsidRPr="00DA04B3" w:rsidRDefault="00AF5900" w:rsidP="00A75F80">
      <w:pPr>
        <w:autoSpaceDE w:val="0"/>
        <w:autoSpaceDN w:val="0"/>
        <w:adjustRightInd w:val="0"/>
        <w:spacing w:before="120" w:after="120" w:line="240" w:lineRule="auto"/>
        <w:rPr>
          <w:rFonts w:ascii="Noto Sans" w:hAnsi="Noto Sans" w:cs="Arial"/>
          <w:sz w:val="20"/>
          <w:szCs w:val="20"/>
        </w:rPr>
      </w:pPr>
      <w:r w:rsidRPr="00DA04B3">
        <w:rPr>
          <w:rFonts w:ascii="Noto Sans" w:hAnsi="Noto Sans" w:cs="Arial"/>
          <w:sz w:val="16"/>
          <w:szCs w:val="20"/>
        </w:rPr>
        <w:br/>
      </w:r>
    </w:p>
    <w:sectPr w:rsidR="00776ED0" w:rsidRPr="00DA04B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6652" w14:textId="77777777" w:rsidR="00DA1FE7" w:rsidRDefault="00DA1FE7" w:rsidP="00D4639B">
      <w:pPr>
        <w:spacing w:after="0" w:line="240" w:lineRule="auto"/>
      </w:pPr>
      <w:r>
        <w:separator/>
      </w:r>
    </w:p>
  </w:endnote>
  <w:endnote w:type="continuationSeparator" w:id="0">
    <w:p w14:paraId="521BD5CF" w14:textId="77777777" w:rsidR="00DA1FE7" w:rsidRDefault="00DA1FE7" w:rsidP="00D4639B">
      <w:pPr>
        <w:spacing w:after="0" w:line="240" w:lineRule="auto"/>
      </w:pPr>
      <w:r>
        <w:continuationSeparator/>
      </w:r>
    </w:p>
  </w:endnote>
  <w:endnote w:type="continuationNotice" w:id="1">
    <w:p w14:paraId="6F6C8C30" w14:textId="77777777" w:rsidR="00DA1FE7" w:rsidRDefault="00DA1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ubian">
    <w:altName w:val="Nubi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6"/>
    </w:tblGrid>
    <w:tr w:rsidR="00961CA7" w:rsidRPr="00F30126" w14:paraId="36ED597B" w14:textId="77777777" w:rsidTr="00221764">
      <w:trPr>
        <w:trHeight w:hRule="exact" w:val="624"/>
      </w:trPr>
      <w:tc>
        <w:tcPr>
          <w:tcW w:w="336" w:type="dxa"/>
          <w:vAlign w:val="center"/>
        </w:tcPr>
        <w:p w14:paraId="260207AE" w14:textId="1623EABD" w:rsidR="00961CA7" w:rsidRPr="00F30126" w:rsidRDefault="00961CA7" w:rsidP="00F30126">
          <w:pPr>
            <w:pStyle w:val="Footer"/>
            <w:jc w:val="center"/>
            <w:rPr>
              <w:rFonts w:ascii="Noto Sans" w:hAnsi="Noto Sans"/>
              <w:sz w:val="16"/>
              <w:szCs w:val="16"/>
            </w:rPr>
          </w:pPr>
          <w:r w:rsidRPr="00F30126">
            <w:rPr>
              <w:rStyle w:val="PageNumber"/>
              <w:rFonts w:ascii="Noto Sans" w:hAnsi="Noto Sans"/>
              <w:szCs w:val="16"/>
            </w:rPr>
            <w:fldChar w:fldCharType="begin"/>
          </w:r>
          <w:r w:rsidRPr="00F30126">
            <w:rPr>
              <w:rStyle w:val="PageNumber"/>
              <w:rFonts w:ascii="Noto Sans" w:hAnsi="Noto Sans"/>
              <w:szCs w:val="16"/>
            </w:rPr>
            <w:instrText xml:space="preserve"> PAGE   \* MERGEFORMAT </w:instrText>
          </w:r>
          <w:r w:rsidRPr="00F30126">
            <w:rPr>
              <w:rStyle w:val="PageNumber"/>
              <w:rFonts w:ascii="Noto Sans" w:hAnsi="Noto Sans"/>
              <w:szCs w:val="16"/>
            </w:rPr>
            <w:fldChar w:fldCharType="separate"/>
          </w:r>
          <w:r w:rsidR="001F0D05">
            <w:rPr>
              <w:rStyle w:val="PageNumber"/>
              <w:rFonts w:ascii="Noto Sans" w:hAnsi="Noto Sans"/>
              <w:noProof/>
              <w:szCs w:val="16"/>
            </w:rPr>
            <w:t>7</w:t>
          </w:r>
          <w:r w:rsidRPr="00F30126">
            <w:rPr>
              <w:rStyle w:val="PageNumber"/>
              <w:rFonts w:ascii="Noto Sans" w:hAnsi="Noto Sans"/>
              <w:szCs w:val="16"/>
            </w:rPr>
            <w:fldChar w:fldCharType="end"/>
          </w:r>
        </w:p>
      </w:tc>
    </w:tr>
  </w:tbl>
  <w:p w14:paraId="7CB30DF3" w14:textId="77777777" w:rsidR="00F30126" w:rsidRPr="00F30126" w:rsidRDefault="00F30126" w:rsidP="00F30126">
    <w:pPr>
      <w:pStyle w:val="Footer"/>
      <w:rPr>
        <w:rFonts w:ascii="Noto Sans" w:hAnsi="Noto Sa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4FC0" w14:textId="77777777" w:rsidR="00DA1FE7" w:rsidRDefault="00DA1FE7" w:rsidP="00D4639B">
      <w:pPr>
        <w:spacing w:after="0" w:line="240" w:lineRule="auto"/>
      </w:pPr>
      <w:r>
        <w:separator/>
      </w:r>
    </w:p>
  </w:footnote>
  <w:footnote w:type="continuationSeparator" w:id="0">
    <w:p w14:paraId="104D151A" w14:textId="77777777" w:rsidR="00DA1FE7" w:rsidRDefault="00DA1FE7" w:rsidP="00D4639B">
      <w:pPr>
        <w:spacing w:after="0" w:line="240" w:lineRule="auto"/>
      </w:pPr>
      <w:r>
        <w:continuationSeparator/>
      </w:r>
    </w:p>
  </w:footnote>
  <w:footnote w:type="continuationNotice" w:id="1">
    <w:p w14:paraId="49184A06" w14:textId="77777777" w:rsidR="00DA1FE7" w:rsidRDefault="00DA1F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BEB3" w14:textId="03FEAE97" w:rsidR="007E779A" w:rsidRDefault="007E7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A3A"/>
    <w:multiLevelType w:val="hybridMultilevel"/>
    <w:tmpl w:val="AA9C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3073D"/>
    <w:multiLevelType w:val="hybridMultilevel"/>
    <w:tmpl w:val="87D8D7E2"/>
    <w:lvl w:ilvl="0" w:tplc="7BDC3B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F76F71"/>
    <w:multiLevelType w:val="hybridMultilevel"/>
    <w:tmpl w:val="D678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C605C"/>
    <w:multiLevelType w:val="hybridMultilevel"/>
    <w:tmpl w:val="F14A5EC6"/>
    <w:lvl w:ilvl="0" w:tplc="3604C0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950BFA"/>
    <w:multiLevelType w:val="hybridMultilevel"/>
    <w:tmpl w:val="3B9C2FE6"/>
    <w:lvl w:ilvl="0" w:tplc="3604C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E3169"/>
    <w:multiLevelType w:val="hybridMultilevel"/>
    <w:tmpl w:val="0A269E44"/>
    <w:lvl w:ilvl="0" w:tplc="ECA05414">
      <w:numFmt w:val="bullet"/>
      <w:lvlText w:val="–"/>
      <w:lvlJc w:val="left"/>
      <w:pPr>
        <w:ind w:left="945" w:hanging="585"/>
      </w:pPr>
      <w:rPr>
        <w:rFonts w:ascii="Noto Sans" w:eastAsiaTheme="minorHAnsi" w:hAnsi="Noto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D0BAA"/>
    <w:multiLevelType w:val="hybridMultilevel"/>
    <w:tmpl w:val="6C96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6623"/>
    <w:multiLevelType w:val="hybridMultilevel"/>
    <w:tmpl w:val="9FD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C0A16"/>
    <w:multiLevelType w:val="hybridMultilevel"/>
    <w:tmpl w:val="3CFE6BA0"/>
    <w:lvl w:ilvl="0" w:tplc="3604C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11FB4"/>
    <w:multiLevelType w:val="hybridMultilevel"/>
    <w:tmpl w:val="C8A64218"/>
    <w:lvl w:ilvl="0" w:tplc="0FBE57E0">
      <w:numFmt w:val="bullet"/>
      <w:lvlText w:val="–"/>
      <w:lvlJc w:val="left"/>
      <w:pPr>
        <w:ind w:left="720" w:hanging="360"/>
      </w:pPr>
      <w:rPr>
        <w:rFonts w:ascii="Noto Sans" w:eastAsiaTheme="minorHAnsi" w:hAnsi="No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4413F"/>
    <w:multiLevelType w:val="hybridMultilevel"/>
    <w:tmpl w:val="91E0B4AA"/>
    <w:lvl w:ilvl="0" w:tplc="6FB6253A">
      <w:start w:val="1"/>
      <w:numFmt w:val="bullet"/>
      <w:lvlText w:val="−"/>
      <w:lvlJc w:val="left"/>
      <w:pPr>
        <w:ind w:left="720" w:hanging="360"/>
      </w:pPr>
      <w:rPr>
        <w:rFonts w:ascii="Noto Sans" w:hAnsi="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837F2"/>
    <w:multiLevelType w:val="hybridMultilevel"/>
    <w:tmpl w:val="88BADAC4"/>
    <w:lvl w:ilvl="0" w:tplc="EE805A52">
      <w:numFmt w:val="bullet"/>
      <w:lvlText w:val="•"/>
      <w:lvlJc w:val="left"/>
      <w:pPr>
        <w:ind w:left="1080" w:hanging="720"/>
      </w:pPr>
      <w:rPr>
        <w:rFonts w:ascii="Noto Sans" w:eastAsiaTheme="minorHAnsi" w:hAnsi="No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569C2"/>
    <w:multiLevelType w:val="hybridMultilevel"/>
    <w:tmpl w:val="D7848D7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44D252D"/>
    <w:multiLevelType w:val="hybridMultilevel"/>
    <w:tmpl w:val="BAC8349A"/>
    <w:lvl w:ilvl="0" w:tplc="6EB0CD40">
      <w:start w:val="1"/>
      <w:numFmt w:val="bullet"/>
      <w:lvlText w:val=""/>
      <w:lvlJc w:val="left"/>
      <w:pPr>
        <w:tabs>
          <w:tab w:val="num" w:pos="720"/>
        </w:tabs>
        <w:ind w:left="720" w:hanging="360"/>
      </w:pPr>
      <w:rPr>
        <w:rFonts w:ascii="Symbol" w:hAnsi="Symbol" w:hint="default"/>
      </w:rPr>
    </w:lvl>
    <w:lvl w:ilvl="1" w:tplc="C3D2F15A" w:tentative="1">
      <w:start w:val="1"/>
      <w:numFmt w:val="bullet"/>
      <w:lvlText w:val=""/>
      <w:lvlJc w:val="left"/>
      <w:pPr>
        <w:tabs>
          <w:tab w:val="num" w:pos="1440"/>
        </w:tabs>
        <w:ind w:left="1440" w:hanging="360"/>
      </w:pPr>
      <w:rPr>
        <w:rFonts w:ascii="Symbol" w:hAnsi="Symbol" w:hint="default"/>
      </w:rPr>
    </w:lvl>
    <w:lvl w:ilvl="2" w:tplc="CBC015C6" w:tentative="1">
      <w:start w:val="1"/>
      <w:numFmt w:val="bullet"/>
      <w:lvlText w:val=""/>
      <w:lvlJc w:val="left"/>
      <w:pPr>
        <w:tabs>
          <w:tab w:val="num" w:pos="2160"/>
        </w:tabs>
        <w:ind w:left="2160" w:hanging="360"/>
      </w:pPr>
      <w:rPr>
        <w:rFonts w:ascii="Symbol" w:hAnsi="Symbol" w:hint="default"/>
      </w:rPr>
    </w:lvl>
    <w:lvl w:ilvl="3" w:tplc="CCDC88D0" w:tentative="1">
      <w:start w:val="1"/>
      <w:numFmt w:val="bullet"/>
      <w:lvlText w:val=""/>
      <w:lvlJc w:val="left"/>
      <w:pPr>
        <w:tabs>
          <w:tab w:val="num" w:pos="2880"/>
        </w:tabs>
        <w:ind w:left="2880" w:hanging="360"/>
      </w:pPr>
      <w:rPr>
        <w:rFonts w:ascii="Symbol" w:hAnsi="Symbol" w:hint="default"/>
      </w:rPr>
    </w:lvl>
    <w:lvl w:ilvl="4" w:tplc="23641152" w:tentative="1">
      <w:start w:val="1"/>
      <w:numFmt w:val="bullet"/>
      <w:lvlText w:val=""/>
      <w:lvlJc w:val="left"/>
      <w:pPr>
        <w:tabs>
          <w:tab w:val="num" w:pos="3600"/>
        </w:tabs>
        <w:ind w:left="3600" w:hanging="360"/>
      </w:pPr>
      <w:rPr>
        <w:rFonts w:ascii="Symbol" w:hAnsi="Symbol" w:hint="default"/>
      </w:rPr>
    </w:lvl>
    <w:lvl w:ilvl="5" w:tplc="FC3ADE42" w:tentative="1">
      <w:start w:val="1"/>
      <w:numFmt w:val="bullet"/>
      <w:lvlText w:val=""/>
      <w:lvlJc w:val="left"/>
      <w:pPr>
        <w:tabs>
          <w:tab w:val="num" w:pos="4320"/>
        </w:tabs>
        <w:ind w:left="4320" w:hanging="360"/>
      </w:pPr>
      <w:rPr>
        <w:rFonts w:ascii="Symbol" w:hAnsi="Symbol" w:hint="default"/>
      </w:rPr>
    </w:lvl>
    <w:lvl w:ilvl="6" w:tplc="4DBA31E0" w:tentative="1">
      <w:start w:val="1"/>
      <w:numFmt w:val="bullet"/>
      <w:lvlText w:val=""/>
      <w:lvlJc w:val="left"/>
      <w:pPr>
        <w:tabs>
          <w:tab w:val="num" w:pos="5040"/>
        </w:tabs>
        <w:ind w:left="5040" w:hanging="360"/>
      </w:pPr>
      <w:rPr>
        <w:rFonts w:ascii="Symbol" w:hAnsi="Symbol" w:hint="default"/>
      </w:rPr>
    </w:lvl>
    <w:lvl w:ilvl="7" w:tplc="BEAC7BB2" w:tentative="1">
      <w:start w:val="1"/>
      <w:numFmt w:val="bullet"/>
      <w:lvlText w:val=""/>
      <w:lvlJc w:val="left"/>
      <w:pPr>
        <w:tabs>
          <w:tab w:val="num" w:pos="5760"/>
        </w:tabs>
        <w:ind w:left="5760" w:hanging="360"/>
      </w:pPr>
      <w:rPr>
        <w:rFonts w:ascii="Symbol" w:hAnsi="Symbol" w:hint="default"/>
      </w:rPr>
    </w:lvl>
    <w:lvl w:ilvl="8" w:tplc="C49AD1A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5E55310"/>
    <w:multiLevelType w:val="hybridMultilevel"/>
    <w:tmpl w:val="3A36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B7409"/>
    <w:multiLevelType w:val="hybridMultilevel"/>
    <w:tmpl w:val="B52E4D9C"/>
    <w:lvl w:ilvl="0" w:tplc="F2EE5374">
      <w:start w:val="1"/>
      <w:numFmt w:val="bullet"/>
      <w:lvlText w:val="─"/>
      <w:lvlJc w:val="left"/>
      <w:pPr>
        <w:tabs>
          <w:tab w:val="num" w:pos="720"/>
        </w:tabs>
        <w:ind w:left="720" w:hanging="360"/>
      </w:pPr>
      <w:rPr>
        <w:rFonts w:ascii="Noto Sans" w:hAnsi="Noto Sans" w:hint="default"/>
      </w:rPr>
    </w:lvl>
    <w:lvl w:ilvl="1" w:tplc="11C65182">
      <w:start w:val="1"/>
      <w:numFmt w:val="bullet"/>
      <w:lvlText w:val="─"/>
      <w:lvlJc w:val="left"/>
      <w:pPr>
        <w:tabs>
          <w:tab w:val="num" w:pos="1440"/>
        </w:tabs>
        <w:ind w:left="1440" w:hanging="360"/>
      </w:pPr>
      <w:rPr>
        <w:rFonts w:ascii="Noto Sans" w:hAnsi="Noto Sans" w:hint="default"/>
      </w:rPr>
    </w:lvl>
    <w:lvl w:ilvl="2" w:tplc="7A9AF5A4" w:tentative="1">
      <w:start w:val="1"/>
      <w:numFmt w:val="bullet"/>
      <w:lvlText w:val="─"/>
      <w:lvlJc w:val="left"/>
      <w:pPr>
        <w:tabs>
          <w:tab w:val="num" w:pos="2160"/>
        </w:tabs>
        <w:ind w:left="2160" w:hanging="360"/>
      </w:pPr>
      <w:rPr>
        <w:rFonts w:ascii="Noto Sans" w:hAnsi="Noto Sans" w:hint="default"/>
      </w:rPr>
    </w:lvl>
    <w:lvl w:ilvl="3" w:tplc="20584702" w:tentative="1">
      <w:start w:val="1"/>
      <w:numFmt w:val="bullet"/>
      <w:lvlText w:val="─"/>
      <w:lvlJc w:val="left"/>
      <w:pPr>
        <w:tabs>
          <w:tab w:val="num" w:pos="2880"/>
        </w:tabs>
        <w:ind w:left="2880" w:hanging="360"/>
      </w:pPr>
      <w:rPr>
        <w:rFonts w:ascii="Noto Sans" w:hAnsi="Noto Sans" w:hint="default"/>
      </w:rPr>
    </w:lvl>
    <w:lvl w:ilvl="4" w:tplc="7CE832EE" w:tentative="1">
      <w:start w:val="1"/>
      <w:numFmt w:val="bullet"/>
      <w:lvlText w:val="─"/>
      <w:lvlJc w:val="left"/>
      <w:pPr>
        <w:tabs>
          <w:tab w:val="num" w:pos="3600"/>
        </w:tabs>
        <w:ind w:left="3600" w:hanging="360"/>
      </w:pPr>
      <w:rPr>
        <w:rFonts w:ascii="Noto Sans" w:hAnsi="Noto Sans" w:hint="default"/>
      </w:rPr>
    </w:lvl>
    <w:lvl w:ilvl="5" w:tplc="4EAED568" w:tentative="1">
      <w:start w:val="1"/>
      <w:numFmt w:val="bullet"/>
      <w:lvlText w:val="─"/>
      <w:lvlJc w:val="left"/>
      <w:pPr>
        <w:tabs>
          <w:tab w:val="num" w:pos="4320"/>
        </w:tabs>
        <w:ind w:left="4320" w:hanging="360"/>
      </w:pPr>
      <w:rPr>
        <w:rFonts w:ascii="Noto Sans" w:hAnsi="Noto Sans" w:hint="default"/>
      </w:rPr>
    </w:lvl>
    <w:lvl w:ilvl="6" w:tplc="91F883E4" w:tentative="1">
      <w:start w:val="1"/>
      <w:numFmt w:val="bullet"/>
      <w:lvlText w:val="─"/>
      <w:lvlJc w:val="left"/>
      <w:pPr>
        <w:tabs>
          <w:tab w:val="num" w:pos="5040"/>
        </w:tabs>
        <w:ind w:left="5040" w:hanging="360"/>
      </w:pPr>
      <w:rPr>
        <w:rFonts w:ascii="Noto Sans" w:hAnsi="Noto Sans" w:hint="default"/>
      </w:rPr>
    </w:lvl>
    <w:lvl w:ilvl="7" w:tplc="3E12A744" w:tentative="1">
      <w:start w:val="1"/>
      <w:numFmt w:val="bullet"/>
      <w:lvlText w:val="─"/>
      <w:lvlJc w:val="left"/>
      <w:pPr>
        <w:tabs>
          <w:tab w:val="num" w:pos="5760"/>
        </w:tabs>
        <w:ind w:left="5760" w:hanging="360"/>
      </w:pPr>
      <w:rPr>
        <w:rFonts w:ascii="Noto Sans" w:hAnsi="Noto Sans" w:hint="default"/>
      </w:rPr>
    </w:lvl>
    <w:lvl w:ilvl="8" w:tplc="49A828C0" w:tentative="1">
      <w:start w:val="1"/>
      <w:numFmt w:val="bullet"/>
      <w:lvlText w:val="─"/>
      <w:lvlJc w:val="left"/>
      <w:pPr>
        <w:tabs>
          <w:tab w:val="num" w:pos="6480"/>
        </w:tabs>
        <w:ind w:left="6480" w:hanging="360"/>
      </w:pPr>
      <w:rPr>
        <w:rFonts w:ascii="Noto Sans" w:hAnsi="Noto Sans" w:hint="default"/>
      </w:rPr>
    </w:lvl>
  </w:abstractNum>
  <w:abstractNum w:abstractNumId="16" w15:restartNumberingAfterBreak="0">
    <w:nsid w:val="3DA639B3"/>
    <w:multiLevelType w:val="hybridMultilevel"/>
    <w:tmpl w:val="DF068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9A6D9E"/>
    <w:multiLevelType w:val="hybridMultilevel"/>
    <w:tmpl w:val="22B24B28"/>
    <w:lvl w:ilvl="0" w:tplc="1FDCA25A">
      <w:start w:val="1"/>
      <w:numFmt w:val="bullet"/>
      <w:lvlText w:val="–"/>
      <w:lvlJc w:val="left"/>
      <w:pPr>
        <w:ind w:left="360" w:hanging="360"/>
      </w:pPr>
      <w:rPr>
        <w:rFonts w:ascii="Arial" w:hAnsi="Arial"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9D642E"/>
    <w:multiLevelType w:val="hybridMultilevel"/>
    <w:tmpl w:val="8C7624A6"/>
    <w:lvl w:ilvl="0" w:tplc="2544FB12">
      <w:start w:val="1"/>
      <w:numFmt w:val="bullet"/>
      <w:lvlText w:val=""/>
      <w:lvlJc w:val="left"/>
      <w:pPr>
        <w:ind w:left="720" w:hanging="360"/>
      </w:pPr>
      <w:rPr>
        <w:rFonts w:ascii="Symbol" w:hAnsi="Symbol" w:hint="default"/>
      </w:rPr>
    </w:lvl>
    <w:lvl w:ilvl="1" w:tplc="2544FB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20" w15:restartNumberingAfterBreak="0">
    <w:nsid w:val="43FF527B"/>
    <w:multiLevelType w:val="hybridMultilevel"/>
    <w:tmpl w:val="E27C6A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A1A7D"/>
    <w:multiLevelType w:val="hybridMultilevel"/>
    <w:tmpl w:val="D1869B16"/>
    <w:lvl w:ilvl="0" w:tplc="67D867CE">
      <w:start w:val="1"/>
      <w:numFmt w:val="bullet"/>
      <w:lvlText w:val="‒"/>
      <w:lvlJc w:val="left"/>
      <w:pPr>
        <w:ind w:left="720" w:hanging="360"/>
      </w:pPr>
      <w:rPr>
        <w:rFonts w:ascii="Noto Sans" w:hAnsi="Noto Sans" w:hint="default"/>
      </w:rPr>
    </w:lvl>
    <w:lvl w:ilvl="1" w:tplc="3D48407A">
      <w:numFmt w:val="bullet"/>
      <w:lvlText w:val="–"/>
      <w:lvlJc w:val="left"/>
      <w:pPr>
        <w:ind w:left="1665" w:hanging="585"/>
      </w:pPr>
      <w:rPr>
        <w:rFonts w:ascii="Noto Sans" w:eastAsiaTheme="minorHAnsi" w:hAnsi="Noto San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B02CB"/>
    <w:multiLevelType w:val="hybridMultilevel"/>
    <w:tmpl w:val="C81ECF54"/>
    <w:lvl w:ilvl="0" w:tplc="67D867CE">
      <w:start w:val="1"/>
      <w:numFmt w:val="bullet"/>
      <w:lvlText w:val="‒"/>
      <w:lvlJc w:val="left"/>
      <w:pPr>
        <w:ind w:left="720" w:hanging="360"/>
      </w:pPr>
      <w:rPr>
        <w:rFonts w:ascii="Noto Sans" w:hAnsi="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5A7CAF"/>
    <w:multiLevelType w:val="hybridMultilevel"/>
    <w:tmpl w:val="33B87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E6D4D"/>
    <w:multiLevelType w:val="hybridMultilevel"/>
    <w:tmpl w:val="EDFC79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75E08"/>
    <w:multiLevelType w:val="hybridMultilevel"/>
    <w:tmpl w:val="51489D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D13FE"/>
    <w:multiLevelType w:val="hybridMultilevel"/>
    <w:tmpl w:val="3A7AE85E"/>
    <w:lvl w:ilvl="0" w:tplc="21F07A60">
      <w:numFmt w:val="bullet"/>
      <w:lvlText w:val="•"/>
      <w:lvlJc w:val="left"/>
      <w:pPr>
        <w:ind w:left="435" w:hanging="435"/>
      </w:pPr>
      <w:rPr>
        <w:rFonts w:ascii="Noto Sans" w:eastAsia="Calibri" w:hAnsi="Noto Sans" w:cs="Times New Roman" w:hint="default"/>
        <w: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F767F14"/>
    <w:multiLevelType w:val="hybridMultilevel"/>
    <w:tmpl w:val="F7B2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0932D3"/>
    <w:multiLevelType w:val="hybridMultilevel"/>
    <w:tmpl w:val="E426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A2008D"/>
    <w:multiLevelType w:val="hybridMultilevel"/>
    <w:tmpl w:val="490A9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2C312F"/>
    <w:multiLevelType w:val="hybridMultilevel"/>
    <w:tmpl w:val="2804AF4E"/>
    <w:lvl w:ilvl="0" w:tplc="3604C0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806B29"/>
    <w:multiLevelType w:val="hybridMultilevel"/>
    <w:tmpl w:val="AD225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031C2"/>
    <w:multiLevelType w:val="hybridMultilevel"/>
    <w:tmpl w:val="3120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B846DA"/>
    <w:multiLevelType w:val="hybridMultilevel"/>
    <w:tmpl w:val="512EE82E"/>
    <w:lvl w:ilvl="0" w:tplc="632C0FEC">
      <w:numFmt w:val="bullet"/>
      <w:lvlText w:val="–"/>
      <w:lvlJc w:val="left"/>
      <w:pPr>
        <w:ind w:left="720" w:hanging="360"/>
      </w:pPr>
      <w:rPr>
        <w:rFonts w:ascii="Noto Sans" w:eastAsiaTheme="minorHAnsi" w:hAnsi="No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D71E9"/>
    <w:multiLevelType w:val="hybridMultilevel"/>
    <w:tmpl w:val="96F6D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2464F8"/>
    <w:multiLevelType w:val="hybridMultilevel"/>
    <w:tmpl w:val="B22CDE1C"/>
    <w:lvl w:ilvl="0" w:tplc="3604C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30554"/>
    <w:multiLevelType w:val="hybridMultilevel"/>
    <w:tmpl w:val="45BEDDB6"/>
    <w:lvl w:ilvl="0" w:tplc="6FB6253A">
      <w:start w:val="1"/>
      <w:numFmt w:val="bullet"/>
      <w:lvlText w:val="−"/>
      <w:lvlJc w:val="left"/>
      <w:pPr>
        <w:ind w:left="720" w:hanging="360"/>
      </w:pPr>
      <w:rPr>
        <w:rFonts w:ascii="Noto Sans" w:hAnsi="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40077"/>
    <w:multiLevelType w:val="hybridMultilevel"/>
    <w:tmpl w:val="8010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22C06"/>
    <w:multiLevelType w:val="hybridMultilevel"/>
    <w:tmpl w:val="31469E0C"/>
    <w:lvl w:ilvl="0" w:tplc="AADEAABA">
      <w:start w:val="1"/>
      <w:numFmt w:val="bullet"/>
      <w:lvlText w:val="─"/>
      <w:lvlJc w:val="left"/>
      <w:pPr>
        <w:tabs>
          <w:tab w:val="num" w:pos="720"/>
        </w:tabs>
        <w:ind w:left="720" w:hanging="360"/>
      </w:pPr>
      <w:rPr>
        <w:rFonts w:ascii="Noto Sans" w:hAnsi="Noto Sans" w:hint="default"/>
      </w:rPr>
    </w:lvl>
    <w:lvl w:ilvl="1" w:tplc="4544D2D0">
      <w:start w:val="1"/>
      <w:numFmt w:val="bullet"/>
      <w:lvlText w:val="─"/>
      <w:lvlJc w:val="left"/>
      <w:pPr>
        <w:tabs>
          <w:tab w:val="num" w:pos="1440"/>
        </w:tabs>
        <w:ind w:left="1440" w:hanging="360"/>
      </w:pPr>
      <w:rPr>
        <w:rFonts w:ascii="Noto Sans" w:hAnsi="Noto Sans" w:hint="default"/>
      </w:rPr>
    </w:lvl>
    <w:lvl w:ilvl="2" w:tplc="0FA47F5E" w:tentative="1">
      <w:start w:val="1"/>
      <w:numFmt w:val="bullet"/>
      <w:lvlText w:val="─"/>
      <w:lvlJc w:val="left"/>
      <w:pPr>
        <w:tabs>
          <w:tab w:val="num" w:pos="2160"/>
        </w:tabs>
        <w:ind w:left="2160" w:hanging="360"/>
      </w:pPr>
      <w:rPr>
        <w:rFonts w:ascii="Noto Sans" w:hAnsi="Noto Sans" w:hint="default"/>
      </w:rPr>
    </w:lvl>
    <w:lvl w:ilvl="3" w:tplc="D304F4F0" w:tentative="1">
      <w:start w:val="1"/>
      <w:numFmt w:val="bullet"/>
      <w:lvlText w:val="─"/>
      <w:lvlJc w:val="left"/>
      <w:pPr>
        <w:tabs>
          <w:tab w:val="num" w:pos="2880"/>
        </w:tabs>
        <w:ind w:left="2880" w:hanging="360"/>
      </w:pPr>
      <w:rPr>
        <w:rFonts w:ascii="Noto Sans" w:hAnsi="Noto Sans" w:hint="default"/>
      </w:rPr>
    </w:lvl>
    <w:lvl w:ilvl="4" w:tplc="35C08D86" w:tentative="1">
      <w:start w:val="1"/>
      <w:numFmt w:val="bullet"/>
      <w:lvlText w:val="─"/>
      <w:lvlJc w:val="left"/>
      <w:pPr>
        <w:tabs>
          <w:tab w:val="num" w:pos="3600"/>
        </w:tabs>
        <w:ind w:left="3600" w:hanging="360"/>
      </w:pPr>
      <w:rPr>
        <w:rFonts w:ascii="Noto Sans" w:hAnsi="Noto Sans" w:hint="default"/>
      </w:rPr>
    </w:lvl>
    <w:lvl w:ilvl="5" w:tplc="F4E6ACFC" w:tentative="1">
      <w:start w:val="1"/>
      <w:numFmt w:val="bullet"/>
      <w:lvlText w:val="─"/>
      <w:lvlJc w:val="left"/>
      <w:pPr>
        <w:tabs>
          <w:tab w:val="num" w:pos="4320"/>
        </w:tabs>
        <w:ind w:left="4320" w:hanging="360"/>
      </w:pPr>
      <w:rPr>
        <w:rFonts w:ascii="Noto Sans" w:hAnsi="Noto Sans" w:hint="default"/>
      </w:rPr>
    </w:lvl>
    <w:lvl w:ilvl="6" w:tplc="D552336A" w:tentative="1">
      <w:start w:val="1"/>
      <w:numFmt w:val="bullet"/>
      <w:lvlText w:val="─"/>
      <w:lvlJc w:val="left"/>
      <w:pPr>
        <w:tabs>
          <w:tab w:val="num" w:pos="5040"/>
        </w:tabs>
        <w:ind w:left="5040" w:hanging="360"/>
      </w:pPr>
      <w:rPr>
        <w:rFonts w:ascii="Noto Sans" w:hAnsi="Noto Sans" w:hint="default"/>
      </w:rPr>
    </w:lvl>
    <w:lvl w:ilvl="7" w:tplc="B0507D30" w:tentative="1">
      <w:start w:val="1"/>
      <w:numFmt w:val="bullet"/>
      <w:lvlText w:val="─"/>
      <w:lvlJc w:val="left"/>
      <w:pPr>
        <w:tabs>
          <w:tab w:val="num" w:pos="5760"/>
        </w:tabs>
        <w:ind w:left="5760" w:hanging="360"/>
      </w:pPr>
      <w:rPr>
        <w:rFonts w:ascii="Noto Sans" w:hAnsi="Noto Sans" w:hint="default"/>
      </w:rPr>
    </w:lvl>
    <w:lvl w:ilvl="8" w:tplc="2982B098" w:tentative="1">
      <w:start w:val="1"/>
      <w:numFmt w:val="bullet"/>
      <w:lvlText w:val="─"/>
      <w:lvlJc w:val="left"/>
      <w:pPr>
        <w:tabs>
          <w:tab w:val="num" w:pos="6480"/>
        </w:tabs>
        <w:ind w:left="6480" w:hanging="360"/>
      </w:pPr>
      <w:rPr>
        <w:rFonts w:ascii="Noto Sans" w:hAnsi="Noto Sans" w:hint="default"/>
      </w:rPr>
    </w:lvl>
  </w:abstractNum>
  <w:abstractNum w:abstractNumId="39" w15:restartNumberingAfterBreak="0">
    <w:nsid w:val="74512134"/>
    <w:multiLevelType w:val="hybridMultilevel"/>
    <w:tmpl w:val="F800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62E69"/>
    <w:multiLevelType w:val="hybridMultilevel"/>
    <w:tmpl w:val="410E3AAE"/>
    <w:lvl w:ilvl="0" w:tplc="67D867CE">
      <w:start w:val="1"/>
      <w:numFmt w:val="bullet"/>
      <w:lvlText w:val="‒"/>
      <w:lvlJc w:val="left"/>
      <w:pPr>
        <w:ind w:left="720" w:hanging="360"/>
      </w:pPr>
      <w:rPr>
        <w:rFonts w:ascii="Noto Sans" w:hAnsi="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75DB7"/>
    <w:multiLevelType w:val="hybridMultilevel"/>
    <w:tmpl w:val="1B5278B2"/>
    <w:lvl w:ilvl="0" w:tplc="67D867CE">
      <w:start w:val="1"/>
      <w:numFmt w:val="bullet"/>
      <w:lvlText w:val="‒"/>
      <w:lvlJc w:val="left"/>
      <w:pPr>
        <w:ind w:left="720" w:hanging="360"/>
      </w:pPr>
      <w:rPr>
        <w:rFonts w:ascii="Noto Sans" w:hAnsi="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73246"/>
    <w:multiLevelType w:val="hybridMultilevel"/>
    <w:tmpl w:val="AB2C30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10511"/>
    <w:multiLevelType w:val="hybridMultilevel"/>
    <w:tmpl w:val="F8847A68"/>
    <w:lvl w:ilvl="0" w:tplc="6FB6253A">
      <w:start w:val="1"/>
      <w:numFmt w:val="bullet"/>
      <w:lvlText w:val="−"/>
      <w:lvlJc w:val="left"/>
      <w:pPr>
        <w:ind w:left="720" w:hanging="360"/>
      </w:pPr>
      <w:rPr>
        <w:rFonts w:ascii="Noto Sans" w:hAnsi="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A6FFB"/>
    <w:multiLevelType w:val="hybridMultilevel"/>
    <w:tmpl w:val="8C3EA142"/>
    <w:lvl w:ilvl="0" w:tplc="3604C0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6806713">
    <w:abstractNumId w:val="14"/>
  </w:num>
  <w:num w:numId="2" w16cid:durableId="324555265">
    <w:abstractNumId w:val="39"/>
  </w:num>
  <w:num w:numId="3" w16cid:durableId="1835678350">
    <w:abstractNumId w:val="27"/>
  </w:num>
  <w:num w:numId="4" w16cid:durableId="1651903166">
    <w:abstractNumId w:val="7"/>
  </w:num>
  <w:num w:numId="5" w16cid:durableId="2048606403">
    <w:abstractNumId w:val="0"/>
  </w:num>
  <w:num w:numId="6" w16cid:durableId="803163243">
    <w:abstractNumId w:val="32"/>
  </w:num>
  <w:num w:numId="7" w16cid:durableId="894002975">
    <w:abstractNumId w:val="2"/>
  </w:num>
  <w:num w:numId="8" w16cid:durableId="2052074107">
    <w:abstractNumId w:val="28"/>
  </w:num>
  <w:num w:numId="9" w16cid:durableId="255137188">
    <w:abstractNumId w:val="37"/>
  </w:num>
  <w:num w:numId="10" w16cid:durableId="1631936401">
    <w:abstractNumId w:val="23"/>
  </w:num>
  <w:num w:numId="11" w16cid:durableId="1230724655">
    <w:abstractNumId w:val="1"/>
  </w:num>
  <w:num w:numId="12" w16cid:durableId="2135250771">
    <w:abstractNumId w:val="16"/>
  </w:num>
  <w:num w:numId="13" w16cid:durableId="1329747119">
    <w:abstractNumId w:val="29"/>
  </w:num>
  <w:num w:numId="14" w16cid:durableId="89089606">
    <w:abstractNumId w:val="30"/>
  </w:num>
  <w:num w:numId="15" w16cid:durableId="1544244470">
    <w:abstractNumId w:val="8"/>
  </w:num>
  <w:num w:numId="16" w16cid:durableId="1401060083">
    <w:abstractNumId w:val="44"/>
  </w:num>
  <w:num w:numId="17" w16cid:durableId="552159258">
    <w:abstractNumId w:val="35"/>
  </w:num>
  <w:num w:numId="18" w16cid:durableId="857044875">
    <w:abstractNumId w:val="18"/>
  </w:num>
  <w:num w:numId="19" w16cid:durableId="1632205677">
    <w:abstractNumId w:val="4"/>
  </w:num>
  <w:num w:numId="20" w16cid:durableId="2050642377">
    <w:abstractNumId w:val="3"/>
  </w:num>
  <w:num w:numId="21" w16cid:durableId="1816490141">
    <w:abstractNumId w:val="26"/>
  </w:num>
  <w:num w:numId="22" w16cid:durableId="589855575">
    <w:abstractNumId w:val="38"/>
  </w:num>
  <w:num w:numId="23" w16cid:durableId="1427464158">
    <w:abstractNumId w:val="15"/>
  </w:num>
  <w:num w:numId="24" w16cid:durableId="1137259615">
    <w:abstractNumId w:val="13"/>
  </w:num>
  <w:num w:numId="25" w16cid:durableId="341784961">
    <w:abstractNumId w:val="6"/>
  </w:num>
  <w:num w:numId="26" w16cid:durableId="358704370">
    <w:abstractNumId w:val="24"/>
  </w:num>
  <w:num w:numId="27" w16cid:durableId="630745502">
    <w:abstractNumId w:val="31"/>
  </w:num>
  <w:num w:numId="28" w16cid:durableId="16322016">
    <w:abstractNumId w:val="43"/>
  </w:num>
  <w:num w:numId="29" w16cid:durableId="346836414">
    <w:abstractNumId w:val="33"/>
  </w:num>
  <w:num w:numId="30" w16cid:durableId="932083979">
    <w:abstractNumId w:val="10"/>
  </w:num>
  <w:num w:numId="31" w16cid:durableId="1867517397">
    <w:abstractNumId w:val="9"/>
  </w:num>
  <w:num w:numId="32" w16cid:durableId="1826504732">
    <w:abstractNumId w:val="34"/>
  </w:num>
  <w:num w:numId="33" w16cid:durableId="2025085737">
    <w:abstractNumId w:val="36"/>
  </w:num>
  <w:num w:numId="34" w16cid:durableId="375281592">
    <w:abstractNumId w:val="41"/>
  </w:num>
  <w:num w:numId="35" w16cid:durableId="2038849144">
    <w:abstractNumId w:val="11"/>
  </w:num>
  <w:num w:numId="36" w16cid:durableId="1727605258">
    <w:abstractNumId w:val="40"/>
  </w:num>
  <w:num w:numId="37" w16cid:durableId="1830823600">
    <w:abstractNumId w:val="5"/>
  </w:num>
  <w:num w:numId="38" w16cid:durableId="495191068">
    <w:abstractNumId w:val="21"/>
  </w:num>
  <w:num w:numId="39" w16cid:durableId="1618557900">
    <w:abstractNumId w:val="22"/>
  </w:num>
  <w:num w:numId="40" w16cid:durableId="100271668">
    <w:abstractNumId w:val="19"/>
  </w:num>
  <w:num w:numId="41" w16cid:durableId="584724631">
    <w:abstractNumId w:val="20"/>
  </w:num>
  <w:num w:numId="42" w16cid:durableId="1163006447">
    <w:abstractNumId w:val="17"/>
  </w:num>
  <w:num w:numId="43" w16cid:durableId="1806656091">
    <w:abstractNumId w:val="42"/>
  </w:num>
  <w:num w:numId="44" w16cid:durableId="1285233133">
    <w:abstractNumId w:val="25"/>
  </w:num>
  <w:num w:numId="45" w16cid:durableId="2008362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11"/>
    <w:rsid w:val="00002388"/>
    <w:rsid w:val="00013846"/>
    <w:rsid w:val="00014F9C"/>
    <w:rsid w:val="00020B4D"/>
    <w:rsid w:val="0002507E"/>
    <w:rsid w:val="000336C3"/>
    <w:rsid w:val="00033756"/>
    <w:rsid w:val="00054824"/>
    <w:rsid w:val="00055C40"/>
    <w:rsid w:val="00066A01"/>
    <w:rsid w:val="000738C4"/>
    <w:rsid w:val="0007529E"/>
    <w:rsid w:val="00080074"/>
    <w:rsid w:val="000863D6"/>
    <w:rsid w:val="000B4C4D"/>
    <w:rsid w:val="000B73F2"/>
    <w:rsid w:val="000C04D7"/>
    <w:rsid w:val="000C33C7"/>
    <w:rsid w:val="000C3C75"/>
    <w:rsid w:val="000D6C5D"/>
    <w:rsid w:val="000E53D4"/>
    <w:rsid w:val="000E61FE"/>
    <w:rsid w:val="001140B7"/>
    <w:rsid w:val="0011544E"/>
    <w:rsid w:val="001217C1"/>
    <w:rsid w:val="0012499D"/>
    <w:rsid w:val="00132D1E"/>
    <w:rsid w:val="00141428"/>
    <w:rsid w:val="00150988"/>
    <w:rsid w:val="00157E95"/>
    <w:rsid w:val="00163210"/>
    <w:rsid w:val="00163F68"/>
    <w:rsid w:val="00167047"/>
    <w:rsid w:val="0017552D"/>
    <w:rsid w:val="00182598"/>
    <w:rsid w:val="00184818"/>
    <w:rsid w:val="00187F87"/>
    <w:rsid w:val="001A078A"/>
    <w:rsid w:val="001A43A8"/>
    <w:rsid w:val="001A6CA9"/>
    <w:rsid w:val="001B3DD2"/>
    <w:rsid w:val="001B449E"/>
    <w:rsid w:val="001B6160"/>
    <w:rsid w:val="001B733A"/>
    <w:rsid w:val="001C25B8"/>
    <w:rsid w:val="001C7307"/>
    <w:rsid w:val="001F0D05"/>
    <w:rsid w:val="0020532D"/>
    <w:rsid w:val="002174A2"/>
    <w:rsid w:val="00223414"/>
    <w:rsid w:val="002237E9"/>
    <w:rsid w:val="002242E8"/>
    <w:rsid w:val="00226A70"/>
    <w:rsid w:val="002304A7"/>
    <w:rsid w:val="002315FF"/>
    <w:rsid w:val="0023516B"/>
    <w:rsid w:val="002449DC"/>
    <w:rsid w:val="00251872"/>
    <w:rsid w:val="00253647"/>
    <w:rsid w:val="00264600"/>
    <w:rsid w:val="00275E37"/>
    <w:rsid w:val="0029098D"/>
    <w:rsid w:val="002914DA"/>
    <w:rsid w:val="00292A31"/>
    <w:rsid w:val="00293605"/>
    <w:rsid w:val="0029740D"/>
    <w:rsid w:val="002B2F76"/>
    <w:rsid w:val="002B38D6"/>
    <w:rsid w:val="002B3B8E"/>
    <w:rsid w:val="002C323E"/>
    <w:rsid w:val="002C6BA8"/>
    <w:rsid w:val="002D05FF"/>
    <w:rsid w:val="002D4624"/>
    <w:rsid w:val="002E01DF"/>
    <w:rsid w:val="002E0B9C"/>
    <w:rsid w:val="002E1FD9"/>
    <w:rsid w:val="002F59B7"/>
    <w:rsid w:val="00313033"/>
    <w:rsid w:val="00315460"/>
    <w:rsid w:val="00315E70"/>
    <w:rsid w:val="0032077D"/>
    <w:rsid w:val="00320C6A"/>
    <w:rsid w:val="003211D3"/>
    <w:rsid w:val="00322FC7"/>
    <w:rsid w:val="003345A1"/>
    <w:rsid w:val="00337436"/>
    <w:rsid w:val="0034064A"/>
    <w:rsid w:val="00341CDD"/>
    <w:rsid w:val="00350BD1"/>
    <w:rsid w:val="00353274"/>
    <w:rsid w:val="003620C2"/>
    <w:rsid w:val="0036681C"/>
    <w:rsid w:val="00370F90"/>
    <w:rsid w:val="00393996"/>
    <w:rsid w:val="00393F3B"/>
    <w:rsid w:val="003A643B"/>
    <w:rsid w:val="003B31D0"/>
    <w:rsid w:val="003B5324"/>
    <w:rsid w:val="003C4BE8"/>
    <w:rsid w:val="003C73A9"/>
    <w:rsid w:val="003D2AF4"/>
    <w:rsid w:val="003D3F7D"/>
    <w:rsid w:val="003D76B6"/>
    <w:rsid w:val="003E438D"/>
    <w:rsid w:val="003E7256"/>
    <w:rsid w:val="0040544F"/>
    <w:rsid w:val="00407211"/>
    <w:rsid w:val="004130E8"/>
    <w:rsid w:val="00417119"/>
    <w:rsid w:val="00417F51"/>
    <w:rsid w:val="004313BE"/>
    <w:rsid w:val="00446F8E"/>
    <w:rsid w:val="004475DF"/>
    <w:rsid w:val="004506FE"/>
    <w:rsid w:val="004532BD"/>
    <w:rsid w:val="00453DB1"/>
    <w:rsid w:val="004621F6"/>
    <w:rsid w:val="00467500"/>
    <w:rsid w:val="004735F1"/>
    <w:rsid w:val="00483FB5"/>
    <w:rsid w:val="0048424C"/>
    <w:rsid w:val="00492D19"/>
    <w:rsid w:val="00493F4D"/>
    <w:rsid w:val="00494238"/>
    <w:rsid w:val="00496693"/>
    <w:rsid w:val="004A47EB"/>
    <w:rsid w:val="004A5B99"/>
    <w:rsid w:val="004C0C31"/>
    <w:rsid w:val="004C1DDF"/>
    <w:rsid w:val="004C21E5"/>
    <w:rsid w:val="004D05B4"/>
    <w:rsid w:val="004E1AA7"/>
    <w:rsid w:val="005017A7"/>
    <w:rsid w:val="00501911"/>
    <w:rsid w:val="0050636F"/>
    <w:rsid w:val="00507E55"/>
    <w:rsid w:val="00510F0D"/>
    <w:rsid w:val="00516A9A"/>
    <w:rsid w:val="00532FED"/>
    <w:rsid w:val="00533A43"/>
    <w:rsid w:val="00540F44"/>
    <w:rsid w:val="005451D1"/>
    <w:rsid w:val="00554F56"/>
    <w:rsid w:val="00556331"/>
    <w:rsid w:val="005655C0"/>
    <w:rsid w:val="00567E8F"/>
    <w:rsid w:val="00570E10"/>
    <w:rsid w:val="00591BFD"/>
    <w:rsid w:val="0059713A"/>
    <w:rsid w:val="005972B4"/>
    <w:rsid w:val="005A0099"/>
    <w:rsid w:val="005A0B78"/>
    <w:rsid w:val="005A2126"/>
    <w:rsid w:val="005A42E1"/>
    <w:rsid w:val="005A544A"/>
    <w:rsid w:val="005A5B9F"/>
    <w:rsid w:val="005B561B"/>
    <w:rsid w:val="005E0D07"/>
    <w:rsid w:val="005E4D70"/>
    <w:rsid w:val="005E5260"/>
    <w:rsid w:val="005E6F3B"/>
    <w:rsid w:val="005F6457"/>
    <w:rsid w:val="0060651D"/>
    <w:rsid w:val="006065A2"/>
    <w:rsid w:val="00614841"/>
    <w:rsid w:val="006158A8"/>
    <w:rsid w:val="00616AE5"/>
    <w:rsid w:val="00617B03"/>
    <w:rsid w:val="00624937"/>
    <w:rsid w:val="006265C3"/>
    <w:rsid w:val="00627950"/>
    <w:rsid w:val="00630400"/>
    <w:rsid w:val="00631012"/>
    <w:rsid w:val="006349DE"/>
    <w:rsid w:val="00641B8C"/>
    <w:rsid w:val="00653E1B"/>
    <w:rsid w:val="006552C7"/>
    <w:rsid w:val="00665A6D"/>
    <w:rsid w:val="00666FAF"/>
    <w:rsid w:val="006673C2"/>
    <w:rsid w:val="0067799D"/>
    <w:rsid w:val="00677F0C"/>
    <w:rsid w:val="00683A6F"/>
    <w:rsid w:val="006846E8"/>
    <w:rsid w:val="00684DA9"/>
    <w:rsid w:val="00691F83"/>
    <w:rsid w:val="0069346E"/>
    <w:rsid w:val="006A0F5E"/>
    <w:rsid w:val="006A1471"/>
    <w:rsid w:val="006C10E6"/>
    <w:rsid w:val="006C37AA"/>
    <w:rsid w:val="006D2381"/>
    <w:rsid w:val="006D5AFE"/>
    <w:rsid w:val="006E5111"/>
    <w:rsid w:val="006E7738"/>
    <w:rsid w:val="006E7881"/>
    <w:rsid w:val="006E7EC2"/>
    <w:rsid w:val="006F3976"/>
    <w:rsid w:val="006F7899"/>
    <w:rsid w:val="0070641D"/>
    <w:rsid w:val="00706757"/>
    <w:rsid w:val="007131D0"/>
    <w:rsid w:val="00722870"/>
    <w:rsid w:val="00723895"/>
    <w:rsid w:val="00730B07"/>
    <w:rsid w:val="00731951"/>
    <w:rsid w:val="00733A91"/>
    <w:rsid w:val="00746D91"/>
    <w:rsid w:val="0075184E"/>
    <w:rsid w:val="00752C15"/>
    <w:rsid w:val="00776ED0"/>
    <w:rsid w:val="007841FF"/>
    <w:rsid w:val="0078654A"/>
    <w:rsid w:val="007902B8"/>
    <w:rsid w:val="007906B7"/>
    <w:rsid w:val="00791E5F"/>
    <w:rsid w:val="00791F24"/>
    <w:rsid w:val="00794A62"/>
    <w:rsid w:val="00796CD8"/>
    <w:rsid w:val="00796D5C"/>
    <w:rsid w:val="007A2F31"/>
    <w:rsid w:val="007A2FB7"/>
    <w:rsid w:val="007C080C"/>
    <w:rsid w:val="007C444A"/>
    <w:rsid w:val="007D043B"/>
    <w:rsid w:val="007D3292"/>
    <w:rsid w:val="007D3934"/>
    <w:rsid w:val="007D3E84"/>
    <w:rsid w:val="007E5421"/>
    <w:rsid w:val="007E564D"/>
    <w:rsid w:val="007E779A"/>
    <w:rsid w:val="007F1B5F"/>
    <w:rsid w:val="008052B4"/>
    <w:rsid w:val="008065C6"/>
    <w:rsid w:val="00807525"/>
    <w:rsid w:val="00811A77"/>
    <w:rsid w:val="008130E2"/>
    <w:rsid w:val="00822CCB"/>
    <w:rsid w:val="00825AD3"/>
    <w:rsid w:val="0083620B"/>
    <w:rsid w:val="0085060B"/>
    <w:rsid w:val="00862854"/>
    <w:rsid w:val="008665C1"/>
    <w:rsid w:val="00867312"/>
    <w:rsid w:val="00883A64"/>
    <w:rsid w:val="00884EEF"/>
    <w:rsid w:val="00887908"/>
    <w:rsid w:val="008922A2"/>
    <w:rsid w:val="008942BD"/>
    <w:rsid w:val="008A2A34"/>
    <w:rsid w:val="008A782F"/>
    <w:rsid w:val="008B33E5"/>
    <w:rsid w:val="008B5A14"/>
    <w:rsid w:val="008B6F25"/>
    <w:rsid w:val="008C2E6C"/>
    <w:rsid w:val="008C4A69"/>
    <w:rsid w:val="008D303C"/>
    <w:rsid w:val="008E3C62"/>
    <w:rsid w:val="008E3D17"/>
    <w:rsid w:val="008F0D21"/>
    <w:rsid w:val="00905194"/>
    <w:rsid w:val="009122A7"/>
    <w:rsid w:val="009122DC"/>
    <w:rsid w:val="00912881"/>
    <w:rsid w:val="00931137"/>
    <w:rsid w:val="00944D97"/>
    <w:rsid w:val="00945060"/>
    <w:rsid w:val="00947810"/>
    <w:rsid w:val="00952A28"/>
    <w:rsid w:val="0095577B"/>
    <w:rsid w:val="00957D5B"/>
    <w:rsid w:val="00961CA7"/>
    <w:rsid w:val="00966382"/>
    <w:rsid w:val="00967FC6"/>
    <w:rsid w:val="009739C8"/>
    <w:rsid w:val="009949F3"/>
    <w:rsid w:val="009B1C78"/>
    <w:rsid w:val="009B4602"/>
    <w:rsid w:val="009B4F4A"/>
    <w:rsid w:val="009C1188"/>
    <w:rsid w:val="009C17CF"/>
    <w:rsid w:val="009C2821"/>
    <w:rsid w:val="009C42FF"/>
    <w:rsid w:val="009D044B"/>
    <w:rsid w:val="009D1AE4"/>
    <w:rsid w:val="009D6EAD"/>
    <w:rsid w:val="009E0753"/>
    <w:rsid w:val="009F4412"/>
    <w:rsid w:val="009F6724"/>
    <w:rsid w:val="00A047EF"/>
    <w:rsid w:val="00A10C86"/>
    <w:rsid w:val="00A26FBD"/>
    <w:rsid w:val="00A43CD5"/>
    <w:rsid w:val="00A44B46"/>
    <w:rsid w:val="00A510E8"/>
    <w:rsid w:val="00A64C73"/>
    <w:rsid w:val="00A75F80"/>
    <w:rsid w:val="00A77C3A"/>
    <w:rsid w:val="00A90C20"/>
    <w:rsid w:val="00A91111"/>
    <w:rsid w:val="00A95A15"/>
    <w:rsid w:val="00AA1C12"/>
    <w:rsid w:val="00AA5093"/>
    <w:rsid w:val="00AC0B3C"/>
    <w:rsid w:val="00AC18BF"/>
    <w:rsid w:val="00AC494A"/>
    <w:rsid w:val="00AD2A99"/>
    <w:rsid w:val="00AD37F9"/>
    <w:rsid w:val="00AF1692"/>
    <w:rsid w:val="00AF5900"/>
    <w:rsid w:val="00B041C1"/>
    <w:rsid w:val="00B043B4"/>
    <w:rsid w:val="00B04D15"/>
    <w:rsid w:val="00B0779B"/>
    <w:rsid w:val="00B07B21"/>
    <w:rsid w:val="00B1248A"/>
    <w:rsid w:val="00B147E8"/>
    <w:rsid w:val="00B16AE5"/>
    <w:rsid w:val="00B244F8"/>
    <w:rsid w:val="00B24FFC"/>
    <w:rsid w:val="00B350E6"/>
    <w:rsid w:val="00B42CC8"/>
    <w:rsid w:val="00B46607"/>
    <w:rsid w:val="00B531AF"/>
    <w:rsid w:val="00B66C99"/>
    <w:rsid w:val="00B67551"/>
    <w:rsid w:val="00B7314D"/>
    <w:rsid w:val="00B73AC0"/>
    <w:rsid w:val="00B74AC2"/>
    <w:rsid w:val="00B750E9"/>
    <w:rsid w:val="00B7755D"/>
    <w:rsid w:val="00B83A47"/>
    <w:rsid w:val="00B9307D"/>
    <w:rsid w:val="00B93AC1"/>
    <w:rsid w:val="00BB5F84"/>
    <w:rsid w:val="00BB7552"/>
    <w:rsid w:val="00BC2686"/>
    <w:rsid w:val="00BD49CE"/>
    <w:rsid w:val="00BE322D"/>
    <w:rsid w:val="00BE54FD"/>
    <w:rsid w:val="00BE5548"/>
    <w:rsid w:val="00BE6D4B"/>
    <w:rsid w:val="00BF239F"/>
    <w:rsid w:val="00BF5C0C"/>
    <w:rsid w:val="00BF794D"/>
    <w:rsid w:val="00C011E1"/>
    <w:rsid w:val="00C17CB7"/>
    <w:rsid w:val="00C250E1"/>
    <w:rsid w:val="00C32BC7"/>
    <w:rsid w:val="00C32D31"/>
    <w:rsid w:val="00C3736B"/>
    <w:rsid w:val="00C37673"/>
    <w:rsid w:val="00C414DD"/>
    <w:rsid w:val="00C467A5"/>
    <w:rsid w:val="00C513A9"/>
    <w:rsid w:val="00C63B8E"/>
    <w:rsid w:val="00C64DAE"/>
    <w:rsid w:val="00C6764F"/>
    <w:rsid w:val="00C678E9"/>
    <w:rsid w:val="00C7003A"/>
    <w:rsid w:val="00C76ABF"/>
    <w:rsid w:val="00C80966"/>
    <w:rsid w:val="00C943CF"/>
    <w:rsid w:val="00C966EC"/>
    <w:rsid w:val="00CA0B67"/>
    <w:rsid w:val="00CA0D17"/>
    <w:rsid w:val="00CA608E"/>
    <w:rsid w:val="00CB3D7F"/>
    <w:rsid w:val="00CB5A15"/>
    <w:rsid w:val="00CB6A9D"/>
    <w:rsid w:val="00CC09E6"/>
    <w:rsid w:val="00CD0AE5"/>
    <w:rsid w:val="00CD2DCC"/>
    <w:rsid w:val="00CE5E10"/>
    <w:rsid w:val="00CF2FFA"/>
    <w:rsid w:val="00CF793D"/>
    <w:rsid w:val="00D02E58"/>
    <w:rsid w:val="00D03C12"/>
    <w:rsid w:val="00D05E66"/>
    <w:rsid w:val="00D06510"/>
    <w:rsid w:val="00D10B0B"/>
    <w:rsid w:val="00D12BBF"/>
    <w:rsid w:val="00D37AC0"/>
    <w:rsid w:val="00D42FF9"/>
    <w:rsid w:val="00D4639B"/>
    <w:rsid w:val="00D4710B"/>
    <w:rsid w:val="00D55874"/>
    <w:rsid w:val="00D65A20"/>
    <w:rsid w:val="00D67CB2"/>
    <w:rsid w:val="00D7368A"/>
    <w:rsid w:val="00D778CB"/>
    <w:rsid w:val="00D77E0B"/>
    <w:rsid w:val="00D8358C"/>
    <w:rsid w:val="00D8603A"/>
    <w:rsid w:val="00D92436"/>
    <w:rsid w:val="00D927DA"/>
    <w:rsid w:val="00DA04B3"/>
    <w:rsid w:val="00DA1FE7"/>
    <w:rsid w:val="00DA4C61"/>
    <w:rsid w:val="00DA64CD"/>
    <w:rsid w:val="00DB211C"/>
    <w:rsid w:val="00DB2DA6"/>
    <w:rsid w:val="00DB72EC"/>
    <w:rsid w:val="00DB7DC0"/>
    <w:rsid w:val="00DC10A4"/>
    <w:rsid w:val="00DC71CF"/>
    <w:rsid w:val="00DD115D"/>
    <w:rsid w:val="00DF478D"/>
    <w:rsid w:val="00DF5A0A"/>
    <w:rsid w:val="00DF5AA7"/>
    <w:rsid w:val="00E06C2A"/>
    <w:rsid w:val="00E17A1F"/>
    <w:rsid w:val="00E2079C"/>
    <w:rsid w:val="00E21784"/>
    <w:rsid w:val="00E218DF"/>
    <w:rsid w:val="00E23C6B"/>
    <w:rsid w:val="00E30CA7"/>
    <w:rsid w:val="00E30E81"/>
    <w:rsid w:val="00E35603"/>
    <w:rsid w:val="00E41FBA"/>
    <w:rsid w:val="00E425A5"/>
    <w:rsid w:val="00E42BE1"/>
    <w:rsid w:val="00E45FB0"/>
    <w:rsid w:val="00E51883"/>
    <w:rsid w:val="00E5591E"/>
    <w:rsid w:val="00E55C76"/>
    <w:rsid w:val="00E63AAF"/>
    <w:rsid w:val="00E72014"/>
    <w:rsid w:val="00E7381B"/>
    <w:rsid w:val="00E74717"/>
    <w:rsid w:val="00E747CF"/>
    <w:rsid w:val="00E75126"/>
    <w:rsid w:val="00E75521"/>
    <w:rsid w:val="00E75773"/>
    <w:rsid w:val="00E76F95"/>
    <w:rsid w:val="00E8039C"/>
    <w:rsid w:val="00E83682"/>
    <w:rsid w:val="00E91522"/>
    <w:rsid w:val="00E96C07"/>
    <w:rsid w:val="00E96DC9"/>
    <w:rsid w:val="00E979FA"/>
    <w:rsid w:val="00EA74AB"/>
    <w:rsid w:val="00EB5247"/>
    <w:rsid w:val="00EC1331"/>
    <w:rsid w:val="00EC51F1"/>
    <w:rsid w:val="00EE05C8"/>
    <w:rsid w:val="00EE2E69"/>
    <w:rsid w:val="00EF2F9D"/>
    <w:rsid w:val="00F21ADD"/>
    <w:rsid w:val="00F26906"/>
    <w:rsid w:val="00F2736A"/>
    <w:rsid w:val="00F30126"/>
    <w:rsid w:val="00F30545"/>
    <w:rsid w:val="00F42D82"/>
    <w:rsid w:val="00F44604"/>
    <w:rsid w:val="00F47672"/>
    <w:rsid w:val="00F52449"/>
    <w:rsid w:val="00F60F59"/>
    <w:rsid w:val="00F623AA"/>
    <w:rsid w:val="00F62C62"/>
    <w:rsid w:val="00F70392"/>
    <w:rsid w:val="00F84D2D"/>
    <w:rsid w:val="00F90EE3"/>
    <w:rsid w:val="00F91C77"/>
    <w:rsid w:val="00F9324A"/>
    <w:rsid w:val="00F93783"/>
    <w:rsid w:val="00FA5B0C"/>
    <w:rsid w:val="00FB1755"/>
    <w:rsid w:val="00FB76BC"/>
    <w:rsid w:val="00FE59F6"/>
    <w:rsid w:val="00FE6C77"/>
    <w:rsid w:val="00FF43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2891F"/>
  <w15:docId w15:val="{FBF5C794-990C-4039-8933-3F513979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2BD"/>
  </w:style>
  <w:style w:type="paragraph" w:styleId="Heading1">
    <w:name w:val="heading 1"/>
    <w:basedOn w:val="Normal"/>
    <w:next w:val="Normal"/>
    <w:link w:val="Heading1Char"/>
    <w:uiPriority w:val="9"/>
    <w:qFormat/>
    <w:rsid w:val="00B041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0738C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457"/>
    <w:pPr>
      <w:ind w:left="720"/>
      <w:contextualSpacing/>
    </w:pPr>
  </w:style>
  <w:style w:type="character" w:customStyle="1" w:styleId="A6">
    <w:name w:val="A6"/>
    <w:uiPriority w:val="99"/>
    <w:rsid w:val="00B043B4"/>
    <w:rPr>
      <w:rFonts w:cs="Nubian"/>
      <w:color w:val="000000"/>
      <w:sz w:val="20"/>
      <w:szCs w:val="20"/>
    </w:rPr>
  </w:style>
  <w:style w:type="table" w:styleId="TableGrid">
    <w:name w:val="Table Grid"/>
    <w:basedOn w:val="TableNormal"/>
    <w:uiPriority w:val="59"/>
    <w:rsid w:val="00D9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D927DA"/>
    <w:pPr>
      <w:autoSpaceDE w:val="0"/>
      <w:autoSpaceDN w:val="0"/>
      <w:adjustRightInd w:val="0"/>
      <w:spacing w:after="0" w:line="221" w:lineRule="atLeast"/>
    </w:pPr>
    <w:rPr>
      <w:rFonts w:ascii="Nubian" w:hAnsi="Nubian"/>
      <w:sz w:val="24"/>
      <w:szCs w:val="24"/>
    </w:rPr>
  </w:style>
  <w:style w:type="character" w:styleId="CommentReference">
    <w:name w:val="annotation reference"/>
    <w:basedOn w:val="DefaultParagraphFont"/>
    <w:uiPriority w:val="99"/>
    <w:semiHidden/>
    <w:unhideWhenUsed/>
    <w:rsid w:val="00E747CF"/>
    <w:rPr>
      <w:sz w:val="16"/>
      <w:szCs w:val="16"/>
    </w:rPr>
  </w:style>
  <w:style w:type="paragraph" w:styleId="CommentText">
    <w:name w:val="annotation text"/>
    <w:basedOn w:val="Normal"/>
    <w:link w:val="CommentTextChar"/>
    <w:uiPriority w:val="99"/>
    <w:unhideWhenUsed/>
    <w:rsid w:val="00E747CF"/>
    <w:pPr>
      <w:spacing w:line="240" w:lineRule="auto"/>
    </w:pPr>
    <w:rPr>
      <w:sz w:val="20"/>
      <w:szCs w:val="20"/>
    </w:rPr>
  </w:style>
  <w:style w:type="character" w:customStyle="1" w:styleId="CommentTextChar">
    <w:name w:val="Comment Text Char"/>
    <w:basedOn w:val="DefaultParagraphFont"/>
    <w:link w:val="CommentText"/>
    <w:uiPriority w:val="99"/>
    <w:rsid w:val="00E747CF"/>
    <w:rPr>
      <w:sz w:val="20"/>
      <w:szCs w:val="20"/>
    </w:rPr>
  </w:style>
  <w:style w:type="paragraph" w:styleId="CommentSubject">
    <w:name w:val="annotation subject"/>
    <w:basedOn w:val="CommentText"/>
    <w:next w:val="CommentText"/>
    <w:link w:val="CommentSubjectChar"/>
    <w:uiPriority w:val="99"/>
    <w:semiHidden/>
    <w:unhideWhenUsed/>
    <w:rsid w:val="00E747CF"/>
    <w:rPr>
      <w:b/>
      <w:bCs/>
    </w:rPr>
  </w:style>
  <w:style w:type="character" w:customStyle="1" w:styleId="CommentSubjectChar">
    <w:name w:val="Comment Subject Char"/>
    <w:basedOn w:val="CommentTextChar"/>
    <w:link w:val="CommentSubject"/>
    <w:uiPriority w:val="99"/>
    <w:semiHidden/>
    <w:rsid w:val="00E747CF"/>
    <w:rPr>
      <w:b/>
      <w:bCs/>
      <w:sz w:val="20"/>
      <w:szCs w:val="20"/>
    </w:rPr>
  </w:style>
  <w:style w:type="paragraph" w:styleId="BalloonText">
    <w:name w:val="Balloon Text"/>
    <w:basedOn w:val="Normal"/>
    <w:link w:val="BalloonTextChar"/>
    <w:uiPriority w:val="99"/>
    <w:semiHidden/>
    <w:unhideWhenUsed/>
    <w:rsid w:val="00E74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7CF"/>
    <w:rPr>
      <w:rFonts w:ascii="Tahoma" w:hAnsi="Tahoma" w:cs="Tahoma"/>
      <w:sz w:val="16"/>
      <w:szCs w:val="16"/>
    </w:rPr>
  </w:style>
  <w:style w:type="character" w:styleId="Hyperlink">
    <w:name w:val="Hyperlink"/>
    <w:basedOn w:val="DefaultParagraphFont"/>
    <w:uiPriority w:val="99"/>
    <w:unhideWhenUsed/>
    <w:rsid w:val="008C2E6C"/>
    <w:rPr>
      <w:color w:val="0000FF" w:themeColor="hyperlink"/>
      <w:u w:val="single"/>
    </w:rPr>
  </w:style>
  <w:style w:type="character" w:customStyle="1" w:styleId="Heading4Char">
    <w:name w:val="Heading 4 Char"/>
    <w:basedOn w:val="DefaultParagraphFont"/>
    <w:link w:val="Heading4"/>
    <w:uiPriority w:val="9"/>
    <w:rsid w:val="000738C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738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46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39B"/>
  </w:style>
  <w:style w:type="paragraph" w:styleId="Footer">
    <w:name w:val="footer"/>
    <w:basedOn w:val="Normal"/>
    <w:link w:val="FooterChar"/>
    <w:uiPriority w:val="99"/>
    <w:unhideWhenUsed/>
    <w:qFormat/>
    <w:rsid w:val="00D46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39B"/>
  </w:style>
  <w:style w:type="character" w:styleId="PageNumber">
    <w:name w:val="page number"/>
    <w:basedOn w:val="DefaultParagraphFont"/>
    <w:uiPriority w:val="39"/>
    <w:semiHidden/>
    <w:rsid w:val="00F30126"/>
    <w:rPr>
      <w:rFonts w:asciiTheme="minorHAnsi" w:hAnsiTheme="minorHAnsi"/>
      <w:b/>
      <w:color w:val="4F81BD" w:themeColor="accent1"/>
      <w:sz w:val="16"/>
    </w:rPr>
  </w:style>
  <w:style w:type="paragraph" w:customStyle="1" w:styleId="B17BlueFooterText">
    <w:name w:val="B17_Blue Footer Text"/>
    <w:basedOn w:val="BodyText"/>
    <w:uiPriority w:val="29"/>
    <w:qFormat/>
    <w:rsid w:val="00F30126"/>
    <w:pPr>
      <w:spacing w:after="0" w:line="180" w:lineRule="exact"/>
    </w:pPr>
    <w:rPr>
      <w:color w:val="4F81BD" w:themeColor="accent1"/>
      <w:sz w:val="15"/>
      <w:lang w:eastAsia="ja-JP"/>
    </w:rPr>
  </w:style>
  <w:style w:type="paragraph" w:customStyle="1" w:styleId="B17CeruleanFooterTextright">
    <w:name w:val="B17_Cerulean Footer Text (right)"/>
    <w:basedOn w:val="Normal"/>
    <w:uiPriority w:val="29"/>
    <w:qFormat/>
    <w:rsid w:val="00F30126"/>
    <w:pPr>
      <w:spacing w:after="0" w:line="180" w:lineRule="exact"/>
      <w:ind w:right="170"/>
      <w:jc w:val="right"/>
    </w:pPr>
    <w:rPr>
      <w:color w:val="9BBB59" w:themeColor="accent3"/>
      <w:sz w:val="15"/>
      <w:lang w:eastAsia="ja-JP"/>
    </w:rPr>
  </w:style>
  <w:style w:type="paragraph" w:styleId="BodyText">
    <w:name w:val="Body Text"/>
    <w:basedOn w:val="Normal"/>
    <w:link w:val="BodyTextChar"/>
    <w:uiPriority w:val="99"/>
    <w:semiHidden/>
    <w:unhideWhenUsed/>
    <w:rsid w:val="00F30126"/>
    <w:pPr>
      <w:spacing w:after="120"/>
    </w:pPr>
  </w:style>
  <w:style w:type="character" w:customStyle="1" w:styleId="BodyTextChar">
    <w:name w:val="Body Text Char"/>
    <w:basedOn w:val="DefaultParagraphFont"/>
    <w:link w:val="BodyText"/>
    <w:uiPriority w:val="99"/>
    <w:semiHidden/>
    <w:rsid w:val="00F30126"/>
  </w:style>
  <w:style w:type="paragraph" w:customStyle="1" w:styleId="TableParagraph">
    <w:name w:val="Table Paragraph"/>
    <w:basedOn w:val="Normal"/>
    <w:uiPriority w:val="1"/>
    <w:qFormat/>
    <w:rsid w:val="00516A9A"/>
    <w:pPr>
      <w:widowControl w:val="0"/>
      <w:autoSpaceDE w:val="0"/>
      <w:autoSpaceDN w:val="0"/>
      <w:spacing w:after="0" w:line="240" w:lineRule="auto"/>
    </w:pPr>
    <w:rPr>
      <w:rFonts w:ascii="Noto Sans" w:eastAsia="Noto Sans" w:hAnsi="Noto Sans" w:cs="Noto Sans"/>
    </w:rPr>
  </w:style>
  <w:style w:type="paragraph" w:customStyle="1" w:styleId="Default">
    <w:name w:val="Default"/>
    <w:rsid w:val="006F7899"/>
    <w:pPr>
      <w:autoSpaceDE w:val="0"/>
      <w:autoSpaceDN w:val="0"/>
      <w:adjustRightInd w:val="0"/>
      <w:spacing w:after="0" w:line="240" w:lineRule="auto"/>
    </w:pPr>
    <w:rPr>
      <w:rFonts w:ascii="Noto Sans" w:hAnsi="Noto Sans" w:cs="Noto Sans"/>
      <w:color w:val="000000"/>
      <w:sz w:val="24"/>
      <w:szCs w:val="24"/>
    </w:rPr>
  </w:style>
  <w:style w:type="paragraph" w:customStyle="1" w:styleId="Pa15">
    <w:name w:val="Pa15"/>
    <w:basedOn w:val="Default"/>
    <w:next w:val="Default"/>
    <w:uiPriority w:val="99"/>
    <w:rsid w:val="006F7899"/>
    <w:pPr>
      <w:spacing w:line="241" w:lineRule="atLeast"/>
    </w:pPr>
    <w:rPr>
      <w:rFonts w:eastAsiaTheme="minorEastAsia" w:cstheme="minorBidi"/>
      <w:color w:val="auto"/>
      <w:lang w:eastAsia="en-GB"/>
    </w:rPr>
  </w:style>
  <w:style w:type="character" w:customStyle="1" w:styleId="A2">
    <w:name w:val="A2"/>
    <w:uiPriority w:val="99"/>
    <w:rsid w:val="006F7899"/>
    <w:rPr>
      <w:rFonts w:cs="Noto Sans"/>
      <w:b/>
      <w:bCs/>
      <w:color w:val="000000"/>
      <w:sz w:val="17"/>
      <w:szCs w:val="17"/>
    </w:rPr>
  </w:style>
  <w:style w:type="character" w:styleId="UnresolvedMention">
    <w:name w:val="Unresolved Mention"/>
    <w:basedOn w:val="DefaultParagraphFont"/>
    <w:uiPriority w:val="99"/>
    <w:semiHidden/>
    <w:unhideWhenUsed/>
    <w:rsid w:val="003D3F7D"/>
    <w:rPr>
      <w:color w:val="605E5C"/>
      <w:shd w:val="clear" w:color="auto" w:fill="E1DFDD"/>
    </w:rPr>
  </w:style>
  <w:style w:type="character" w:styleId="FollowedHyperlink">
    <w:name w:val="FollowedHyperlink"/>
    <w:basedOn w:val="DefaultParagraphFont"/>
    <w:uiPriority w:val="99"/>
    <w:semiHidden/>
    <w:unhideWhenUsed/>
    <w:rsid w:val="003D3F7D"/>
    <w:rPr>
      <w:color w:val="800080" w:themeColor="followedHyperlink"/>
      <w:u w:val="single"/>
    </w:rPr>
  </w:style>
  <w:style w:type="paragraph" w:styleId="Revision">
    <w:name w:val="Revision"/>
    <w:hidden/>
    <w:uiPriority w:val="99"/>
    <w:semiHidden/>
    <w:rsid w:val="0059713A"/>
    <w:pPr>
      <w:spacing w:after="0" w:line="240" w:lineRule="auto"/>
    </w:pPr>
  </w:style>
  <w:style w:type="paragraph" w:customStyle="1" w:styleId="BodytextRegular">
    <w:name w:val="Body text (Regular)"/>
    <w:basedOn w:val="BodyText"/>
    <w:qFormat/>
    <w:rsid w:val="00952A28"/>
    <w:pPr>
      <w:spacing w:line="240" w:lineRule="auto"/>
    </w:pPr>
    <w:rPr>
      <w:sz w:val="18"/>
      <w:szCs w:val="20"/>
    </w:rPr>
  </w:style>
  <w:style w:type="paragraph" w:customStyle="1" w:styleId="BulletedtextRegular">
    <w:name w:val="Bulleted text (Regular)"/>
    <w:basedOn w:val="Normal"/>
    <w:uiPriority w:val="9"/>
    <w:qFormat/>
    <w:rsid w:val="00952A28"/>
    <w:pPr>
      <w:numPr>
        <w:numId w:val="40"/>
      </w:numPr>
      <w:spacing w:after="120" w:line="240" w:lineRule="auto"/>
    </w:pPr>
    <w:rPr>
      <w:rFonts w:eastAsia="Times New Roman" w:cs="Arial"/>
      <w:sz w:val="18"/>
      <w:lang w:eastAsia="ja-JP"/>
    </w:rPr>
  </w:style>
  <w:style w:type="paragraph" w:styleId="FootnoteText">
    <w:name w:val="footnote text"/>
    <w:basedOn w:val="Normal"/>
    <w:link w:val="FootnoteTextChar"/>
    <w:uiPriority w:val="99"/>
    <w:semiHidden/>
    <w:unhideWhenUsed/>
    <w:rsid w:val="00E96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6DC9"/>
    <w:rPr>
      <w:sz w:val="20"/>
      <w:szCs w:val="20"/>
    </w:rPr>
  </w:style>
  <w:style w:type="table" w:customStyle="1" w:styleId="Table">
    <w:name w:val="Table"/>
    <w:basedOn w:val="TableNormal"/>
    <w:uiPriority w:val="99"/>
    <w:locked/>
    <w:rsid w:val="00E96DC9"/>
    <w:pPr>
      <w:spacing w:before="60" w:after="60" w:line="240" w:lineRule="auto"/>
    </w:pPr>
    <w:rPr>
      <w:sz w:val="18"/>
    </w:rPr>
    <w:tblPr>
      <w:tblStyleRowBandSize w:val="1"/>
      <w:tblStyleColBandSize w:val="1"/>
      <w:tblBorders>
        <w:top w:val="single" w:sz="2" w:space="0" w:color="404040"/>
        <w:bottom w:val="single" w:sz="2" w:space="0" w:color="404040"/>
        <w:insideH w:val="single" w:sz="2" w:space="0" w:color="404040"/>
      </w:tblBorders>
      <w:tblCellMar>
        <w:left w:w="74" w:type="dxa"/>
        <w:right w:w="74" w:type="dxa"/>
      </w:tblCellMar>
    </w:tblPr>
    <w:tcPr>
      <w:vAlign w:val="center"/>
    </w:tcPr>
    <w:tblStylePr w:type="firstRow">
      <w:pPr>
        <w:jc w:val="left"/>
      </w:pPr>
      <w:rPr>
        <w:rFonts w:ascii="Noto Sans" w:hAnsi="Noto Sans"/>
        <w:b/>
        <w:color w:val="000000"/>
        <w:sz w:val="18"/>
      </w:rPr>
      <w:tblPr/>
      <w:tcPr>
        <w:tcBorders>
          <w:top w:val="single" w:sz="2" w:space="0" w:color="404040"/>
          <w:left w:val="nil"/>
          <w:bottom w:val="single" w:sz="2" w:space="0" w:color="404040"/>
          <w:right w:val="nil"/>
          <w:insideH w:val="nil"/>
          <w:insideV w:val="nil"/>
          <w:tl2br w:val="nil"/>
          <w:tr2bl w:val="nil"/>
        </w:tcBorders>
        <w:shd w:val="clear" w:color="auto" w:fill="E5E8EC"/>
      </w:tcPr>
    </w:tblStylePr>
    <w:tblStylePr w:type="lastRow">
      <w:rPr>
        <w:rFonts w:ascii="Noto Sans" w:hAnsi="Noto Sans"/>
        <w:b/>
        <w:color w:val="auto"/>
        <w:sz w:val="18"/>
      </w:rPr>
      <w:tblPr/>
      <w:tcPr>
        <w:tcBorders>
          <w:top w:val="single" w:sz="2" w:space="0" w:color="404040"/>
          <w:left w:val="nil"/>
          <w:bottom w:val="single" w:sz="2" w:space="0" w:color="404040"/>
          <w:right w:val="nil"/>
          <w:insideH w:val="nil"/>
          <w:insideV w:val="nil"/>
          <w:tl2br w:val="nil"/>
          <w:tr2bl w:val="nil"/>
        </w:tcBorders>
        <w:shd w:val="clear" w:color="auto" w:fill="E5E8EC"/>
      </w:tcPr>
    </w:tblStylePr>
    <w:tblStylePr w:type="firstCol">
      <w:pPr>
        <w:jc w:val="left"/>
      </w:pPr>
      <w:rPr>
        <w:rFonts w:ascii="Noto Sans" w:hAnsi="Noto Sans"/>
        <w:b/>
        <w:color w:val="000000"/>
        <w:sz w:val="18"/>
      </w:rPr>
      <w:tblPr/>
      <w:tcPr>
        <w:shd w:val="clear" w:color="auto" w:fill="E5E8EC"/>
      </w:tcPr>
    </w:tblStylePr>
    <w:tblStylePr w:type="band1Vert">
      <w:tblPr/>
      <w:tcPr>
        <w:tcBorders>
          <w:top w:val="nil"/>
          <w:left w:val="nil"/>
          <w:bottom w:val="nil"/>
          <w:right w:val="nil"/>
          <w:insideH w:val="single" w:sz="4" w:space="0" w:color="4F3398"/>
          <w:insideV w:val="nil"/>
        </w:tcBorders>
      </w:tcPr>
    </w:tblStylePr>
    <w:tblStylePr w:type="band2Vert">
      <w:tblPr/>
      <w:tcPr>
        <w:tcBorders>
          <w:insideH w:val="single" w:sz="4" w:space="0" w:color="4F3398"/>
        </w:tcBorders>
      </w:tcPr>
    </w:tblStylePr>
    <w:tblStylePr w:type="band1Horz">
      <w:tblPr/>
      <w:tcPr>
        <w:tcBorders>
          <w:insideH w:val="nil"/>
        </w:tcBorders>
      </w:tcPr>
    </w:tblStylePr>
  </w:style>
  <w:style w:type="character" w:styleId="FootnoteReference">
    <w:name w:val="footnote reference"/>
    <w:basedOn w:val="DefaultParagraphFont"/>
    <w:uiPriority w:val="99"/>
    <w:semiHidden/>
    <w:rsid w:val="00E96DC9"/>
    <w:rPr>
      <w:vertAlign w:val="superscript"/>
    </w:rPr>
  </w:style>
  <w:style w:type="paragraph" w:customStyle="1" w:styleId="RMbody">
    <w:name w:val="R&amp;M body"/>
    <w:basedOn w:val="Normal"/>
    <w:link w:val="RMbodyChar"/>
    <w:qFormat/>
    <w:rsid w:val="00F21ADD"/>
    <w:pPr>
      <w:spacing w:before="80" w:after="0" w:line="259" w:lineRule="auto"/>
    </w:pPr>
    <w:rPr>
      <w:rFonts w:ascii="Calibri" w:hAnsi="Calibri"/>
      <w:color w:val="58595B"/>
    </w:rPr>
  </w:style>
  <w:style w:type="character" w:customStyle="1" w:styleId="RMbodyChar">
    <w:name w:val="R&amp;M body Char"/>
    <w:basedOn w:val="DefaultParagraphFont"/>
    <w:link w:val="RMbody"/>
    <w:rsid w:val="00F21ADD"/>
    <w:rPr>
      <w:rFonts w:ascii="Calibri" w:hAnsi="Calibri"/>
      <w:color w:val="58595B"/>
    </w:rPr>
  </w:style>
  <w:style w:type="table" w:customStyle="1" w:styleId="RMTable">
    <w:name w:val="R&amp;M Table"/>
    <w:basedOn w:val="TableNormal"/>
    <w:uiPriority w:val="99"/>
    <w:rsid w:val="00F21ADD"/>
    <w:pPr>
      <w:spacing w:after="0" w:line="240" w:lineRule="auto"/>
    </w:pPr>
    <w:rPr>
      <w:rFonts w:ascii="Calibri Light" w:hAnsi="Calibri Light"/>
      <w:sz w:val="18"/>
      <w:lang w:val="en-US"/>
    </w:rPr>
    <w:tblPr>
      <w:tblStyleRowBandSize w:val="1"/>
    </w:tblPr>
    <w:tblStylePr w:type="firstRow">
      <w:tblPr/>
      <w:tcPr>
        <w:tcBorders>
          <w:bottom w:val="single" w:sz="4" w:space="0" w:color="58595B"/>
        </w:tcBorders>
      </w:tcPr>
    </w:tblStylePr>
    <w:tblStylePr w:type="band2Horz">
      <w:tblPr/>
      <w:tcPr>
        <w:shd w:val="clear" w:color="auto" w:fill="E1E8EA"/>
      </w:tcPr>
    </w:tblStylePr>
  </w:style>
  <w:style w:type="character" w:customStyle="1" w:styleId="Heading1Char">
    <w:name w:val="Heading 1 Char"/>
    <w:basedOn w:val="DefaultParagraphFont"/>
    <w:link w:val="Heading1"/>
    <w:uiPriority w:val="9"/>
    <w:rsid w:val="00B041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4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27">
          <w:marLeft w:val="1022"/>
          <w:marRight w:val="0"/>
          <w:marTop w:val="0"/>
          <w:marBottom w:val="0"/>
          <w:divBdr>
            <w:top w:val="none" w:sz="0" w:space="0" w:color="auto"/>
            <w:left w:val="none" w:sz="0" w:space="0" w:color="auto"/>
            <w:bottom w:val="none" w:sz="0" w:space="0" w:color="auto"/>
            <w:right w:val="none" w:sz="0" w:space="0" w:color="auto"/>
          </w:divBdr>
        </w:div>
        <w:div w:id="968780789">
          <w:marLeft w:val="1022"/>
          <w:marRight w:val="0"/>
          <w:marTop w:val="0"/>
          <w:marBottom w:val="0"/>
          <w:divBdr>
            <w:top w:val="none" w:sz="0" w:space="0" w:color="auto"/>
            <w:left w:val="none" w:sz="0" w:space="0" w:color="auto"/>
            <w:bottom w:val="none" w:sz="0" w:space="0" w:color="auto"/>
            <w:right w:val="none" w:sz="0" w:space="0" w:color="auto"/>
          </w:divBdr>
        </w:div>
        <w:div w:id="25448603">
          <w:marLeft w:val="1022"/>
          <w:marRight w:val="0"/>
          <w:marTop w:val="0"/>
          <w:marBottom w:val="0"/>
          <w:divBdr>
            <w:top w:val="none" w:sz="0" w:space="0" w:color="auto"/>
            <w:left w:val="none" w:sz="0" w:space="0" w:color="auto"/>
            <w:bottom w:val="none" w:sz="0" w:space="0" w:color="auto"/>
            <w:right w:val="none" w:sz="0" w:space="0" w:color="auto"/>
          </w:divBdr>
        </w:div>
        <w:div w:id="1820491580">
          <w:marLeft w:val="1022"/>
          <w:marRight w:val="0"/>
          <w:marTop w:val="0"/>
          <w:marBottom w:val="0"/>
          <w:divBdr>
            <w:top w:val="none" w:sz="0" w:space="0" w:color="auto"/>
            <w:left w:val="none" w:sz="0" w:space="0" w:color="auto"/>
            <w:bottom w:val="none" w:sz="0" w:space="0" w:color="auto"/>
            <w:right w:val="none" w:sz="0" w:space="0" w:color="auto"/>
          </w:divBdr>
        </w:div>
        <w:div w:id="2041078858">
          <w:marLeft w:val="1022"/>
          <w:marRight w:val="0"/>
          <w:marTop w:val="0"/>
          <w:marBottom w:val="0"/>
          <w:divBdr>
            <w:top w:val="none" w:sz="0" w:space="0" w:color="auto"/>
            <w:left w:val="none" w:sz="0" w:space="0" w:color="auto"/>
            <w:bottom w:val="none" w:sz="0" w:space="0" w:color="auto"/>
            <w:right w:val="none" w:sz="0" w:space="0" w:color="auto"/>
          </w:divBdr>
        </w:div>
      </w:divsChild>
    </w:div>
    <w:div w:id="169834709">
      <w:bodyDiv w:val="1"/>
      <w:marLeft w:val="0"/>
      <w:marRight w:val="0"/>
      <w:marTop w:val="0"/>
      <w:marBottom w:val="0"/>
      <w:divBdr>
        <w:top w:val="none" w:sz="0" w:space="0" w:color="auto"/>
        <w:left w:val="none" w:sz="0" w:space="0" w:color="auto"/>
        <w:bottom w:val="none" w:sz="0" w:space="0" w:color="auto"/>
        <w:right w:val="none" w:sz="0" w:space="0" w:color="auto"/>
      </w:divBdr>
    </w:div>
    <w:div w:id="264964364">
      <w:bodyDiv w:val="1"/>
      <w:marLeft w:val="0"/>
      <w:marRight w:val="0"/>
      <w:marTop w:val="0"/>
      <w:marBottom w:val="0"/>
      <w:divBdr>
        <w:top w:val="none" w:sz="0" w:space="0" w:color="auto"/>
        <w:left w:val="none" w:sz="0" w:space="0" w:color="auto"/>
        <w:bottom w:val="none" w:sz="0" w:space="0" w:color="auto"/>
        <w:right w:val="none" w:sz="0" w:space="0" w:color="auto"/>
      </w:divBdr>
      <w:divsChild>
        <w:div w:id="2066219302">
          <w:marLeft w:val="547"/>
          <w:marRight w:val="0"/>
          <w:marTop w:val="0"/>
          <w:marBottom w:val="0"/>
          <w:divBdr>
            <w:top w:val="none" w:sz="0" w:space="0" w:color="auto"/>
            <w:left w:val="none" w:sz="0" w:space="0" w:color="auto"/>
            <w:bottom w:val="none" w:sz="0" w:space="0" w:color="auto"/>
            <w:right w:val="none" w:sz="0" w:space="0" w:color="auto"/>
          </w:divBdr>
        </w:div>
      </w:divsChild>
    </w:div>
    <w:div w:id="524830467">
      <w:bodyDiv w:val="1"/>
      <w:marLeft w:val="0"/>
      <w:marRight w:val="0"/>
      <w:marTop w:val="0"/>
      <w:marBottom w:val="0"/>
      <w:divBdr>
        <w:top w:val="none" w:sz="0" w:space="0" w:color="auto"/>
        <w:left w:val="none" w:sz="0" w:space="0" w:color="auto"/>
        <w:bottom w:val="none" w:sz="0" w:space="0" w:color="auto"/>
        <w:right w:val="none" w:sz="0" w:space="0" w:color="auto"/>
      </w:divBdr>
      <w:divsChild>
        <w:div w:id="748772269">
          <w:marLeft w:val="1022"/>
          <w:marRight w:val="0"/>
          <w:marTop w:val="0"/>
          <w:marBottom w:val="0"/>
          <w:divBdr>
            <w:top w:val="none" w:sz="0" w:space="0" w:color="auto"/>
            <w:left w:val="none" w:sz="0" w:space="0" w:color="auto"/>
            <w:bottom w:val="none" w:sz="0" w:space="0" w:color="auto"/>
            <w:right w:val="none" w:sz="0" w:space="0" w:color="auto"/>
          </w:divBdr>
        </w:div>
      </w:divsChild>
    </w:div>
    <w:div w:id="525171249">
      <w:bodyDiv w:val="1"/>
      <w:marLeft w:val="0"/>
      <w:marRight w:val="0"/>
      <w:marTop w:val="0"/>
      <w:marBottom w:val="0"/>
      <w:divBdr>
        <w:top w:val="none" w:sz="0" w:space="0" w:color="auto"/>
        <w:left w:val="none" w:sz="0" w:space="0" w:color="auto"/>
        <w:bottom w:val="none" w:sz="0" w:space="0" w:color="auto"/>
        <w:right w:val="none" w:sz="0" w:space="0" w:color="auto"/>
      </w:divBdr>
    </w:div>
    <w:div w:id="573247162">
      <w:bodyDiv w:val="1"/>
      <w:marLeft w:val="0"/>
      <w:marRight w:val="0"/>
      <w:marTop w:val="0"/>
      <w:marBottom w:val="0"/>
      <w:divBdr>
        <w:top w:val="none" w:sz="0" w:space="0" w:color="auto"/>
        <w:left w:val="none" w:sz="0" w:space="0" w:color="auto"/>
        <w:bottom w:val="none" w:sz="0" w:space="0" w:color="auto"/>
        <w:right w:val="none" w:sz="0" w:space="0" w:color="auto"/>
      </w:divBdr>
    </w:div>
    <w:div w:id="653874686">
      <w:bodyDiv w:val="1"/>
      <w:marLeft w:val="0"/>
      <w:marRight w:val="0"/>
      <w:marTop w:val="0"/>
      <w:marBottom w:val="0"/>
      <w:divBdr>
        <w:top w:val="none" w:sz="0" w:space="0" w:color="auto"/>
        <w:left w:val="none" w:sz="0" w:space="0" w:color="auto"/>
        <w:bottom w:val="none" w:sz="0" w:space="0" w:color="auto"/>
        <w:right w:val="none" w:sz="0" w:space="0" w:color="auto"/>
      </w:divBdr>
      <w:divsChild>
        <w:div w:id="511140358">
          <w:marLeft w:val="547"/>
          <w:marRight w:val="0"/>
          <w:marTop w:val="0"/>
          <w:marBottom w:val="0"/>
          <w:divBdr>
            <w:top w:val="none" w:sz="0" w:space="0" w:color="auto"/>
            <w:left w:val="none" w:sz="0" w:space="0" w:color="auto"/>
            <w:bottom w:val="none" w:sz="0" w:space="0" w:color="auto"/>
            <w:right w:val="none" w:sz="0" w:space="0" w:color="auto"/>
          </w:divBdr>
        </w:div>
      </w:divsChild>
    </w:div>
    <w:div w:id="768239051">
      <w:bodyDiv w:val="1"/>
      <w:marLeft w:val="0"/>
      <w:marRight w:val="0"/>
      <w:marTop w:val="0"/>
      <w:marBottom w:val="0"/>
      <w:divBdr>
        <w:top w:val="none" w:sz="0" w:space="0" w:color="auto"/>
        <w:left w:val="none" w:sz="0" w:space="0" w:color="auto"/>
        <w:bottom w:val="none" w:sz="0" w:space="0" w:color="auto"/>
        <w:right w:val="none" w:sz="0" w:space="0" w:color="auto"/>
      </w:divBdr>
    </w:div>
    <w:div w:id="928852882">
      <w:bodyDiv w:val="1"/>
      <w:marLeft w:val="0"/>
      <w:marRight w:val="0"/>
      <w:marTop w:val="0"/>
      <w:marBottom w:val="0"/>
      <w:divBdr>
        <w:top w:val="none" w:sz="0" w:space="0" w:color="auto"/>
        <w:left w:val="none" w:sz="0" w:space="0" w:color="auto"/>
        <w:bottom w:val="none" w:sz="0" w:space="0" w:color="auto"/>
        <w:right w:val="none" w:sz="0" w:space="0" w:color="auto"/>
      </w:divBdr>
    </w:div>
    <w:div w:id="949429504">
      <w:bodyDiv w:val="1"/>
      <w:marLeft w:val="0"/>
      <w:marRight w:val="0"/>
      <w:marTop w:val="0"/>
      <w:marBottom w:val="0"/>
      <w:divBdr>
        <w:top w:val="none" w:sz="0" w:space="0" w:color="auto"/>
        <w:left w:val="none" w:sz="0" w:space="0" w:color="auto"/>
        <w:bottom w:val="none" w:sz="0" w:space="0" w:color="auto"/>
        <w:right w:val="none" w:sz="0" w:space="0" w:color="auto"/>
      </w:divBdr>
    </w:div>
    <w:div w:id="1452239932">
      <w:bodyDiv w:val="1"/>
      <w:marLeft w:val="0"/>
      <w:marRight w:val="0"/>
      <w:marTop w:val="0"/>
      <w:marBottom w:val="0"/>
      <w:divBdr>
        <w:top w:val="none" w:sz="0" w:space="0" w:color="auto"/>
        <w:left w:val="none" w:sz="0" w:space="0" w:color="auto"/>
        <w:bottom w:val="none" w:sz="0" w:space="0" w:color="auto"/>
        <w:right w:val="none" w:sz="0" w:space="0" w:color="auto"/>
      </w:divBdr>
    </w:div>
    <w:div w:id="1563370666">
      <w:bodyDiv w:val="1"/>
      <w:marLeft w:val="0"/>
      <w:marRight w:val="0"/>
      <w:marTop w:val="0"/>
      <w:marBottom w:val="0"/>
      <w:divBdr>
        <w:top w:val="none" w:sz="0" w:space="0" w:color="auto"/>
        <w:left w:val="none" w:sz="0" w:space="0" w:color="auto"/>
        <w:bottom w:val="none" w:sz="0" w:space="0" w:color="auto"/>
        <w:right w:val="none" w:sz="0" w:space="0" w:color="auto"/>
      </w:divBdr>
    </w:div>
    <w:div w:id="1603105077">
      <w:bodyDiv w:val="1"/>
      <w:marLeft w:val="0"/>
      <w:marRight w:val="0"/>
      <w:marTop w:val="0"/>
      <w:marBottom w:val="0"/>
      <w:divBdr>
        <w:top w:val="none" w:sz="0" w:space="0" w:color="auto"/>
        <w:left w:val="none" w:sz="0" w:space="0" w:color="auto"/>
        <w:bottom w:val="none" w:sz="0" w:space="0" w:color="auto"/>
        <w:right w:val="none" w:sz="0" w:space="0" w:color="auto"/>
      </w:divBdr>
    </w:div>
    <w:div w:id="1755397301">
      <w:bodyDiv w:val="1"/>
      <w:marLeft w:val="0"/>
      <w:marRight w:val="0"/>
      <w:marTop w:val="0"/>
      <w:marBottom w:val="0"/>
      <w:divBdr>
        <w:top w:val="none" w:sz="0" w:space="0" w:color="auto"/>
        <w:left w:val="none" w:sz="0" w:space="0" w:color="auto"/>
        <w:bottom w:val="none" w:sz="0" w:space="0" w:color="auto"/>
        <w:right w:val="none" w:sz="0" w:space="0" w:color="auto"/>
      </w:divBdr>
    </w:div>
    <w:div w:id="1811245603">
      <w:bodyDiv w:val="1"/>
      <w:marLeft w:val="0"/>
      <w:marRight w:val="0"/>
      <w:marTop w:val="0"/>
      <w:marBottom w:val="0"/>
      <w:divBdr>
        <w:top w:val="none" w:sz="0" w:space="0" w:color="auto"/>
        <w:left w:val="none" w:sz="0" w:space="0" w:color="auto"/>
        <w:bottom w:val="none" w:sz="0" w:space="0" w:color="auto"/>
        <w:right w:val="none" w:sz="0" w:space="0" w:color="auto"/>
      </w:divBdr>
    </w:div>
    <w:div w:id="1840152110">
      <w:bodyDiv w:val="1"/>
      <w:marLeft w:val="0"/>
      <w:marRight w:val="0"/>
      <w:marTop w:val="0"/>
      <w:marBottom w:val="0"/>
      <w:divBdr>
        <w:top w:val="none" w:sz="0" w:space="0" w:color="auto"/>
        <w:left w:val="none" w:sz="0" w:space="0" w:color="auto"/>
        <w:bottom w:val="none" w:sz="0" w:space="0" w:color="auto"/>
        <w:right w:val="none" w:sz="0" w:space="0" w:color="auto"/>
      </w:divBdr>
    </w:div>
    <w:div w:id="1935237531">
      <w:bodyDiv w:val="1"/>
      <w:marLeft w:val="0"/>
      <w:marRight w:val="0"/>
      <w:marTop w:val="0"/>
      <w:marBottom w:val="0"/>
      <w:divBdr>
        <w:top w:val="none" w:sz="0" w:space="0" w:color="auto"/>
        <w:left w:val="none" w:sz="0" w:space="0" w:color="auto"/>
        <w:bottom w:val="none" w:sz="0" w:space="0" w:color="auto"/>
        <w:right w:val="none" w:sz="0" w:space="0" w:color="auto"/>
      </w:divBdr>
    </w:div>
    <w:div w:id="1939210667">
      <w:bodyDiv w:val="1"/>
      <w:marLeft w:val="0"/>
      <w:marRight w:val="0"/>
      <w:marTop w:val="0"/>
      <w:marBottom w:val="0"/>
      <w:divBdr>
        <w:top w:val="none" w:sz="0" w:space="0" w:color="auto"/>
        <w:left w:val="none" w:sz="0" w:space="0" w:color="auto"/>
        <w:bottom w:val="none" w:sz="0" w:space="0" w:color="auto"/>
        <w:right w:val="none" w:sz="0" w:space="0" w:color="auto"/>
      </w:divBdr>
    </w:div>
    <w:div w:id="2105606758">
      <w:bodyDiv w:val="1"/>
      <w:marLeft w:val="0"/>
      <w:marRight w:val="0"/>
      <w:marTop w:val="0"/>
      <w:marBottom w:val="0"/>
      <w:divBdr>
        <w:top w:val="none" w:sz="0" w:space="0" w:color="auto"/>
        <w:left w:val="none" w:sz="0" w:space="0" w:color="auto"/>
        <w:bottom w:val="none" w:sz="0" w:space="0" w:color="auto"/>
        <w:right w:val="none" w:sz="0" w:space="0" w:color="auto"/>
      </w:divBdr>
    </w:div>
    <w:div w:id="21125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vespensions.co.uk/scheme-1-docu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brand.schroders.com/m/1d7b11399a5fa4b9/original/613798_SC_Listed-Assets-Blueprint-202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brand.schroders.com/m/6197143c263420f5/original/Schroders-Group-Sustainable-Investment-Policy.pdf" TargetMode="External"/><Relationship Id="rId4" Type="http://schemas.openxmlformats.org/officeDocument/2006/relationships/settings" Target="settings.xml"/><Relationship Id="rId9" Type="http://schemas.openxmlformats.org/officeDocument/2006/relationships/hyperlink" Target="https://reevespensions.co.uk/scheme-1-docu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693BA-F105-46E6-B2F5-A3F08980E0D6}">
  <ds:schemaRefs>
    <ds:schemaRef ds:uri="http://schemas.openxmlformats.org/officeDocument/2006/bibliography"/>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Dapin, Sophie</dc:creator>
  <cp:lastModifiedBy>McClenaghan, Sophie</cp:lastModifiedBy>
  <cp:revision>3</cp:revision>
  <cp:lastPrinted>2021-06-29T11:12:00Z</cp:lastPrinted>
  <dcterms:created xsi:type="dcterms:W3CDTF">2025-10-13T14:47:00Z</dcterms:created>
  <dcterms:modified xsi:type="dcterms:W3CDTF">2025-10-13T14:48:00Z</dcterms:modified>
  <cp:category>Pensions Regulator Guidance and Instructions for Completing SIP Template</cp:category>
</cp:coreProperties>
</file>