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87E0" w14:textId="238556D4" w:rsidR="006E5B39" w:rsidRPr="00E62CB2" w:rsidRDefault="004D7C16" w:rsidP="008A478E">
      <w:pPr>
        <w:jc w:val="center"/>
        <w:rPr>
          <w:b/>
          <w:bCs/>
          <w:sz w:val="36"/>
          <w:szCs w:val="36"/>
          <w:lang w:val="en-GB"/>
        </w:rPr>
      </w:pPr>
      <w:r w:rsidRPr="00E62CB2">
        <w:rPr>
          <w:b/>
          <w:bCs/>
          <w:sz w:val="36"/>
          <w:szCs w:val="36"/>
          <w:lang w:val="en-GB"/>
        </w:rPr>
        <w:t xml:space="preserve">Learning in Motion: </w:t>
      </w:r>
      <w:r w:rsidR="002D7C61" w:rsidRPr="002D7C61">
        <w:rPr>
          <w:b/>
          <w:bCs/>
          <w:sz w:val="36"/>
          <w:szCs w:val="36"/>
          <w:lang w:val="en-GB"/>
        </w:rPr>
        <w:t xml:space="preserve">How Academic Role Navigation Shapes Knowledge Development in </w:t>
      </w:r>
      <w:r w:rsidR="00B91AA2">
        <w:rPr>
          <w:b/>
          <w:bCs/>
          <w:sz w:val="36"/>
          <w:szCs w:val="36"/>
          <w:lang w:val="en-GB"/>
        </w:rPr>
        <w:t xml:space="preserve">Construction </w:t>
      </w:r>
      <w:r w:rsidR="002D7C61" w:rsidRPr="002D7C61">
        <w:rPr>
          <w:b/>
          <w:bCs/>
          <w:sz w:val="36"/>
          <w:szCs w:val="36"/>
          <w:lang w:val="en-GB"/>
        </w:rPr>
        <w:t>Learning Communities</w:t>
      </w:r>
    </w:p>
    <w:p w14:paraId="24685119" w14:textId="77777777" w:rsidR="004D7C16" w:rsidRPr="00537F56" w:rsidRDefault="004D7C16" w:rsidP="004D7C16">
      <w:pPr>
        <w:jc w:val="center"/>
        <w:rPr>
          <w:lang w:val="en-GB"/>
        </w:rPr>
      </w:pPr>
    </w:p>
    <w:p w14:paraId="7AE5830A" w14:textId="27DEA4D7" w:rsidR="00537F56" w:rsidRPr="006C1B09" w:rsidRDefault="00537F56" w:rsidP="00537F56">
      <w:pPr>
        <w:pStyle w:val="Authors"/>
        <w:rPr>
          <w:rFonts w:asciiTheme="minorHAnsi" w:hAnsiTheme="minorHAnsi"/>
          <w:sz w:val="22"/>
          <w:szCs w:val="22"/>
          <w:lang w:val="en-US"/>
        </w:rPr>
      </w:pPr>
      <w:r w:rsidRPr="006C1B09">
        <w:rPr>
          <w:rFonts w:asciiTheme="minorHAnsi" w:hAnsiTheme="minorHAnsi"/>
          <w:sz w:val="22"/>
          <w:szCs w:val="22"/>
          <w:lang w:val="en-US"/>
        </w:rPr>
        <w:t>Ramon ter Huurne</w:t>
      </w:r>
      <w:r w:rsidRPr="006C1B09">
        <w:rPr>
          <w:rFonts w:asciiTheme="minorHAnsi" w:hAnsiTheme="minorHAnsi"/>
          <w:sz w:val="22"/>
          <w:szCs w:val="22"/>
          <w:vertAlign w:val="superscript"/>
          <w:lang w:val="en-US"/>
        </w:rPr>
        <w:t xml:space="preserve"> 1</w:t>
      </w:r>
    </w:p>
    <w:p w14:paraId="3178036D" w14:textId="77777777" w:rsidR="00537F56" w:rsidRPr="00537F56" w:rsidRDefault="00537F56" w:rsidP="00537F56">
      <w:pPr>
        <w:pStyle w:val="Authors"/>
        <w:rPr>
          <w:rFonts w:asciiTheme="minorHAnsi" w:hAnsiTheme="minorHAnsi"/>
          <w:lang w:val="en-US"/>
        </w:rPr>
      </w:pPr>
    </w:p>
    <w:p w14:paraId="51E121EC" w14:textId="5B24519F" w:rsidR="00537F56" w:rsidRPr="006C1B09" w:rsidRDefault="00537F56" w:rsidP="00537F56">
      <w:pPr>
        <w:pStyle w:val="Affiliation"/>
        <w:rPr>
          <w:rFonts w:asciiTheme="minorHAnsi" w:hAnsiTheme="minorHAnsi"/>
          <w:sz w:val="22"/>
          <w:szCs w:val="22"/>
        </w:rPr>
      </w:pPr>
      <w:r w:rsidRPr="006C1B09">
        <w:rPr>
          <w:rFonts w:asciiTheme="minorHAnsi" w:hAnsiTheme="minorHAnsi"/>
          <w:sz w:val="22"/>
          <w:szCs w:val="22"/>
          <w:vertAlign w:val="superscript"/>
        </w:rPr>
        <w:t>1</w:t>
      </w:r>
      <w:r w:rsidRPr="006C1B09">
        <w:rPr>
          <w:rFonts w:asciiTheme="minorHAnsi" w:hAnsiTheme="minorHAnsi"/>
          <w:sz w:val="22"/>
          <w:szCs w:val="22"/>
        </w:rPr>
        <w:t xml:space="preserve"> University of Twente, Faculty of Engineering Technology, Department of Civil Engineering and Management, The Netherlands – </w:t>
      </w:r>
      <w:hyperlink r:id="rId6" w:history="1">
        <w:r w:rsidRPr="006C1B09">
          <w:rPr>
            <w:rStyle w:val="Hyperlink"/>
            <w:rFonts w:asciiTheme="minorHAnsi" w:eastAsiaTheme="majorEastAsia" w:hAnsiTheme="minorHAnsi"/>
            <w:sz w:val="22"/>
            <w:szCs w:val="22"/>
          </w:rPr>
          <w:t>r.b.a.terhuurne@utwente.nl</w:t>
        </w:r>
      </w:hyperlink>
      <w:r w:rsidRPr="006C1B09">
        <w:rPr>
          <w:rFonts w:asciiTheme="minorHAnsi" w:eastAsiaTheme="majorEastAsia" w:hAnsiTheme="minorHAnsi"/>
          <w:sz w:val="22"/>
          <w:szCs w:val="22"/>
        </w:rPr>
        <w:t xml:space="preserve"> </w:t>
      </w:r>
    </w:p>
    <w:p w14:paraId="619174CC" w14:textId="77777777" w:rsidR="00537F56" w:rsidRDefault="00537F56" w:rsidP="003A4923">
      <w:pPr>
        <w:jc w:val="both"/>
        <w:rPr>
          <w:lang w:val="en-GB"/>
        </w:rPr>
      </w:pPr>
    </w:p>
    <w:p w14:paraId="0F88B108" w14:textId="1766B930" w:rsidR="00537F56" w:rsidRPr="006C1B09" w:rsidRDefault="00537F56" w:rsidP="003A4923">
      <w:pPr>
        <w:jc w:val="both"/>
        <w:rPr>
          <w:lang w:val="en-GB"/>
        </w:rPr>
      </w:pPr>
      <w:r w:rsidRPr="00537F56">
        <w:rPr>
          <w:b/>
          <w:bCs/>
          <w:lang w:val="en-GB"/>
        </w:rPr>
        <w:t xml:space="preserve">Keywords: </w:t>
      </w:r>
      <w:r w:rsidR="006C1B09">
        <w:rPr>
          <w:lang w:val="en-GB"/>
        </w:rPr>
        <w:t xml:space="preserve">Digital Transformation, </w:t>
      </w:r>
      <w:r w:rsidR="00D35BCF">
        <w:rPr>
          <w:lang w:val="en-GB"/>
        </w:rPr>
        <w:t>Sustainability Transitions</w:t>
      </w:r>
      <w:r w:rsidR="006C1B09">
        <w:rPr>
          <w:lang w:val="en-GB"/>
        </w:rPr>
        <w:t>, Learning Communities, Lifelong Learning</w:t>
      </w:r>
      <w:r w:rsidR="004D7C16">
        <w:rPr>
          <w:lang w:val="en-GB"/>
        </w:rPr>
        <w:t>, Role Navigation</w:t>
      </w:r>
      <w:r w:rsidR="006C1B09">
        <w:rPr>
          <w:lang w:val="en-GB"/>
        </w:rPr>
        <w:t xml:space="preserve">. </w:t>
      </w:r>
    </w:p>
    <w:p w14:paraId="0CEE6E80" w14:textId="77777777" w:rsidR="00537F56" w:rsidRDefault="00537F56" w:rsidP="003A4923">
      <w:pPr>
        <w:jc w:val="both"/>
        <w:rPr>
          <w:lang w:val="en-GB"/>
        </w:rPr>
      </w:pPr>
    </w:p>
    <w:p w14:paraId="738441C1" w14:textId="55607C7A" w:rsidR="006E5B39" w:rsidRPr="00537F56" w:rsidRDefault="006E5B39" w:rsidP="003A4923">
      <w:pPr>
        <w:jc w:val="both"/>
        <w:rPr>
          <w:b/>
          <w:bCs/>
          <w:lang w:val="en-GB"/>
        </w:rPr>
      </w:pPr>
      <w:r w:rsidRPr="00537F56">
        <w:rPr>
          <w:b/>
          <w:bCs/>
          <w:lang w:val="en-GB"/>
        </w:rPr>
        <w:t>Extended abstract</w:t>
      </w:r>
    </w:p>
    <w:p w14:paraId="38B504DF" w14:textId="50B8A164" w:rsidR="00AA7EE3" w:rsidRPr="001B1FAF" w:rsidRDefault="00AB2313" w:rsidP="001B1FAF">
      <w:pPr>
        <w:jc w:val="both"/>
        <w:rPr>
          <w:lang w:val="en-GB"/>
        </w:rPr>
      </w:pPr>
      <w:r w:rsidRPr="00AB2313">
        <w:rPr>
          <w:lang w:val="en-GB"/>
        </w:rPr>
        <w:t>The construction sector is currently navigating a set of interrelated transitions. Sustainability ambitions, reinforced by international agreements such as the Paris Agreement, continue to push the sector toward lower-carbon practices</w:t>
      </w:r>
      <w:r w:rsidR="00DA5EE9" w:rsidRPr="00DA5EE9">
        <w:rPr>
          <w:lang w:val="en-GB"/>
        </w:rPr>
        <w:t xml:space="preserve"> </w:t>
      </w:r>
      <w:r w:rsidR="00682B5F">
        <w:rPr>
          <w:lang w:val="en-GB"/>
        </w:rPr>
        <w:fldChar w:fldCharType="begin" w:fldLock="1"/>
      </w:r>
      <w:r w:rsidR="008F5560">
        <w:rPr>
          <w:lang w:val="en-GB"/>
        </w:rPr>
        <w:instrText>ADDIN CSL_CITATION {"citationItems":[{"id":"ITEM-1","itemData":{"author":[{"dropping-particle":"","family":"United Nations Framework Convention on Climate Change","given":"","non-dropping-particle":"","parse-names":false,"suffix":""}],"id":"ITEM-1","issued":{"date-parts":[["2015"]]},"title":"The Paris Agreement","type":"report"},"uris":["http://www.mendeley.com/documents/?uuid=85850f08-743e-4e85-b881-582c5f4b5dad"]}],"mendeley":{"formattedCitation":"(United Nations Framework Convention on Climate Change, 2015)","plainTextFormattedCitation":"(United Nations Framework Convention on Climate Change, 2015)","previouslyFormattedCitation":"(United Nations Framework Convention on Climate Change, 2015)"},"properties":{"noteIndex":0},"schema":"https://github.com/citation-style-language/schema/raw/master/csl-citation.json"}</w:instrText>
      </w:r>
      <w:r w:rsidR="00682B5F">
        <w:rPr>
          <w:lang w:val="en-GB"/>
        </w:rPr>
        <w:fldChar w:fldCharType="separate"/>
      </w:r>
      <w:r w:rsidR="00682B5F" w:rsidRPr="00682B5F">
        <w:rPr>
          <w:noProof/>
          <w:lang w:val="en-GB"/>
        </w:rPr>
        <w:t>(United Nations Framework Convention on Climate Change, 2015)</w:t>
      </w:r>
      <w:r w:rsidR="00682B5F">
        <w:rPr>
          <w:lang w:val="en-GB"/>
        </w:rPr>
        <w:fldChar w:fldCharType="end"/>
      </w:r>
      <w:r w:rsidR="00682B5F">
        <w:rPr>
          <w:lang w:val="en-GB"/>
        </w:rPr>
        <w:t xml:space="preserve">. </w:t>
      </w:r>
      <w:r w:rsidR="00DA253C" w:rsidRPr="00DA253C">
        <w:rPr>
          <w:lang w:val="en-GB"/>
        </w:rPr>
        <w:t>At the same time, digital transformation is widely seen as a non</w:t>
      </w:r>
      <w:r w:rsidR="00DA253C" w:rsidRPr="00DA253C">
        <w:rPr>
          <w:rFonts w:ascii="Cambria Math" w:hAnsi="Cambria Math" w:cs="Cambria Math"/>
          <w:lang w:val="en-GB"/>
        </w:rPr>
        <w:t>‑</w:t>
      </w:r>
      <w:r w:rsidR="00DA253C" w:rsidRPr="00DA253C">
        <w:rPr>
          <w:lang w:val="en-GB"/>
        </w:rPr>
        <w:t xml:space="preserve">regret pathway to support and accelerate these sustainability </w:t>
      </w:r>
      <w:r w:rsidR="00D35BCF">
        <w:rPr>
          <w:lang w:val="en-GB"/>
        </w:rPr>
        <w:t>ambitions</w:t>
      </w:r>
      <w:r w:rsidR="008F5560">
        <w:rPr>
          <w:lang w:val="en-GB"/>
        </w:rPr>
        <w:t xml:space="preserve"> </w:t>
      </w:r>
      <w:r w:rsidR="008F5560">
        <w:rPr>
          <w:lang w:val="en-GB"/>
        </w:rPr>
        <w:fldChar w:fldCharType="begin" w:fldLock="1"/>
      </w:r>
      <w:r w:rsidR="004B361D">
        <w:rPr>
          <w:lang w:val="en-GB"/>
        </w:rPr>
        <w:instrText>ADDIN CSL_CITATION {"citationItems":[{"id":"ITEM-1","itemData":{"DOI":"10.1080/01446193.2026.2629869","author":[{"dropping-particle":"","family":"Ninan","given":"Johan","non-dropping-particle":"","parse-names":false,"suffix":""},{"dropping-particle":"","family":"Zaharia","given":"Alexandru","non-dropping-particle":"","parse-names":false,"suffix":""},{"dropping-particle":"","family":"Bosch-rekveldt","given":"Marian","non-dropping-particle":"","parse-names":false,"suffix":""},{"dropping-particle":"","family":"Zaharia","given":"Alexandru","non-dropping-particle":"","parse-names":false,"suffix":""},{"dropping-particle":"","family":"Bosch-rekveldt","given":"Marian","non-dropping-particle":"","parse-names":false,"suffix":""}],"container-title":"Construction Management and Economics","id":"ITEM-1","issue":"4","issued":{"date-parts":[["2026"]]},"page":"300-317","publisher":"Routledge","title":"How digital platforms enable sustainability transitions in the built environment environment","type":"article-journal","volume":"44"},"uris":["http://www.mendeley.com/documents/?uuid=e6665eda-67d3-4c2e-9828-3ba8e6b15c8f"]}],"mendeley":{"formattedCitation":"(Ninan &lt;i&gt;et al.&lt;/i&gt;, 2026)","plainTextFormattedCitation":"(Ninan et al., 2026)","previouslyFormattedCitation":"(Ninan &lt;i&gt;et al.&lt;/i&gt;, 2026)"},"properties":{"noteIndex":0},"schema":"https://github.com/citation-style-language/schema/raw/master/csl-citation.json"}</w:instrText>
      </w:r>
      <w:r w:rsidR="008F5560">
        <w:rPr>
          <w:lang w:val="en-GB"/>
        </w:rPr>
        <w:fldChar w:fldCharType="separate"/>
      </w:r>
      <w:r w:rsidR="008F5560" w:rsidRPr="008F5560">
        <w:rPr>
          <w:noProof/>
          <w:lang w:val="en-GB"/>
        </w:rPr>
        <w:t xml:space="preserve">(Ninan </w:t>
      </w:r>
      <w:r w:rsidR="008F5560" w:rsidRPr="008F5560">
        <w:rPr>
          <w:i/>
          <w:noProof/>
          <w:lang w:val="en-GB"/>
        </w:rPr>
        <w:t>et al.</w:t>
      </w:r>
      <w:r w:rsidR="008F5560" w:rsidRPr="008F5560">
        <w:rPr>
          <w:noProof/>
          <w:lang w:val="en-GB"/>
        </w:rPr>
        <w:t>, 2026)</w:t>
      </w:r>
      <w:r w:rsidR="008F5560">
        <w:rPr>
          <w:lang w:val="en-GB"/>
        </w:rPr>
        <w:fldChar w:fldCharType="end"/>
      </w:r>
      <w:r w:rsidR="00682B5F">
        <w:rPr>
          <w:lang w:val="en-GB"/>
        </w:rPr>
        <w:t xml:space="preserve">. </w:t>
      </w:r>
      <w:r w:rsidR="00DA253C" w:rsidRPr="00DA253C">
        <w:rPr>
          <w:lang w:val="en-GB"/>
        </w:rPr>
        <w:t>This urgency is compounded by a shrinking workforce</w:t>
      </w:r>
      <w:r w:rsidR="00DA253C">
        <w:rPr>
          <w:lang w:val="en-GB"/>
        </w:rPr>
        <w:t xml:space="preserve">, </w:t>
      </w:r>
      <w:r w:rsidR="00DA253C" w:rsidRPr="00DA253C">
        <w:rPr>
          <w:lang w:val="en-GB"/>
        </w:rPr>
        <w:t>often described as a workforce in transition</w:t>
      </w:r>
      <w:r w:rsidR="00DA253C">
        <w:rPr>
          <w:lang w:val="en-GB"/>
        </w:rPr>
        <w:t xml:space="preserve">, </w:t>
      </w:r>
      <w:r w:rsidR="00DA253C" w:rsidRPr="00DA253C">
        <w:rPr>
          <w:lang w:val="en-GB"/>
        </w:rPr>
        <w:t>which may struggle to meet rising demands without substantial technological support.</w:t>
      </w:r>
      <w:r w:rsidR="00316EF8">
        <w:rPr>
          <w:lang w:val="en-GB"/>
        </w:rPr>
        <w:t xml:space="preserve"> T</w:t>
      </w:r>
      <w:r w:rsidR="00DA5EE9" w:rsidRPr="00DA5EE9">
        <w:rPr>
          <w:lang w:val="en-GB"/>
        </w:rPr>
        <w:t xml:space="preserve">his technological </w:t>
      </w:r>
      <w:r w:rsidR="00316EF8">
        <w:rPr>
          <w:lang w:val="en-GB"/>
        </w:rPr>
        <w:t>outlook, however,</w:t>
      </w:r>
      <w:r w:rsidR="00DA5EE9" w:rsidRPr="00DA5EE9">
        <w:rPr>
          <w:lang w:val="en-GB"/>
        </w:rPr>
        <w:t xml:space="preserve"> coexists with a stark operational reality. </w:t>
      </w:r>
      <w:r w:rsidR="00DA253C">
        <w:rPr>
          <w:lang w:val="en-GB"/>
        </w:rPr>
        <w:t>Al</w:t>
      </w:r>
      <w:r w:rsidR="00DA253C" w:rsidRPr="00DA253C">
        <w:rPr>
          <w:lang w:val="en-GB"/>
        </w:rPr>
        <w:t>though advanced tools</w:t>
      </w:r>
      <w:r w:rsidR="00DA253C">
        <w:rPr>
          <w:lang w:val="en-GB"/>
        </w:rPr>
        <w:t xml:space="preserve">, </w:t>
      </w:r>
      <w:r w:rsidR="00DA253C" w:rsidRPr="00DA253C">
        <w:rPr>
          <w:lang w:val="en-GB"/>
        </w:rPr>
        <w:t>such as remote sensing, robotics, digital models, and AI-enabled decision support</w:t>
      </w:r>
      <w:r w:rsidR="00DA253C">
        <w:rPr>
          <w:lang w:val="en-GB"/>
        </w:rPr>
        <w:t xml:space="preserve">, </w:t>
      </w:r>
      <w:r w:rsidR="00DA253C" w:rsidRPr="00DA253C">
        <w:rPr>
          <w:lang w:val="en-GB"/>
        </w:rPr>
        <w:t>are increasingly available, their transformative potential is rarely fully realized.</w:t>
      </w:r>
      <w:r w:rsidR="00DA5EE9" w:rsidRPr="00DA5EE9">
        <w:rPr>
          <w:lang w:val="en-GB"/>
        </w:rPr>
        <w:t xml:space="preserve"> </w:t>
      </w:r>
      <w:r w:rsidR="00316EF8">
        <w:rPr>
          <w:lang w:val="en-GB"/>
        </w:rPr>
        <w:t>The reason is that e</w:t>
      </w:r>
      <w:r w:rsidR="00DA253C" w:rsidRPr="00DA253C">
        <w:rPr>
          <w:lang w:val="en-GB"/>
        </w:rPr>
        <w:t>ffective digital transformation depends on continuous and distributed forms of organizational learning that can scale pilot initiatives into repeatable practices</w:t>
      </w:r>
      <w:r w:rsidR="00DA5EE9" w:rsidRPr="00DA5EE9">
        <w:rPr>
          <w:lang w:val="en-GB"/>
        </w:rPr>
        <w:t>. In reality, however, learning often emerges informally on</w:t>
      </w:r>
      <w:r w:rsidR="00DA5EE9" w:rsidRPr="00DA5EE9">
        <w:rPr>
          <w:rFonts w:ascii="Cambria Math" w:hAnsi="Cambria Math" w:cs="Cambria Math"/>
          <w:lang w:val="en-GB"/>
        </w:rPr>
        <w:t>‑</w:t>
      </w:r>
      <w:r w:rsidR="00DA5EE9" w:rsidRPr="00DA5EE9">
        <w:rPr>
          <w:lang w:val="en-GB"/>
        </w:rPr>
        <w:t>site within individual projects, remains highly task</w:t>
      </w:r>
      <w:r w:rsidR="00DA5EE9" w:rsidRPr="00DA5EE9">
        <w:rPr>
          <w:rFonts w:ascii="Cambria Math" w:hAnsi="Cambria Math" w:cs="Cambria Math"/>
          <w:lang w:val="en-GB"/>
        </w:rPr>
        <w:t>‑</w:t>
      </w:r>
      <w:r w:rsidR="00DA5EE9" w:rsidRPr="00DA5EE9">
        <w:rPr>
          <w:lang w:val="en-GB"/>
        </w:rPr>
        <w:t>specific, and frequently dissipates when teams disband or contractors rotate out</w:t>
      </w:r>
      <w:r w:rsidR="00316EF8">
        <w:rPr>
          <w:lang w:val="en-GB"/>
        </w:rPr>
        <w:t xml:space="preserve"> </w:t>
      </w:r>
      <w:r w:rsidR="00316EF8">
        <w:rPr>
          <w:lang w:val="en-GB"/>
        </w:rPr>
        <w:t xml:space="preserve"> </w:t>
      </w:r>
      <w:r w:rsidR="00316EF8">
        <w:rPr>
          <w:lang w:val="en-GB"/>
        </w:rPr>
        <w:fldChar w:fldCharType="begin" w:fldLock="1"/>
      </w:r>
      <w:r w:rsidR="00316EF8">
        <w:rPr>
          <w:lang w:val="en-GB"/>
        </w:rPr>
        <w:instrText>ADDIN CSL_CITATION {"citationItems":[{"id":"ITEM-1","itemData":{"DOI":"10.1061/(asce)co.1943-7862.0002307","ISSN":"0733-9364","abstract":"Many scholars have denounced innovation in construction as problematic. Existing work processes and routines may resist or even block the adoption of new technologies. Unravelling how new technology interferes with organizational processes could facilitate a more mindful innovation process. This study, therefore, conceptualizes how technology pilots influence early change of existing practices. Five utility localization projects were studied, in which ground-penetrating radar (GPR) technology was introduced. The researchers observed existing practices onsite, demonstrated and moderated the use of GPR, and conducted semistructured reflective interviews. Based on the concept of routine dynamics, selective and axial coding resulted in the identification of two types of mechanisms: (1) change triggers occurred when routines fell short and practitioners started favoring the GPR, and (2) stabilization occurred when routines proceeded as expected and shielded GPR from being considered. Objecting linear innovation adoption, the findings contribute an empirical conceptual model of early- stage innovation adoption dynamics. This model aids decision makers in timely identifying (1) whether routines are receptive to the uptake of new technologies, and (2) how new technologies may advance these routines. Additionally, this study demonstrates the merit of using practice-based studies to conceptualize in rich detail how innovation processes are shaped in situated construction contexts.","author":[{"dropping-particle":"","family":"Huurne","given":"Ramon B A","non-dropping-particle":"Ter","parse-names":false,"suffix":""},{"dropping-particle":"","family":"Olde Scholtenhuis","given":"Léon L","non-dropping-particle":"","parse-names":false,"suffix":""},{"dropping-particle":"","family":"Dorée","given":"André G","non-dropping-particle":"","parse-names":false,"suffix":""}],"container-title":"Journal of Construction Engineering and Management","id":"ITEM-1","issue":"9","issued":{"date-parts":[["2022"]]},"page":"1-10","title":"Change Triggers in Early Innovation Stages: How Technology Pilots Enable Routine Reflection","type":"article-journal","volume":"148"},"uris":["http://www.mendeley.com/documents/?uuid=ed8e5a44-0a66-4d56-b809-e9a51b03eee4"]}],"mendeley":{"formattedCitation":"(Ter Huurne, Olde Scholtenhuis and Dorée, 2022)","plainTextFormattedCitation":"(Ter Huurne, Olde Scholtenhuis and Dorée, 2022)","previouslyFormattedCitation":"(Ter Huurne, Olde Scholtenhuis and Dorée, 2022)"},"properties":{"noteIndex":0},"schema":"https://github.com/citation-style-language/schema/raw/master/csl-citation.json"}</w:instrText>
      </w:r>
      <w:r w:rsidR="00316EF8">
        <w:rPr>
          <w:lang w:val="en-GB"/>
        </w:rPr>
        <w:fldChar w:fldCharType="separate"/>
      </w:r>
      <w:r w:rsidR="00316EF8" w:rsidRPr="0016215F">
        <w:rPr>
          <w:noProof/>
          <w:lang w:val="en-GB"/>
        </w:rPr>
        <w:t>(Ter Huurne, Olde Scholtenhuis and Dorée, 2022)</w:t>
      </w:r>
      <w:r w:rsidR="00316EF8">
        <w:rPr>
          <w:lang w:val="en-GB"/>
        </w:rPr>
        <w:fldChar w:fldCharType="end"/>
      </w:r>
      <w:r w:rsidR="00DA5EE9" w:rsidRPr="00DA5EE9">
        <w:rPr>
          <w:lang w:val="en-GB"/>
        </w:rPr>
        <w:t xml:space="preserve">. </w:t>
      </w:r>
      <w:r w:rsidR="00DA253C" w:rsidRPr="00DA253C">
        <w:rPr>
          <w:lang w:val="en-GB"/>
        </w:rPr>
        <w:t xml:space="preserve">This </w:t>
      </w:r>
      <w:r w:rsidR="00AB3DFD">
        <w:rPr>
          <w:lang w:val="en-GB"/>
        </w:rPr>
        <w:t>‘</w:t>
      </w:r>
      <w:r w:rsidR="00DA253C" w:rsidRPr="00DA253C">
        <w:rPr>
          <w:lang w:val="en-GB"/>
        </w:rPr>
        <w:t>fluidity</w:t>
      </w:r>
      <w:r w:rsidR="00AB3DFD">
        <w:rPr>
          <w:lang w:val="en-GB"/>
        </w:rPr>
        <w:t>’</w:t>
      </w:r>
      <w:r w:rsidR="00DA253C" w:rsidRPr="00DA253C">
        <w:rPr>
          <w:lang w:val="en-GB"/>
        </w:rPr>
        <w:t xml:space="preserve"> </w:t>
      </w:r>
      <w:r w:rsidR="00316EF8">
        <w:rPr>
          <w:lang w:val="en-GB"/>
        </w:rPr>
        <w:t>hampers</w:t>
      </w:r>
      <w:r w:rsidR="00DA253C" w:rsidRPr="00DA253C">
        <w:rPr>
          <w:lang w:val="en-GB"/>
        </w:rPr>
        <w:t xml:space="preserve"> sustained performance improvement.</w:t>
      </w:r>
    </w:p>
    <w:p w14:paraId="17E43ED1" w14:textId="02CFDB88" w:rsidR="00957A43" w:rsidRDefault="00DA253C" w:rsidP="001B1FAF">
      <w:pPr>
        <w:jc w:val="both"/>
        <w:rPr>
          <w:lang w:val="en-GB"/>
        </w:rPr>
      </w:pPr>
      <w:r w:rsidRPr="00DA253C">
        <w:rPr>
          <w:lang w:val="en-GB"/>
        </w:rPr>
        <w:t>In response, Lifelong Learning (LLL) is increasingly recognized in research and policy as a critical component of digital transformation. LLL refers to the continuous, work</w:t>
      </w:r>
      <w:r w:rsidRPr="00DA253C">
        <w:rPr>
          <w:rFonts w:ascii="Cambria Math" w:hAnsi="Cambria Math" w:cs="Cambria Math"/>
          <w:lang w:val="en-GB"/>
        </w:rPr>
        <w:t>‑</w:t>
      </w:r>
      <w:r w:rsidRPr="00DA253C">
        <w:rPr>
          <w:lang w:val="en-GB"/>
        </w:rPr>
        <w:t>embedded development of skills and knowledge throughout an individual</w:t>
      </w:r>
      <w:r w:rsidRPr="00DA253C">
        <w:rPr>
          <w:rFonts w:ascii="Aptos" w:hAnsi="Aptos" w:cs="Aptos"/>
          <w:lang w:val="en-GB"/>
        </w:rPr>
        <w:t>’</w:t>
      </w:r>
      <w:r w:rsidRPr="00DA253C">
        <w:rPr>
          <w:lang w:val="en-GB"/>
        </w:rPr>
        <w:t>s life</w:t>
      </w:r>
      <w:r w:rsidR="00CD2BF9">
        <w:rPr>
          <w:lang w:val="en-GB"/>
        </w:rPr>
        <w:t xml:space="preserve"> </w:t>
      </w:r>
      <w:r w:rsidR="004B361D">
        <w:rPr>
          <w:lang w:val="en-GB"/>
        </w:rPr>
        <w:fldChar w:fldCharType="begin" w:fldLock="1"/>
      </w:r>
      <w:r w:rsidR="00957A43">
        <w:rPr>
          <w:lang w:val="en-GB"/>
        </w:rPr>
        <w:instrText>ADDIN CSL_CITATION {"citationItems":[{"id":"ITEM-1","itemData":{"DOI":"10.1016/j.sbspro.2011.12.073","ISBN":"9821667570","ISSN":"1877-0428","author":[{"dropping-particle":"","family":"Laal","given":"Marjan","non-dropping-particle":"","parse-names":false,"suffix":""},{"dropping-particle":"","family":"Salamati","given":"Peyman","non-dropping-particle":"","parse-names":false,"suffix":""}],"id":"ITEM-1","issue":"2011","issued":{"date-parts":[["2012"]]},"page":"399-403","title":"Social and Lifelong learning ; why do we need it ?","type":"article-journal","volume":"31"},"uris":["http://www.mendeley.com/documents/?uuid=443c0005-e78a-429c-a534-61a56efa9f87"]}],"mendeley":{"formattedCitation":"(Laal and Salamati, 2012)","plainTextFormattedCitation":"(Laal and Salamati, 2012)","previouslyFormattedCitation":"(Laal and Salamati, 2012)"},"properties":{"noteIndex":0},"schema":"https://github.com/citation-style-language/schema/raw/master/csl-citation.json"}</w:instrText>
      </w:r>
      <w:r w:rsidR="004B361D">
        <w:rPr>
          <w:lang w:val="en-GB"/>
        </w:rPr>
        <w:fldChar w:fldCharType="separate"/>
      </w:r>
      <w:r w:rsidR="004B361D" w:rsidRPr="004B361D">
        <w:rPr>
          <w:noProof/>
          <w:lang w:val="en-GB"/>
        </w:rPr>
        <w:t>(Laal and Salamati, 2012)</w:t>
      </w:r>
      <w:r w:rsidR="004B361D">
        <w:rPr>
          <w:lang w:val="en-GB"/>
        </w:rPr>
        <w:fldChar w:fldCharType="end"/>
      </w:r>
      <w:r w:rsidR="00CD2BF9">
        <w:rPr>
          <w:lang w:val="en-GB"/>
        </w:rPr>
        <w:t>.</w:t>
      </w:r>
      <w:r w:rsidR="004B361D">
        <w:rPr>
          <w:lang w:val="en-GB"/>
        </w:rPr>
        <w:t xml:space="preserve"> </w:t>
      </w:r>
      <w:r w:rsidRPr="00DA253C">
        <w:rPr>
          <w:lang w:val="en-GB"/>
        </w:rPr>
        <w:t>From this perspective, learning becomes an organizational capability embedded in practice.</w:t>
      </w:r>
      <w:r w:rsidR="00CA3AF1">
        <w:rPr>
          <w:lang w:val="en-GB"/>
        </w:rPr>
        <w:t xml:space="preserve"> I</w:t>
      </w:r>
      <w:r w:rsidR="00CA3AF1" w:rsidRPr="00CA3AF1">
        <w:rPr>
          <w:lang w:val="en-GB"/>
        </w:rPr>
        <w:t>n construction, this type of learning is seen as essential for maintaining relevant expertise under conditions of technological and organizational change</w:t>
      </w:r>
      <w:r w:rsidR="00155073">
        <w:rPr>
          <w:lang w:val="en-GB"/>
        </w:rPr>
        <w:t xml:space="preserve"> </w:t>
      </w:r>
      <w:r w:rsidR="00155073">
        <w:rPr>
          <w:lang w:val="en-GB"/>
        </w:rPr>
        <w:fldChar w:fldCharType="begin" w:fldLock="1"/>
      </w:r>
      <w:r w:rsidR="00D76BAE">
        <w:rPr>
          <w:lang w:val="en-GB"/>
        </w:rPr>
        <w:instrText>ADDIN CSL_CITATION {"citationItems":[{"id":"ITEM-1","itemData":{"DOI":"10.1080/01446190600863152","author":[{"dropping-particle":"","family":"Chan","given":"Paul W","non-dropping-particle":"","parse-names":false,"suffix":""},{"dropping-particle":"","family":"Dainty","given":"Andrew R J","non-dropping-particle":"","parse-names":false,"suffix":""}],"container-title":"Construction Management and Economics","id":"ITEM-1","issue":"May","issued":{"date-parts":[["2007"]]},"title":"Resolving the UK construction skills crisis : a critical perspective on the research and policy agenda","type":"article-journal","volume":"6193"},"uris":["http://www.mendeley.com/documents/?uuid=3445915d-9540-4ac5-a4bf-50e013bc739b"]},{"id":"ITEM-2","itemData":{"DOI":"10.1080/01446193.2016.1248988","ISSN":"0144-6193","author":[{"dropping-particle":"","family":"Clarke","given":"Linda","non-dropping-particle":"","parse-names":false,"suffix":""},{"dropping-particle":"","family":"Gleeson","given":"Colin","non-dropping-particle":"","parse-names":false,"suffix":""},{"dropping-particle":"","family":"Winch","given":"Christopher","non-dropping-particle":"","parse-names":false,"suffix":""}],"container-title":"Construction Management and Economics","id":"ITEM-2","issued":{"date-parts":[["2017"]]},"page":"1-12","publisher":"Routledge","title":"What kind of expertise is needed for low energy construction ?","type":"article-journal","volume":"6193"},"uris":["http://www.mendeley.com/documents/?uuid=f475375b-bb73-4294-8c76-7b9545d35564"]}],"mendeley":{"formattedCitation":"(Chan and Dainty, 2007; Clarke, Gleeson and Winch, 2017)","plainTextFormattedCitation":"(Chan and Dainty, 2007; Clarke, Gleeson and Winch, 2017)","previouslyFormattedCitation":"(Chan and Dainty, 2007; Clarke, Gleeson and Winch, 2017)"},"properties":{"noteIndex":0},"schema":"https://github.com/citation-style-language/schema/raw/master/csl-citation.json"}</w:instrText>
      </w:r>
      <w:r w:rsidR="00155073">
        <w:rPr>
          <w:lang w:val="en-GB"/>
        </w:rPr>
        <w:fldChar w:fldCharType="separate"/>
      </w:r>
      <w:r w:rsidR="00155073" w:rsidRPr="00155073">
        <w:rPr>
          <w:noProof/>
          <w:lang w:val="en-GB"/>
        </w:rPr>
        <w:t>(Chan and Dainty, 2007; Clarke, Gleeson and Winch, 2017)</w:t>
      </w:r>
      <w:r w:rsidR="00155073">
        <w:rPr>
          <w:lang w:val="en-GB"/>
        </w:rPr>
        <w:fldChar w:fldCharType="end"/>
      </w:r>
      <w:r w:rsidR="00316EF8">
        <w:rPr>
          <w:lang w:val="en-GB"/>
        </w:rPr>
        <w:t xml:space="preserve">. </w:t>
      </w:r>
      <w:r w:rsidR="00074249" w:rsidRPr="00074249">
        <w:rPr>
          <w:lang w:val="en-GB"/>
        </w:rPr>
        <w:t xml:space="preserve">This emphasis on LLL </w:t>
      </w:r>
      <w:r w:rsidR="00316EF8">
        <w:rPr>
          <w:lang w:val="en-GB"/>
        </w:rPr>
        <w:t xml:space="preserve">also </w:t>
      </w:r>
      <w:r w:rsidR="00074249" w:rsidRPr="00074249">
        <w:rPr>
          <w:lang w:val="en-GB"/>
        </w:rPr>
        <w:t xml:space="preserve">places new expectations on universities. Universities are increasingly expected to </w:t>
      </w:r>
      <w:r w:rsidR="00316EF8">
        <w:rPr>
          <w:lang w:val="en-GB"/>
        </w:rPr>
        <w:t xml:space="preserve">be </w:t>
      </w:r>
      <w:r w:rsidR="00316EF8" w:rsidRPr="00074249">
        <w:rPr>
          <w:lang w:val="en-GB"/>
        </w:rPr>
        <w:t>active contributors to continuous learning in professional contexts</w:t>
      </w:r>
      <w:r w:rsidR="00074249" w:rsidRPr="00074249">
        <w:rPr>
          <w:lang w:val="en-GB"/>
        </w:rPr>
        <w:t>, linking knowledge to action and allowing it to evolve alongside decision-making and implementation</w:t>
      </w:r>
      <w:r w:rsidR="00D76BAE">
        <w:rPr>
          <w:lang w:val="en-GB"/>
        </w:rPr>
        <w:t xml:space="preserve"> </w:t>
      </w:r>
      <w:r w:rsidR="00D76BAE">
        <w:rPr>
          <w:lang w:val="en-GB"/>
        </w:rPr>
        <w:fldChar w:fldCharType="begin" w:fldLock="1"/>
      </w:r>
      <w:r w:rsidR="00D76BAE">
        <w:rPr>
          <w:lang w:val="en-GB"/>
        </w:rPr>
        <w:instrText>ADDIN CSL_CITATION {"citationItems":[{"id":"ITEM-1","itemData":{"DOI":"10.1146/annurev.energy.31.102405.170850","author":[{"dropping-particle":"","family":"Kerkhoff","given":"L.","non-dropping-particle":"Van","parse-names":false,"suffix":""},{"dropping-particle":"","family":"Lebel","given":"L.","non-dropping-particle":"","parse-names":false,"suffix":""}],"container-title":"Annual Review of Environment and Resources","id":"ITEM-1","issued":{"date-parts":[["2006"]]},"page":"455-477","title":"Linking Knowledge and Action for Sustainable Development","type":"article-journal","volume":"31"},"uris":["http://www.mendeley.com/documents/?uuid=ca6db509-541e-46ec-a3dc-d00ca345a6b1"]}],"mendeley":{"formattedCitation":"(Van Kerkhoff and Lebel, 2006)","plainTextFormattedCitation":"(Van Kerkhoff and Lebel, 2006)","previouslyFormattedCitation":"(Van Kerkhoff and Lebel, 2006)"},"properties":{"noteIndex":0},"schema":"https://github.com/citation-style-language/schema/raw/master/csl-citation.json"}</w:instrText>
      </w:r>
      <w:r w:rsidR="00D76BAE">
        <w:rPr>
          <w:lang w:val="en-GB"/>
        </w:rPr>
        <w:fldChar w:fldCharType="separate"/>
      </w:r>
      <w:r w:rsidR="00D76BAE" w:rsidRPr="00D76BAE">
        <w:rPr>
          <w:noProof/>
          <w:lang w:val="en-GB"/>
        </w:rPr>
        <w:t>(Van Kerkhoff and Lebel, 2006)</w:t>
      </w:r>
      <w:r w:rsidR="00D76BAE">
        <w:rPr>
          <w:lang w:val="en-GB"/>
        </w:rPr>
        <w:fldChar w:fldCharType="end"/>
      </w:r>
      <w:r w:rsidR="00D76BAE">
        <w:rPr>
          <w:lang w:val="en-GB"/>
        </w:rPr>
        <w:t xml:space="preserve">. </w:t>
      </w:r>
      <w:r w:rsidR="00074249" w:rsidRPr="00074249">
        <w:rPr>
          <w:lang w:val="en-GB"/>
        </w:rPr>
        <w:t xml:space="preserve">This emerging role is often described as the transition toward </w:t>
      </w:r>
      <w:r w:rsidR="00AB3DFD">
        <w:rPr>
          <w:lang w:val="en-GB"/>
        </w:rPr>
        <w:t>‘</w:t>
      </w:r>
      <w:r w:rsidR="00074249" w:rsidRPr="00074249">
        <w:rPr>
          <w:lang w:val="en-GB"/>
        </w:rPr>
        <w:t>fourth</w:t>
      </w:r>
      <w:r w:rsidR="00074249" w:rsidRPr="00074249">
        <w:rPr>
          <w:rFonts w:ascii="Cambria Math" w:hAnsi="Cambria Math" w:cs="Cambria Math"/>
          <w:lang w:val="en-GB"/>
        </w:rPr>
        <w:t>‑</w:t>
      </w:r>
      <w:r w:rsidR="00074249" w:rsidRPr="00074249">
        <w:rPr>
          <w:lang w:val="en-GB"/>
        </w:rPr>
        <w:t>generation</w:t>
      </w:r>
      <w:r w:rsidR="00AB3DFD">
        <w:rPr>
          <w:rFonts w:ascii="Aptos" w:hAnsi="Aptos" w:cs="Aptos"/>
          <w:lang w:val="en-GB"/>
        </w:rPr>
        <w:t>’</w:t>
      </w:r>
      <w:r w:rsidR="00074249" w:rsidRPr="00074249">
        <w:rPr>
          <w:lang w:val="en-GB"/>
        </w:rPr>
        <w:t xml:space="preserve"> universities, characterized by collaboration, societal impact, and sustained engagement with practice</w:t>
      </w:r>
      <w:r w:rsidR="004B361D">
        <w:rPr>
          <w:lang w:val="en-GB"/>
        </w:rPr>
        <w:t xml:space="preserve"> </w:t>
      </w:r>
      <w:r w:rsidR="00957A43">
        <w:rPr>
          <w:lang w:val="en-GB"/>
        </w:rPr>
        <w:fldChar w:fldCharType="begin" w:fldLock="1"/>
      </w:r>
      <w:r w:rsidR="0016215F">
        <w:rPr>
          <w:lang w:val="en-GB"/>
        </w:rPr>
        <w:instrText>ADDIN CSL_CITATION {"citationItems":[{"id":"ITEM-1","itemData":{"DOI":"10.14665/1614-4007-22-2-003","author":[{"dropping-particle":"","family":"Lukovics","given":"Miklós","non-dropping-particle":"","parse-names":false,"suffix":""},{"dropping-particle":"","family":"Zuti","given":"Bence","non-dropping-particle":"","parse-names":false,"suffix":""}],"container-title":"Journal Transition Studies Review","id":"ITEM-1","issue":"2","issued":{"date-parts":[["2015"]]},"page":"33-48","title":"New Functions of Universities in Century XXI Towards “ Fourth Generation ” Universities","type":"article-journal","volume":"22"},"uris":["http://www.mendeley.com/documents/?uuid=66c9da19-c64a-4e44-8423-dd69cd1ff28b"]},{"id":"ITEM-2","itemData":{"DOI":"10.1080/03797720902747017","author":[{"dropping-particle":"","family":"Pawłowski","given":"Krzysztof","non-dropping-particle":"","parse-names":false,"suffix":""}],"container-title":"Higher Education in Europe","id":"ITEM-2","issue":"1","issued":{"date-parts":[["2009"]]},"page":"51-64","title":"The ‘Fourth Generation University’ as a Creator of the Local and Regional Development","type":"article-journal","volume":"34"},"uris":["http://www.mendeley.com/documents/?uuid=d6cb4eba-6699-4e20-9968-4b528af463e1"]}],"mendeley":{"formattedCitation":"(Pawłowski, 2009; Lukovics and Zuti, 2015)","plainTextFormattedCitation":"(Pawłowski, 2009; Lukovics and Zuti, 2015)","previouslyFormattedCitation":"(Pawłowski, 2009; Lukovics and Zuti, 2015)"},"properties":{"noteIndex":0},"schema":"https://github.com/citation-style-language/schema/raw/master/csl-citation.json"}</w:instrText>
      </w:r>
      <w:r w:rsidR="00957A43">
        <w:rPr>
          <w:lang w:val="en-GB"/>
        </w:rPr>
        <w:fldChar w:fldCharType="separate"/>
      </w:r>
      <w:r w:rsidR="00957A43" w:rsidRPr="00957A43">
        <w:rPr>
          <w:noProof/>
          <w:lang w:val="en-GB"/>
        </w:rPr>
        <w:t>(Pawłowski, 2009; Lukovics and Zuti, 2015)</w:t>
      </w:r>
      <w:r w:rsidR="00957A43">
        <w:rPr>
          <w:lang w:val="en-GB"/>
        </w:rPr>
        <w:fldChar w:fldCharType="end"/>
      </w:r>
      <w:r w:rsidR="004B361D">
        <w:rPr>
          <w:lang w:val="en-GB"/>
        </w:rPr>
        <w:t xml:space="preserve">. </w:t>
      </w:r>
    </w:p>
    <w:p w14:paraId="137EADB8" w14:textId="58C94EB4" w:rsidR="00AD6D1E" w:rsidRDefault="00316EF8" w:rsidP="001B1FAF">
      <w:pPr>
        <w:jc w:val="both"/>
        <w:rPr>
          <w:lang w:val="en-GB"/>
        </w:rPr>
      </w:pPr>
      <w:r>
        <w:rPr>
          <w:lang w:val="en-GB"/>
        </w:rPr>
        <w:lastRenderedPageBreak/>
        <w:t xml:space="preserve">Engaging in this new role also asks </w:t>
      </w:r>
      <w:r w:rsidR="00F752D4" w:rsidRPr="00F752D4">
        <w:rPr>
          <w:lang w:val="en-GB"/>
        </w:rPr>
        <w:t>academics to move beyond static expert identities and operate across institutional and professional boundaries. The literature highlights the importance of boundary spanners in such contexts, emphasizing activities such as translation, coordination, and mediation between different knowledge domains</w:t>
      </w:r>
      <w:r w:rsidR="00D76BAE">
        <w:rPr>
          <w:lang w:val="en-GB"/>
        </w:rPr>
        <w:t xml:space="preserve"> </w:t>
      </w:r>
      <w:r w:rsidR="00D76BAE">
        <w:rPr>
          <w:lang w:val="en-GB"/>
        </w:rPr>
        <w:fldChar w:fldCharType="begin" w:fldLock="1"/>
      </w:r>
      <w:r w:rsidR="002D5E54">
        <w:rPr>
          <w:lang w:val="en-GB"/>
        </w:rPr>
        <w:instrText>ADDIN CSL_CITATION {"citationItems":[{"id":"ITEM-1","itemData":{"DOI":"10.1002/fee.1731","author":[{"dropping-particle":"","family":"Safford","given":"Hugh D","non-dropping-particle":"","parse-names":false,"suffix":""},{"dropping-particle":"","family":"Sawyer","given":"Sarah C","non-dropping-particle":"","parse-names":false,"suffix":""},{"dropping-particle":"","family":"Kocher","given":"Susan D","non-dropping-particle":"","parse-names":false,"suffix":""},{"dropping-particle":"","family":"Hiers","given":"J Kevin","non-dropping-particle":"","parse-names":false,"suffix":""},{"dropping-particle":"","family":"Cross","given":"Molly","non-dropping-particle":"","parse-names":false,"suffix":""}],"container-title":"Frontiers in Ecology and the Environment","id":"ITEM-1","issued":{"date-parts":[["2017"]]},"page":"560-568","title":"Linking knowledge to action : the role of boundary spanners in translating ecology","type":"article-journal","volume":"15"},"uris":["http://www.mendeley.com/documents/?uuid=6696e693-bf42-4474-9f27-d459348273b2"]},{"id":"ITEM-2","itemData":{"DOI":"10.1111/1467-9299.00296","author":[{"dropping-particle":"","family":"Williams","given":"Paul","non-dropping-particle":"","parse-names":false,"suffix":""}],"container-title":"Public Administration","id":"ITEM-2","issue":"1","issued":{"date-parts":[["2002"]]},"page":"103-124","title":"The Competent Boundary Spanner","type":"article-journal","volume":"80"},"uris":["http://www.mendeley.com/documents/?uuid=136dcd59-8faf-4a27-8079-2249d81eef45"]}],"mendeley":{"formattedCitation":"(Williams, 2002; Safford &lt;i&gt;et al.&lt;/i&gt;, 2017)","plainTextFormattedCitation":"(Williams, 2002; Safford et al., 2017)","previouslyFormattedCitation":"(Williams, 2002; Safford &lt;i&gt;et al.&lt;/i&gt;, 2017)"},"properties":{"noteIndex":0},"schema":"https://github.com/citation-style-language/schema/raw/master/csl-citation.json"}</w:instrText>
      </w:r>
      <w:r w:rsidR="00D76BAE">
        <w:rPr>
          <w:lang w:val="en-GB"/>
        </w:rPr>
        <w:fldChar w:fldCharType="separate"/>
      </w:r>
      <w:r w:rsidR="00DA253C" w:rsidRPr="00DA253C">
        <w:rPr>
          <w:noProof/>
          <w:lang w:val="en-GB"/>
        </w:rPr>
        <w:t xml:space="preserve">(Williams, 2002; Safford </w:t>
      </w:r>
      <w:r w:rsidR="00DA253C" w:rsidRPr="00DA253C">
        <w:rPr>
          <w:i/>
          <w:noProof/>
          <w:lang w:val="en-GB"/>
        </w:rPr>
        <w:t>et al.</w:t>
      </w:r>
      <w:r w:rsidR="00DA253C" w:rsidRPr="00DA253C">
        <w:rPr>
          <w:noProof/>
          <w:lang w:val="en-GB"/>
        </w:rPr>
        <w:t>, 2017)</w:t>
      </w:r>
      <w:r w:rsidR="00D76BAE">
        <w:rPr>
          <w:lang w:val="en-GB"/>
        </w:rPr>
        <w:fldChar w:fldCharType="end"/>
      </w:r>
      <w:r w:rsidR="001B1FAF" w:rsidRPr="001B1FAF">
        <w:rPr>
          <w:lang w:val="en-GB"/>
        </w:rPr>
        <w:t xml:space="preserve">. </w:t>
      </w:r>
      <w:r w:rsidR="00074249" w:rsidRPr="00074249">
        <w:rPr>
          <w:lang w:val="en-GB"/>
        </w:rPr>
        <w:t>While prior research has identified a range of roles and competencies associated with boundary spann</w:t>
      </w:r>
      <w:r>
        <w:rPr>
          <w:lang w:val="en-GB"/>
        </w:rPr>
        <w:t>ers</w:t>
      </w:r>
      <w:r w:rsidR="002D5E54">
        <w:rPr>
          <w:lang w:val="en-GB"/>
        </w:rPr>
        <w:t xml:space="preserve"> </w:t>
      </w:r>
      <w:r w:rsidR="002D5E54">
        <w:rPr>
          <w:lang w:val="en-GB"/>
        </w:rPr>
        <w:fldChar w:fldCharType="begin" w:fldLock="1"/>
      </w:r>
      <w:r w:rsidR="002D5E54">
        <w:rPr>
          <w:lang w:val="en-GB"/>
        </w:rPr>
        <w:instrText>ADDIN CSL_CITATION {"citationItems":[{"id":"ITEM-1","itemData":{"DOI":"10.1080/00221546.2010.11779075","author":[{"dropping-particle":"","family":"Weerts","given":"David J","non-dropping-particle":"","parse-names":false,"suffix":""},{"dropping-particle":"","family":"Sandmann","given":"Lorilee R","non-dropping-particle":"","parse-names":false,"suffix":""}],"container-title":"Journal of Higher Education","id":"ITEM-1","issue":"6","issued":{"date-parts":[["2010"]]},"page":"632-657","title":"Community Engagement and Boundary-Spanning Roles at Research Universities","type":"article-journal","volume":"81"},"uris":["http://www.mendeley.com/documents/?uuid=9bab335a-6db9-4879-8653-21dbc8a3cda3"]}],"mendeley":{"formattedCitation":"(Weerts and Sandmann, 2010)","plainTextFormattedCitation":"(Weerts and Sandmann, 2010)","previouslyFormattedCitation":"(Weerts and Sandmann, 2010)"},"properties":{"noteIndex":0},"schema":"https://github.com/citation-style-language/schema/raw/master/csl-citation.json"}</w:instrText>
      </w:r>
      <w:r w:rsidR="002D5E54">
        <w:rPr>
          <w:lang w:val="en-GB"/>
        </w:rPr>
        <w:fldChar w:fldCharType="separate"/>
      </w:r>
      <w:r w:rsidR="002D5E54" w:rsidRPr="002D5E54">
        <w:rPr>
          <w:noProof/>
          <w:lang w:val="en-GB"/>
        </w:rPr>
        <w:t>(Weerts and Sandmann, 2010)</w:t>
      </w:r>
      <w:r w:rsidR="002D5E54">
        <w:rPr>
          <w:lang w:val="en-GB"/>
        </w:rPr>
        <w:fldChar w:fldCharType="end"/>
      </w:r>
      <w:r w:rsidR="00CA3AF1">
        <w:rPr>
          <w:lang w:val="en-GB"/>
        </w:rPr>
        <w:t xml:space="preserve">, </w:t>
      </w:r>
      <w:r w:rsidR="00831164">
        <w:rPr>
          <w:lang w:val="en-GB"/>
        </w:rPr>
        <w:t xml:space="preserve">more </w:t>
      </w:r>
      <w:r w:rsidR="00CA3AF1">
        <w:rPr>
          <w:lang w:val="en-GB"/>
        </w:rPr>
        <w:t>recent work</w:t>
      </w:r>
      <w:r w:rsidR="002D5E54">
        <w:rPr>
          <w:lang w:val="en-GB"/>
        </w:rPr>
        <w:t xml:space="preserve"> points out that boundary spanning roles are often treated as relatively stable or static positions </w:t>
      </w:r>
      <w:r w:rsidR="002D5E54">
        <w:rPr>
          <w:lang w:val="en-GB"/>
        </w:rPr>
        <w:fldChar w:fldCharType="begin" w:fldLock="1"/>
      </w:r>
      <w:r w:rsidR="002D5E54">
        <w:rPr>
          <w:lang w:val="en-GB"/>
        </w:rPr>
        <w:instrText>ADDIN CSL_CITATION {"citationItems":[{"id":"ITEM-1","itemData":{"DOI":"10.1108/JKM-01-2017-0033","author":[{"dropping-particle":"","family":"Keszey","given":"Tamara","non-dropping-particle":"","parse-names":false,"suffix":""}],"container-title":"Journal of Knowledge Management","id":"ITEM-1","issue":"5","issued":{"date-parts":[["2018"]]},"page":"1061-1081","title":"Boundary spanners ’ knowledge sharing for innovation success in turbulent times","type":"article-journal","volume":"22"},"uris":["http://www.mendeley.com/documents/?uuid=4d98213c-9cb5-4dcf-b375-156994d6849e"]},{"id":"ITEM-2","itemData":{"author":[{"dropping-particle":"","family":"Sloot","given":"Ruth N.F.","non-dropping-particle":"","parse-names":false,"suffix":""},{"dropping-particle":"","family":"Volker","given":"Leentje","non-dropping-particle":"","parse-names":false,"suffix":""}],"container-title":"41st Annual ARCOM Conference 2025","id":"ITEM-2","issued":{"date-parts":[["2025"]]},"publisher-place":"Dundee, United Kingdom","title":"Dissemination to Co-production: An Autoethnography of Boundary Spanning in Knowledge Ecosystems","type":"paper-conference"},"uris":["http://www.mendeley.com/documents/?uuid=c61a54f0-8bb6-475a-858e-9f212e9afd8a"]}],"mendeley":{"formattedCitation":"(Keszey, 2018; Sloot and Volker, 2025)","plainTextFormattedCitation":"(Keszey, 2018; Sloot and Volker, 2025)","previouslyFormattedCitation":"(Keszey, 2018; Sloot and Volker, 2025)"},"properties":{"noteIndex":0},"schema":"https://github.com/citation-style-language/schema/raw/master/csl-citation.json"}</w:instrText>
      </w:r>
      <w:r w:rsidR="002D5E54">
        <w:rPr>
          <w:lang w:val="en-GB"/>
        </w:rPr>
        <w:fldChar w:fldCharType="separate"/>
      </w:r>
      <w:r w:rsidR="002D5E54" w:rsidRPr="00DA253C">
        <w:rPr>
          <w:noProof/>
          <w:lang w:val="en-GB"/>
        </w:rPr>
        <w:t>(Keszey, 2018; Sloot and Volker, 2025)</w:t>
      </w:r>
      <w:r w:rsidR="002D5E54">
        <w:rPr>
          <w:lang w:val="en-GB"/>
        </w:rPr>
        <w:fldChar w:fldCharType="end"/>
      </w:r>
      <w:r w:rsidR="002D5E54">
        <w:rPr>
          <w:lang w:val="en-GB"/>
        </w:rPr>
        <w:t xml:space="preserve">. </w:t>
      </w:r>
      <w:r w:rsidR="00831164" w:rsidRPr="00831164">
        <w:rPr>
          <w:lang w:val="en-GB"/>
        </w:rPr>
        <w:t>This creates tension with empirical learning contexts, particularly in settings such as construction, where transitions are ongoing, situations evolve, and expectations shift. As a result, there remains limited understanding of the types of roles and capabilities expected of academics within the fourth-generation university, as well as how they navigate between these roles to facilitate learning and knowledge development.</w:t>
      </w:r>
    </w:p>
    <w:p w14:paraId="7EBED2CF" w14:textId="06F0A0D3" w:rsidR="00AD6D1E" w:rsidRDefault="00F752D4" w:rsidP="001B1FAF">
      <w:pPr>
        <w:jc w:val="both"/>
        <w:rPr>
          <w:lang w:val="en-GB"/>
        </w:rPr>
      </w:pPr>
      <w:r w:rsidRPr="00F752D4">
        <w:rPr>
          <w:lang w:val="en-GB"/>
        </w:rPr>
        <w:t xml:space="preserve">This study addresses this gap by exploring academic engagement in a learning-oriented </w:t>
      </w:r>
      <w:r w:rsidR="00831164">
        <w:rPr>
          <w:lang w:val="en-GB"/>
        </w:rPr>
        <w:t xml:space="preserve">industry-university </w:t>
      </w:r>
      <w:r w:rsidRPr="00F752D4">
        <w:rPr>
          <w:lang w:val="en-GB"/>
        </w:rPr>
        <w:t>collaboration. Rather than focusing on predefined roles, it examines how roles are navigated over time in response to the dynamics of practice. In doing so, it draws on the notion of role navigation and micro-transitions, which conceptualize roles as something enacted and adjusted continuously rather than occupied as stable positions</w:t>
      </w:r>
      <w:r w:rsidR="007178D5">
        <w:rPr>
          <w:lang w:val="en-GB"/>
        </w:rPr>
        <w:t xml:space="preserve"> </w:t>
      </w:r>
      <w:r w:rsidR="007178D5">
        <w:rPr>
          <w:lang w:val="en-GB"/>
        </w:rPr>
        <w:fldChar w:fldCharType="begin" w:fldLock="1"/>
      </w:r>
      <w:r w:rsidR="007178D5">
        <w:rPr>
          <w:lang w:val="en-GB"/>
        </w:rPr>
        <w:instrText>ADDIN CSL_CITATION {"citationItems":[{"id":"ITEM-1","itemData":{"author":[{"dropping-particle":"","family":"Ashforth","given":"B. E.","non-dropping-particle":"","parse-names":false,"suffix":""},{"dropping-particle":"","family":"Kreiner","given":"G. E.","non-dropping-particle":"","parse-names":false,"suffix":""},{"dropping-particle":"","family":"Fugate","given":"G.","non-dropping-particle":"","parse-names":false,"suffix":""}],"container-title":"Academy of Management Review","id":"ITEM-1","issue":"3","issued":{"date-parts":[["2000"]]},"page":"472-491","title":"All in a Day ' s Work : Boundaries and Micro Role Transitions Author","type":"article-journal","volume":"25"},"uris":["http://www.mendeley.com/documents/?uuid=e1a54708-cdc1-4896-9803-bfcb68e02000"]}],"mendeley":{"formattedCitation":"(Ashforth, Kreiner and Fugate, 2000)","plainTextFormattedCitation":"(Ashforth, Kreiner and Fugate, 2000)","previouslyFormattedCitation":"(Ashforth, Kreiner and Fugate, 2000)"},"properties":{"noteIndex":0},"schema":"https://github.com/citation-style-language/schema/raw/master/csl-citation.json"}</w:instrText>
      </w:r>
      <w:r w:rsidR="007178D5">
        <w:rPr>
          <w:lang w:val="en-GB"/>
        </w:rPr>
        <w:fldChar w:fldCharType="separate"/>
      </w:r>
      <w:r w:rsidR="007178D5" w:rsidRPr="00D76BAE">
        <w:rPr>
          <w:noProof/>
          <w:lang w:val="en-GB"/>
        </w:rPr>
        <w:t>(Ashforth, Kreiner and Fugate, 2000)</w:t>
      </w:r>
      <w:r w:rsidR="007178D5">
        <w:rPr>
          <w:lang w:val="en-GB"/>
        </w:rPr>
        <w:fldChar w:fldCharType="end"/>
      </w:r>
      <w:r w:rsidR="007178D5">
        <w:rPr>
          <w:lang w:val="en-GB"/>
        </w:rPr>
        <w:t>.</w:t>
      </w:r>
      <w:r w:rsidR="00AD6D1E">
        <w:rPr>
          <w:lang w:val="en-GB"/>
        </w:rPr>
        <w:t xml:space="preserve"> </w:t>
      </w:r>
      <w:r w:rsidR="00AD6D1E" w:rsidRPr="00AD6D1E">
        <w:rPr>
          <w:lang w:val="en-GB"/>
        </w:rPr>
        <w:t>Building on boundary-spanning literature, the study is particularly attentive to how such role shifts relate to boundary-spanning functions</w:t>
      </w:r>
      <w:r w:rsidR="00AD6D1E">
        <w:rPr>
          <w:lang w:val="en-GB"/>
        </w:rPr>
        <w:t>, including</w:t>
      </w:r>
      <w:r w:rsidR="00AD6D1E" w:rsidRPr="00AD6D1E">
        <w:rPr>
          <w:lang w:val="en-GB"/>
        </w:rPr>
        <w:t xml:space="preserve"> communication, translation, and mediation</w:t>
      </w:r>
      <w:r w:rsidR="00AD6D1E">
        <w:rPr>
          <w:lang w:val="en-GB"/>
        </w:rPr>
        <w:t xml:space="preserve"> </w:t>
      </w:r>
      <w:r w:rsidR="00AD6D1E">
        <w:rPr>
          <w:lang w:val="en-GB"/>
        </w:rPr>
        <w:fldChar w:fldCharType="begin" w:fldLock="1"/>
      </w:r>
      <w:r w:rsidR="00AD6D1E">
        <w:rPr>
          <w:lang w:val="en-GB"/>
        </w:rPr>
        <w:instrText>ADDIN CSL_CITATION {"citationItems":[{"id":"ITEM-1","itemData":{"DOI":"10.1002/fee.1731","author":[{"dropping-particle":"","family":"Safford","given":"Hugh D","non-dropping-particle":"","parse-names":false,"suffix":""},{"dropping-particle":"","family":"Sawyer","given":"Sarah C","non-dropping-particle":"","parse-names":false,"suffix":""},{"dropping-particle":"","family":"Kocher","given":"Susan D","non-dropping-particle":"","parse-names":false,"suffix":""},{"dropping-particle":"","family":"Hiers","given":"J Kevin","non-dropping-particle":"","parse-names":false,"suffix":""},{"dropping-particle":"","family":"Cross","given":"Molly","non-dropping-particle":"","parse-names":false,"suffix":""}],"container-title":"Frontiers in Ecology and the Environment","id":"ITEM-1","issued":{"date-parts":[["2017"]]},"page":"560-568","title":"Linking knowledge to action : the role of boundary spanners in translating ecology","type":"article-journal","volume":"15"},"uris":["http://www.mendeley.com/documents/?uuid=6696e693-bf42-4474-9f27-d459348273b2"]}],"mendeley":{"formattedCitation":"(Safford &lt;i&gt;et al.&lt;/i&gt;, 2017)","plainTextFormattedCitation":"(Safford et al., 2017)","previouslyFormattedCitation":"(Safford &lt;i&gt;et al.&lt;/i&gt;, 2017)"},"properties":{"noteIndex":0},"schema":"https://github.com/citation-style-language/schema/raw/master/csl-citation.json"}</w:instrText>
      </w:r>
      <w:r w:rsidR="00AD6D1E">
        <w:rPr>
          <w:lang w:val="en-GB"/>
        </w:rPr>
        <w:fldChar w:fldCharType="separate"/>
      </w:r>
      <w:r w:rsidR="00AD6D1E" w:rsidRPr="00AD6D1E">
        <w:rPr>
          <w:noProof/>
          <w:lang w:val="en-GB"/>
        </w:rPr>
        <w:t xml:space="preserve">(Safford </w:t>
      </w:r>
      <w:r w:rsidR="00AD6D1E" w:rsidRPr="00AD6D1E">
        <w:rPr>
          <w:i/>
          <w:noProof/>
          <w:lang w:val="en-GB"/>
        </w:rPr>
        <w:t>et al.</w:t>
      </w:r>
      <w:r w:rsidR="00AD6D1E" w:rsidRPr="00AD6D1E">
        <w:rPr>
          <w:noProof/>
          <w:lang w:val="en-GB"/>
        </w:rPr>
        <w:t>, 2017)</w:t>
      </w:r>
      <w:r w:rsidR="00AD6D1E">
        <w:rPr>
          <w:lang w:val="en-GB"/>
        </w:rPr>
        <w:fldChar w:fldCharType="end"/>
      </w:r>
      <w:r w:rsidR="00AD6D1E">
        <w:rPr>
          <w:lang w:val="en-GB"/>
        </w:rPr>
        <w:t xml:space="preserve">, </w:t>
      </w:r>
      <w:r w:rsidR="00AD6D1E" w:rsidRPr="00AD6D1E">
        <w:rPr>
          <w:lang w:val="en-GB"/>
        </w:rPr>
        <w:t>and the associated processes of knowledge transfer, adaptation, and transformation in practice</w:t>
      </w:r>
      <w:r w:rsidR="00AD6D1E">
        <w:rPr>
          <w:lang w:val="en-GB"/>
        </w:rPr>
        <w:t xml:space="preserve"> </w:t>
      </w:r>
      <w:r w:rsidR="00AD6D1E">
        <w:rPr>
          <w:lang w:val="en-GB"/>
        </w:rPr>
        <w:fldChar w:fldCharType="begin" w:fldLock="1"/>
      </w:r>
      <w:r w:rsidR="002D7C61">
        <w:rPr>
          <w:lang w:val="en-GB"/>
        </w:rPr>
        <w:instrText>ADDIN CSL_CITATION {"citationItems":[{"id":"ITEM-1","itemData":{"DOI":"doi.org/10.1287/orsc.1040.0094","author":[{"dropping-particle":"","family":"Carlile","given":"P. R.","non-dropping-particle":"","parse-names":false,"suffix":""}],"container-title":"Organization Science","id":"ITEM-1","issue":"5","issued":{"date-parts":[["2004"]]},"page":"555-568","title":"Transferring, Translating, and Transforming: An Integrative Framework for Managing Knowledge Across Boundaries","type":"article-journal","volume":"15"},"uris":["http://www.mendeley.com/documents/?uuid=9a890c85-357f-492f-b846-71e534873387"]}],"mendeley":{"formattedCitation":"(Carlile, 2004)","plainTextFormattedCitation":"(Carlile, 2004)","previouslyFormattedCitation":"(Carlile, 2004)"},"properties":{"noteIndex":0},"schema":"https://github.com/citation-style-language/schema/raw/master/csl-citation.json"}</w:instrText>
      </w:r>
      <w:r w:rsidR="00AD6D1E">
        <w:rPr>
          <w:lang w:val="en-GB"/>
        </w:rPr>
        <w:fldChar w:fldCharType="separate"/>
      </w:r>
      <w:r w:rsidR="00AD6D1E" w:rsidRPr="00AD6D1E">
        <w:rPr>
          <w:noProof/>
          <w:lang w:val="en-GB"/>
        </w:rPr>
        <w:t>(Carlile, 2004)</w:t>
      </w:r>
      <w:r w:rsidR="00AD6D1E">
        <w:rPr>
          <w:lang w:val="en-GB"/>
        </w:rPr>
        <w:fldChar w:fldCharType="end"/>
      </w:r>
      <w:r w:rsidR="00AD6D1E" w:rsidRPr="00AD6D1E">
        <w:rPr>
          <w:lang w:val="en-GB"/>
        </w:rPr>
        <w:t>.</w:t>
      </w:r>
    </w:p>
    <w:p w14:paraId="43A5779A" w14:textId="09A7EF48" w:rsidR="00F752D4" w:rsidRDefault="00F752D4" w:rsidP="001B1FAF">
      <w:pPr>
        <w:jc w:val="both"/>
        <w:rPr>
          <w:lang w:val="en-GB"/>
        </w:rPr>
      </w:pPr>
      <w:r>
        <w:rPr>
          <w:b/>
          <w:bCs/>
          <w:lang w:val="en-GB"/>
        </w:rPr>
        <w:t>Research approach</w:t>
      </w:r>
    </w:p>
    <w:p w14:paraId="5CC4286C" w14:textId="762D00D5" w:rsidR="007178D5" w:rsidRPr="00AD6D1E" w:rsidRDefault="00F752D4" w:rsidP="001B1FAF">
      <w:pPr>
        <w:jc w:val="both"/>
        <w:rPr>
          <w:lang w:val="en-GB"/>
        </w:rPr>
      </w:pPr>
      <w:r w:rsidRPr="00F752D4">
        <w:rPr>
          <w:lang w:val="en-GB"/>
        </w:rPr>
        <w:t>The empirical setting is a Learning Community (LC) established between a university and a Dutch utility engineering and construction firm. The LC brought together seven practitioners from the firm, occupying functions ranging from operations managers to engineers to field operators, alongside a facilitator and the author. The author participated in the LC initially as a GPR expert. Over time, however, this</w:t>
      </w:r>
      <w:r w:rsidR="00831164">
        <w:rPr>
          <w:lang w:val="en-GB"/>
        </w:rPr>
        <w:t xml:space="preserve"> role</w:t>
      </w:r>
      <w:r w:rsidRPr="00F752D4">
        <w:rPr>
          <w:lang w:val="en-GB"/>
        </w:rPr>
        <w:t xml:space="preserve"> evolved as the collaboration unfolded. The objective of the LC was to develop, test, and refine a practical decision-support tool (</w:t>
      </w:r>
      <w:r w:rsidR="00831164">
        <w:rPr>
          <w:lang w:val="en-GB"/>
        </w:rPr>
        <w:t xml:space="preserve">i.e., </w:t>
      </w:r>
      <w:r w:rsidRPr="00F752D4">
        <w:rPr>
          <w:lang w:val="en-GB"/>
        </w:rPr>
        <w:t>a decision tree) for the application of Ground Penetrating Radar (GPR) in utility detection. While GPR is a well-established technology, its effective use depends on contextual factors such as site conditions and information needs, making it a suitable focus for joint exploration.</w:t>
      </w:r>
    </w:p>
    <w:p w14:paraId="40975797" w14:textId="470FA0AA" w:rsidR="00F752D4" w:rsidRPr="00F752D4" w:rsidRDefault="00F752D4" w:rsidP="00F752D4">
      <w:pPr>
        <w:jc w:val="both"/>
        <w:rPr>
          <w:lang w:val="en-GB"/>
        </w:rPr>
      </w:pPr>
      <w:r w:rsidRPr="00F752D4">
        <w:rPr>
          <w:lang w:val="en-GB"/>
        </w:rPr>
        <w:t>The study adopts a reflective, practice-based approach, drawing on notes from eight LC sessions, iterative artifacts (including successive versions of the decision tree), observations from a staged field test, and follow-up reflections. Analytically, the study follows an iterative, abductive process. At the time of writing, the analysis remains ongoing and should be interpreted as exploratory.</w:t>
      </w:r>
      <w:r>
        <w:rPr>
          <w:lang w:val="en-GB"/>
        </w:rPr>
        <w:t xml:space="preserve"> </w:t>
      </w:r>
      <w:r w:rsidRPr="00F752D4">
        <w:rPr>
          <w:lang w:val="en-GB"/>
        </w:rPr>
        <w:t>Five episodes have retrospectively been identified as particularly illustrative of how academic role navigation unfolded. These episodes articulate moments in which tensions surfaced, and role expectations placed on the author shifted. The</w:t>
      </w:r>
      <w:r w:rsidR="00831164">
        <w:rPr>
          <w:lang w:val="en-GB"/>
        </w:rPr>
        <w:t>se episodes detail</w:t>
      </w:r>
      <w:r w:rsidRPr="00F752D4">
        <w:rPr>
          <w:lang w:val="en-GB"/>
        </w:rPr>
        <w:t xml:space="preserve"> early discussions on problem framing, interactions </w:t>
      </w:r>
      <w:proofErr w:type="spellStart"/>
      <w:r w:rsidR="00831164">
        <w:rPr>
          <w:lang w:val="en-GB"/>
        </w:rPr>
        <w:t>centered</w:t>
      </w:r>
      <w:proofErr w:type="spellEnd"/>
      <w:r w:rsidRPr="00F752D4">
        <w:rPr>
          <w:lang w:val="en-GB"/>
        </w:rPr>
        <w:t xml:space="preserve"> on technical validation, challenges in defining scope, the organization of a field test, and a later phase marked by decreasing engagement under production pressure.</w:t>
      </w:r>
    </w:p>
    <w:p w14:paraId="333A489A" w14:textId="40555D24" w:rsidR="001B1FAF" w:rsidRPr="001B1FAF" w:rsidRDefault="00F752D4" w:rsidP="00F752D4">
      <w:pPr>
        <w:jc w:val="both"/>
        <w:rPr>
          <w:lang w:val="en-GB"/>
        </w:rPr>
      </w:pPr>
      <w:r w:rsidRPr="00F752D4">
        <w:rPr>
          <w:lang w:val="en-GB"/>
        </w:rPr>
        <w:t xml:space="preserve">Each episode was first reconstructed descriptively and subsequently examined along four analytical dimensions of role navigation: the foregrounding or backgrounding of expertise, task orientation (delivery versus learning), institutional focus (academic versus practitioner logics), and role integration (separation versus blending). Particular attention was paid to </w:t>
      </w:r>
      <w:r w:rsidR="00831164">
        <w:rPr>
          <w:lang w:val="en-GB"/>
        </w:rPr>
        <w:t xml:space="preserve">the tensions </w:t>
      </w:r>
      <w:r w:rsidR="00831164">
        <w:rPr>
          <w:lang w:val="en-GB"/>
        </w:rPr>
        <w:lastRenderedPageBreak/>
        <w:t>that trigger</w:t>
      </w:r>
      <w:r w:rsidRPr="00F752D4">
        <w:rPr>
          <w:lang w:val="en-GB"/>
        </w:rPr>
        <w:t xml:space="preserve"> movement across these dimensions. Observed shifts in engagement were then interpreted in relation to </w:t>
      </w:r>
      <w:r w:rsidR="00831164">
        <w:rPr>
          <w:lang w:val="en-GB"/>
        </w:rPr>
        <w:t xml:space="preserve">the </w:t>
      </w:r>
      <w:r w:rsidRPr="00F752D4">
        <w:rPr>
          <w:lang w:val="en-GB"/>
        </w:rPr>
        <w:t>boundary-spanning functions</w:t>
      </w:r>
      <w:r w:rsidR="00831164">
        <w:rPr>
          <w:lang w:val="en-GB"/>
        </w:rPr>
        <w:t xml:space="preserve"> of</w:t>
      </w:r>
      <w:r>
        <w:rPr>
          <w:lang w:val="en-GB"/>
        </w:rPr>
        <w:t xml:space="preserve"> </w:t>
      </w:r>
      <w:r w:rsidRPr="00F752D4">
        <w:rPr>
          <w:lang w:val="en-GB"/>
        </w:rPr>
        <w:t>communication, translation, and mediation</w:t>
      </w:r>
      <w:r>
        <w:rPr>
          <w:lang w:val="en-GB"/>
        </w:rPr>
        <w:t xml:space="preserve">, </w:t>
      </w:r>
      <w:r w:rsidRPr="00F752D4">
        <w:rPr>
          <w:lang w:val="en-GB"/>
        </w:rPr>
        <w:t>and the associated knowledge outcomes of transfer, adaptation, or transformation</w:t>
      </w:r>
      <w:r w:rsidR="00AD6D1E" w:rsidRPr="00AD6D1E">
        <w:rPr>
          <w:lang w:val="en-GB"/>
        </w:rPr>
        <w:t>.</w:t>
      </w:r>
    </w:p>
    <w:p w14:paraId="28BB2A16" w14:textId="19F4D091" w:rsidR="00F752D4" w:rsidRDefault="00F752D4" w:rsidP="00AD6D1E">
      <w:pPr>
        <w:jc w:val="both"/>
        <w:rPr>
          <w:lang w:val="en-GB"/>
        </w:rPr>
      </w:pPr>
      <w:r>
        <w:rPr>
          <w:b/>
          <w:bCs/>
          <w:lang w:val="en-GB"/>
        </w:rPr>
        <w:t>Preliminary findings</w:t>
      </w:r>
    </w:p>
    <w:p w14:paraId="7DD7F297" w14:textId="6414163D" w:rsidR="00F752D4" w:rsidRPr="00F752D4" w:rsidRDefault="00F752D4" w:rsidP="00F752D4">
      <w:pPr>
        <w:jc w:val="both"/>
        <w:rPr>
          <w:lang w:val="en-GB"/>
        </w:rPr>
      </w:pPr>
      <w:r w:rsidRPr="00F752D4">
        <w:rPr>
          <w:lang w:val="en-GB"/>
        </w:rPr>
        <w:t>Preliminary findings suggest that academic engagement in the LC can be understood as an ongoing process of role navigation rather than the enactment of stable roles. Across the episodes, shifts in engagement were closely tied to how tensions were handled in practice.</w:t>
      </w:r>
      <w:r>
        <w:rPr>
          <w:lang w:val="en-GB"/>
        </w:rPr>
        <w:t xml:space="preserve"> </w:t>
      </w:r>
      <w:r w:rsidRPr="00F752D4">
        <w:rPr>
          <w:lang w:val="en-GB"/>
        </w:rPr>
        <w:t xml:space="preserve">For example, in early discussions </w:t>
      </w:r>
      <w:r w:rsidR="00831164">
        <w:rPr>
          <w:lang w:val="en-GB"/>
        </w:rPr>
        <w:t>about the decision tree's structure</w:t>
      </w:r>
      <w:r w:rsidRPr="00F752D4">
        <w:rPr>
          <w:lang w:val="en-GB"/>
        </w:rPr>
        <w:t>, a tension emerged between methodological rigor and immediate usability. Practitioners emphasized applicabilit</w:t>
      </w:r>
      <w:r w:rsidR="00831164">
        <w:rPr>
          <w:lang w:val="en-GB"/>
        </w:rPr>
        <w:t>y, noting</w:t>
      </w:r>
      <w:r w:rsidR="002D7C61">
        <w:rPr>
          <w:lang w:val="en-GB"/>
        </w:rPr>
        <w:t xml:space="preserve"> </w:t>
      </w:r>
      <w:r w:rsidRPr="00F752D4">
        <w:rPr>
          <w:lang w:val="en-GB"/>
        </w:rPr>
        <w:t>“our crews need something they can use tomorrow</w:t>
      </w:r>
      <w:r w:rsidR="002D7C61">
        <w:rPr>
          <w:lang w:val="en-GB"/>
        </w:rPr>
        <w:t>,</w:t>
      </w:r>
      <w:r w:rsidRPr="00F752D4">
        <w:rPr>
          <w:lang w:val="en-GB"/>
        </w:rPr>
        <w:t>”</w:t>
      </w:r>
      <w:r w:rsidR="002D7C61">
        <w:rPr>
          <w:lang w:val="en-GB"/>
        </w:rPr>
        <w:t xml:space="preserve"> </w:t>
      </w:r>
      <w:r w:rsidRPr="00F752D4">
        <w:rPr>
          <w:lang w:val="en-GB"/>
        </w:rPr>
        <w:t xml:space="preserve">while the academic </w:t>
      </w:r>
      <w:r w:rsidR="00831164">
        <w:rPr>
          <w:lang w:val="en-GB"/>
        </w:rPr>
        <w:t>logic</w:t>
      </w:r>
      <w:r w:rsidRPr="00F752D4">
        <w:rPr>
          <w:lang w:val="en-GB"/>
        </w:rPr>
        <w:t xml:space="preserve"> focused on addressing uncertainty. As the discussion stalled, the author stepped back from a primarily expert position and reframed the issue in practice-oriented terms. This shift changed the nature of the interaction, with participants moving from abstract discussions toward concrete site conditions. As a result, the group jointly developed a set of ‘go/no-go’ criteria, reflecting a shift from communication toward translation and partial mediation.</w:t>
      </w:r>
    </w:p>
    <w:p w14:paraId="0C00A60F" w14:textId="1D4375EA" w:rsidR="00F752D4" w:rsidRPr="00F752D4" w:rsidRDefault="00F752D4" w:rsidP="00F752D4">
      <w:pPr>
        <w:jc w:val="both"/>
        <w:rPr>
          <w:lang w:val="en-GB"/>
        </w:rPr>
      </w:pPr>
      <w:r w:rsidRPr="00F752D4">
        <w:rPr>
          <w:lang w:val="en-GB"/>
        </w:rPr>
        <w:t xml:space="preserve">In contrast, in later interactions where technical expertise was more strongly foregrounded, communication became the dominant mode of engagement. For instance, when </w:t>
      </w:r>
      <w:r w:rsidR="00395DFE">
        <w:rPr>
          <w:lang w:val="en-GB"/>
        </w:rPr>
        <w:t>the</w:t>
      </w:r>
      <w:r w:rsidRPr="00F752D4">
        <w:rPr>
          <w:lang w:val="en-GB"/>
        </w:rPr>
        <w:t xml:space="preserve"> team leader presented a spreadsheet of decision factors and asked, “Does this make sense? Is it complete?”, the author </w:t>
      </w:r>
      <w:r w:rsidR="00395DFE">
        <w:rPr>
          <w:lang w:val="en-GB"/>
        </w:rPr>
        <w:t>refined the variables and added</w:t>
      </w:r>
      <w:r w:rsidRPr="00F752D4">
        <w:rPr>
          <w:lang w:val="en-GB"/>
        </w:rPr>
        <w:t xml:space="preserve"> missing elements. These contributions were accepted with little discussion. While this accelerated progress and strengthened the technical robustness of the decision tree, it also limited opportunities for dialogue and collective sense-making.</w:t>
      </w:r>
      <w:r w:rsidR="002D7C61">
        <w:rPr>
          <w:lang w:val="en-GB"/>
        </w:rPr>
        <w:t xml:space="preserve"> </w:t>
      </w:r>
      <w:r w:rsidRPr="00F752D4">
        <w:rPr>
          <w:lang w:val="en-GB"/>
        </w:rPr>
        <w:t xml:space="preserve">Similarly, in early scoping discussions that </w:t>
      </w:r>
      <w:r w:rsidR="002D7C61">
        <w:rPr>
          <w:lang w:val="en-GB"/>
        </w:rPr>
        <w:t>moved</w:t>
      </w:r>
      <w:r w:rsidRPr="00F752D4">
        <w:rPr>
          <w:lang w:val="en-GB"/>
        </w:rPr>
        <w:t xml:space="preserve"> between positions such as “everything is detectable” and more </w:t>
      </w:r>
      <w:proofErr w:type="spellStart"/>
      <w:r w:rsidR="00395DFE">
        <w:rPr>
          <w:lang w:val="en-GB"/>
        </w:rPr>
        <w:t>skeptical</w:t>
      </w:r>
      <w:proofErr w:type="spellEnd"/>
      <w:r w:rsidRPr="00F752D4">
        <w:rPr>
          <w:lang w:val="en-GB"/>
        </w:rPr>
        <w:t xml:space="preserve"> assessments from</w:t>
      </w:r>
      <w:r w:rsidR="00395DFE">
        <w:rPr>
          <w:lang w:val="en-GB"/>
        </w:rPr>
        <w:t xml:space="preserve"> the field</w:t>
      </w:r>
      <w:r w:rsidRPr="00F752D4">
        <w:rPr>
          <w:lang w:val="en-GB"/>
        </w:rPr>
        <w:t xml:space="preserve"> operators, adopting a facilitative stance helped to re-anchor the discussion. By asking participants to relate decisions to “typical situations” or “projects you encounter most,” the interaction slowed down but became more grounded. This supported alignment between perspectives and enabled knowledge adaptation rather than simple transfer.</w:t>
      </w:r>
    </w:p>
    <w:p w14:paraId="0FEF3BC2" w14:textId="470DFEAD" w:rsidR="00F752D4" w:rsidRPr="00F752D4" w:rsidRDefault="00F752D4" w:rsidP="00F752D4">
      <w:pPr>
        <w:jc w:val="both"/>
        <w:rPr>
          <w:lang w:val="en-GB"/>
        </w:rPr>
      </w:pPr>
      <w:r w:rsidRPr="00F752D4">
        <w:rPr>
          <w:lang w:val="en-GB"/>
        </w:rPr>
        <w:t xml:space="preserve">Conversely, moments </w:t>
      </w:r>
      <w:r w:rsidR="00395DFE">
        <w:rPr>
          <w:lang w:val="en-GB"/>
        </w:rPr>
        <w:t>when alignment was weak or external conditions intervened led to</w:t>
      </w:r>
      <w:r w:rsidRPr="00F752D4">
        <w:rPr>
          <w:lang w:val="en-GB"/>
        </w:rPr>
        <w:t xml:space="preserve"> more fragmented engagement. </w:t>
      </w:r>
      <w:r w:rsidR="00395DFE">
        <w:rPr>
          <w:lang w:val="en-GB"/>
        </w:rPr>
        <w:t xml:space="preserve">A </w:t>
      </w:r>
      <w:r w:rsidRPr="00F752D4">
        <w:rPr>
          <w:lang w:val="en-GB"/>
        </w:rPr>
        <w:t>staged field test, for example, was initially intended as a joint learning activity</w:t>
      </w:r>
      <w:r w:rsidR="00395DFE">
        <w:rPr>
          <w:lang w:val="en-GB"/>
        </w:rPr>
        <w:t xml:space="preserve"> but, in practice,</w:t>
      </w:r>
      <w:r w:rsidRPr="00F752D4">
        <w:rPr>
          <w:lang w:val="en-GB"/>
        </w:rPr>
        <w:t xml:space="preserve"> took on a more symbolic character. With limited preparation, unclear objectives, and little shared understanding among participants, interaction remained largely logistical rather than substantive. Similarly, in later stages</w:t>
      </w:r>
      <w:r w:rsidR="00395DFE">
        <w:rPr>
          <w:lang w:val="en-GB"/>
        </w:rPr>
        <w:t xml:space="preserve"> of the LC</w:t>
      </w:r>
      <w:r w:rsidRPr="00F752D4">
        <w:rPr>
          <w:lang w:val="en-GB"/>
        </w:rPr>
        <w:t xml:space="preserve">, increasing production pressure led to </w:t>
      </w:r>
      <w:r w:rsidR="00395DFE">
        <w:rPr>
          <w:lang w:val="en-GB"/>
        </w:rPr>
        <w:t xml:space="preserve">delayed sessions and declining participation, constraining </w:t>
      </w:r>
      <w:r w:rsidRPr="00F752D4">
        <w:rPr>
          <w:lang w:val="en-GB"/>
        </w:rPr>
        <w:t>sustained engagement.</w:t>
      </w:r>
    </w:p>
    <w:p w14:paraId="41DAF21C" w14:textId="0C981978" w:rsidR="002D7C61" w:rsidRDefault="00F752D4" w:rsidP="00F752D4">
      <w:pPr>
        <w:jc w:val="both"/>
        <w:rPr>
          <w:lang w:val="en-GB"/>
        </w:rPr>
      </w:pPr>
      <w:r w:rsidRPr="00F752D4">
        <w:rPr>
          <w:lang w:val="en-GB"/>
        </w:rPr>
        <w:t xml:space="preserve">Across the five episodes, </w:t>
      </w:r>
      <w:r w:rsidR="00395DFE">
        <w:rPr>
          <w:lang w:val="en-GB"/>
        </w:rPr>
        <w:t xml:space="preserve">the ongoing analysis reveals </w:t>
      </w:r>
      <w:r w:rsidRPr="00F752D4">
        <w:rPr>
          <w:lang w:val="en-GB"/>
        </w:rPr>
        <w:t>a consistent pattern: configurations in which expertise is foregrounded tend toward communication and knowledge transfer, whereas more facilitative or integrative positioning enables translation and mediation, supporting knowledge adaptation and, in some cases, partial transformation.</w:t>
      </w:r>
      <w:r>
        <w:rPr>
          <w:lang w:val="en-GB"/>
        </w:rPr>
        <w:t xml:space="preserve"> </w:t>
      </w:r>
      <w:r w:rsidRPr="00F752D4">
        <w:rPr>
          <w:lang w:val="en-GB"/>
        </w:rPr>
        <w:t>This points to role navigation not merely as a descriptive feature of collaboration, but as an underlying mechanism through which different forms of knowledge development are enacted in practice.</w:t>
      </w:r>
    </w:p>
    <w:p w14:paraId="17707FF6" w14:textId="5704643D" w:rsidR="00F752D4" w:rsidRDefault="00F752D4" w:rsidP="00F752D4">
      <w:pPr>
        <w:jc w:val="both"/>
        <w:rPr>
          <w:lang w:val="en-GB"/>
        </w:rPr>
      </w:pPr>
      <w:r>
        <w:rPr>
          <w:b/>
          <w:bCs/>
          <w:lang w:val="en-GB"/>
        </w:rPr>
        <w:t xml:space="preserve">Discussion and </w:t>
      </w:r>
      <w:r w:rsidR="00395DFE">
        <w:rPr>
          <w:b/>
          <w:bCs/>
          <w:lang w:val="en-GB"/>
        </w:rPr>
        <w:t>c</w:t>
      </w:r>
      <w:r>
        <w:rPr>
          <w:b/>
          <w:bCs/>
          <w:lang w:val="en-GB"/>
        </w:rPr>
        <w:t>ontributions</w:t>
      </w:r>
    </w:p>
    <w:p w14:paraId="31E42625" w14:textId="61E4FD18" w:rsidR="00F752D4" w:rsidRPr="00F752D4" w:rsidRDefault="002D7C61" w:rsidP="00F752D4">
      <w:pPr>
        <w:jc w:val="both"/>
        <w:rPr>
          <w:lang w:val="en-GB"/>
        </w:rPr>
      </w:pPr>
      <w:r w:rsidRPr="002D7C61">
        <w:rPr>
          <w:lang w:val="en-GB"/>
        </w:rPr>
        <w:t xml:space="preserve">These observations indicate that learning outcomes in such collaborations do not </w:t>
      </w:r>
      <w:r w:rsidR="00395DFE">
        <w:rPr>
          <w:lang w:val="en-GB"/>
        </w:rPr>
        <w:t xml:space="preserve">automatically follow from expertise or </w:t>
      </w:r>
      <w:r w:rsidRPr="002D7C61">
        <w:rPr>
          <w:lang w:val="en-GB"/>
        </w:rPr>
        <w:t xml:space="preserve">the design of the learning environment alone. Rather, they are closely related to how roles are positioned and repositioned in situ. In this sense, role navigation can be </w:t>
      </w:r>
      <w:r w:rsidRPr="002D7C61">
        <w:rPr>
          <w:lang w:val="en-GB"/>
        </w:rPr>
        <w:lastRenderedPageBreak/>
        <w:t xml:space="preserve">seen as shaping the boundary-spanning functions through which knowledge is developed in practice, complementing existing perspectives that conceptualize boundary spanning in terms of communication, translation, and mediation </w:t>
      </w:r>
      <w:r>
        <w:rPr>
          <w:lang w:val="en-GB"/>
        </w:rPr>
        <w:fldChar w:fldCharType="begin" w:fldLock="1"/>
      </w:r>
      <w:r>
        <w:rPr>
          <w:lang w:val="en-GB"/>
        </w:rPr>
        <w:instrText>ADDIN CSL_CITATION {"citationItems":[{"id":"ITEM-1","itemData":{"DOI":"10.1002/fee.1731","author":[{"dropping-particle":"","family":"Safford","given":"Hugh D","non-dropping-particle":"","parse-names":false,"suffix":""},{"dropping-particle":"","family":"Sawyer","given":"Sarah C","non-dropping-particle":"","parse-names":false,"suffix":""},{"dropping-particle":"","family":"Kocher","given":"Susan D","non-dropping-particle":"","parse-names":false,"suffix":""},{"dropping-particle":"","family":"Hiers","given":"J Kevin","non-dropping-particle":"","parse-names":false,"suffix":""},{"dropping-particle":"","family":"Cross","given":"Molly","non-dropping-particle":"","parse-names":false,"suffix":""}],"container-title":"Frontiers in Ecology and the Environment","id":"ITEM-1","issued":{"date-parts":[["2017"]]},"page":"560-568","title":"Linking knowledge to action : the role of boundary spanners in translating ecology","type":"article-journal","volume":"15"},"uris":["http://www.mendeley.com/documents/?uuid=6696e693-bf42-4474-9f27-d459348273b2"]}],"mendeley":{"formattedCitation":"(Safford &lt;i&gt;et al.&lt;/i&gt;, 2017)","plainTextFormattedCitation":"(Safford et al., 2017)","previouslyFormattedCitation":"(Safford &lt;i&gt;et al.&lt;/i&gt;, 2017)"},"properties":{"noteIndex":0},"schema":"https://github.com/citation-style-language/schema/raw/master/csl-citation.json"}</w:instrText>
      </w:r>
      <w:r>
        <w:rPr>
          <w:lang w:val="en-GB"/>
        </w:rPr>
        <w:fldChar w:fldCharType="separate"/>
      </w:r>
      <w:r w:rsidRPr="002D7C61">
        <w:rPr>
          <w:noProof/>
          <w:lang w:val="en-GB"/>
        </w:rPr>
        <w:t xml:space="preserve">(Safford </w:t>
      </w:r>
      <w:r w:rsidRPr="002D7C61">
        <w:rPr>
          <w:i/>
          <w:noProof/>
          <w:lang w:val="en-GB"/>
        </w:rPr>
        <w:t>et al.</w:t>
      </w:r>
      <w:r w:rsidRPr="002D7C61">
        <w:rPr>
          <w:noProof/>
          <w:lang w:val="en-GB"/>
        </w:rPr>
        <w:t>, 2017)</w:t>
      </w:r>
      <w:r>
        <w:rPr>
          <w:lang w:val="en-GB"/>
        </w:rPr>
        <w:fldChar w:fldCharType="end"/>
      </w:r>
      <w:r w:rsidR="00F752D4" w:rsidRPr="00F752D4">
        <w:rPr>
          <w:lang w:val="en-GB"/>
        </w:rPr>
        <w:t>.</w:t>
      </w:r>
    </w:p>
    <w:p w14:paraId="166D1A1B" w14:textId="457D5460" w:rsidR="002D7C61" w:rsidRDefault="00FC46F9" w:rsidP="00F752D4">
      <w:pPr>
        <w:jc w:val="both"/>
        <w:rPr>
          <w:lang w:val="en-GB"/>
        </w:rPr>
      </w:pPr>
      <w:r w:rsidRPr="00FC46F9">
        <w:rPr>
          <w:lang w:val="en-GB"/>
        </w:rPr>
        <w:t xml:space="preserve">To further account for how these shifts unfold, the analysis tentatively identifies a set of interactional mechanisms, such as co-specification, </w:t>
      </w:r>
      <w:proofErr w:type="spellStart"/>
      <w:r w:rsidRPr="00FC46F9">
        <w:rPr>
          <w:lang w:val="en-GB"/>
        </w:rPr>
        <w:t>decentering</w:t>
      </w:r>
      <w:proofErr w:type="spellEnd"/>
      <w:r w:rsidRPr="00FC46F9">
        <w:rPr>
          <w:lang w:val="en-GB"/>
        </w:rPr>
        <w:t>, orchestration, and reinforcing, through which adjustments in engagement take place. These adjustments are typically small and situated, yet they influence how discussions evolve and how knowledge is negotiated. In line with role transition theory</w:t>
      </w:r>
      <w:r>
        <w:rPr>
          <w:lang w:val="en-GB"/>
        </w:rPr>
        <w:t xml:space="preserve"> </w:t>
      </w:r>
      <w:r w:rsidR="002D7C61">
        <w:rPr>
          <w:lang w:val="en-GB"/>
        </w:rPr>
        <w:fldChar w:fldCharType="begin" w:fldLock="1"/>
      </w:r>
      <w:r w:rsidR="002D7C61">
        <w:rPr>
          <w:lang w:val="en-GB"/>
        </w:rPr>
        <w:instrText>ADDIN CSL_CITATION {"citationItems":[{"id":"ITEM-1","itemData":{"author":[{"dropping-particle":"","family":"Ashforth","given":"B. E.","non-dropping-particle":"","parse-names":false,"suffix":""},{"dropping-particle":"","family":"Kreiner","given":"G. E.","non-dropping-particle":"","parse-names":false,"suffix":""},{"dropping-particle":"","family":"Fugate","given":"G.","non-dropping-particle":"","parse-names":false,"suffix":""}],"container-title":"Academy of Management Review","id":"ITEM-1","issue":"3","issued":{"date-parts":[["2000"]]},"page":"472-491","title":"All in a Day ' s Work : Boundaries and Micro Role Transitions Author","type":"article-journal","volume":"25"},"uris":["http://www.mendeley.com/documents/?uuid=e1a54708-cdc1-4896-9803-bfcb68e02000"]}],"mendeley":{"formattedCitation":"(Ashforth, Kreiner and Fugate, 2000)","plainTextFormattedCitation":"(Ashforth, Kreiner and Fugate, 2000)","previouslyFormattedCitation":"(Ashforth, Kreiner and Fugate, 2000)"},"properties":{"noteIndex":0},"schema":"https://github.com/citation-style-language/schema/raw/master/csl-citation.json"}</w:instrText>
      </w:r>
      <w:r w:rsidR="002D7C61">
        <w:rPr>
          <w:lang w:val="en-GB"/>
        </w:rPr>
        <w:fldChar w:fldCharType="separate"/>
      </w:r>
      <w:r w:rsidR="002D7C61" w:rsidRPr="002D7C61">
        <w:rPr>
          <w:noProof/>
          <w:lang w:val="en-GB"/>
        </w:rPr>
        <w:t>(Ashforth, Kreiner and Fugate, 2000)</w:t>
      </w:r>
      <w:r w:rsidR="002D7C61">
        <w:rPr>
          <w:lang w:val="en-GB"/>
        </w:rPr>
        <w:fldChar w:fldCharType="end"/>
      </w:r>
      <w:r w:rsidR="002D7C61">
        <w:rPr>
          <w:lang w:val="en-GB"/>
        </w:rPr>
        <w:t xml:space="preserve">, </w:t>
      </w:r>
      <w:r w:rsidR="002D7C61" w:rsidRPr="002D7C61">
        <w:rPr>
          <w:lang w:val="en-GB"/>
        </w:rPr>
        <w:t>the data suggest that these mechanisms often operate through short, iterative cycles, in which tensions are sensed</w:t>
      </w:r>
      <w:r w:rsidR="00395DFE">
        <w:rPr>
          <w:lang w:val="en-GB"/>
        </w:rPr>
        <w:t xml:space="preserve"> and</w:t>
      </w:r>
      <w:r w:rsidR="002D7C61" w:rsidRPr="002D7C61">
        <w:rPr>
          <w:lang w:val="en-GB"/>
        </w:rPr>
        <w:t xml:space="preserve"> roles </w:t>
      </w:r>
      <w:r w:rsidR="00395DFE">
        <w:rPr>
          <w:lang w:val="en-GB"/>
        </w:rPr>
        <w:t xml:space="preserve">are </w:t>
      </w:r>
      <w:r w:rsidR="002D7C61" w:rsidRPr="002D7C61">
        <w:rPr>
          <w:lang w:val="en-GB"/>
        </w:rPr>
        <w:t xml:space="preserve">subtly adjusted. Conceptually, these </w:t>
      </w:r>
      <w:r w:rsidR="00395DFE">
        <w:rPr>
          <w:lang w:val="en-GB"/>
        </w:rPr>
        <w:t>‘</w:t>
      </w:r>
      <w:r w:rsidR="002D7C61" w:rsidRPr="002D7C61">
        <w:rPr>
          <w:lang w:val="en-GB"/>
        </w:rPr>
        <w:t>micro-loops</w:t>
      </w:r>
      <w:r w:rsidR="00395DFE">
        <w:rPr>
          <w:lang w:val="en-GB"/>
        </w:rPr>
        <w:t>’</w:t>
      </w:r>
      <w:r w:rsidR="002D7C61" w:rsidRPr="002D7C61">
        <w:rPr>
          <w:lang w:val="en-GB"/>
        </w:rPr>
        <w:t xml:space="preserve"> offer a way to capture how small, situated shifts in engagement accumulate into broader learning outcomes, linking </w:t>
      </w:r>
      <w:r w:rsidR="00395DFE">
        <w:rPr>
          <w:lang w:val="en-GB"/>
        </w:rPr>
        <w:t>in situ</w:t>
      </w:r>
      <w:r w:rsidR="002D7C61" w:rsidRPr="002D7C61">
        <w:rPr>
          <w:lang w:val="en-GB"/>
        </w:rPr>
        <w:t xml:space="preserve"> interaction to patterns of knowledge transfer, adaptation, and transformation </w:t>
      </w:r>
      <w:r w:rsidR="002D7C61">
        <w:rPr>
          <w:lang w:val="en-GB"/>
        </w:rPr>
        <w:fldChar w:fldCharType="begin" w:fldLock="1"/>
      </w:r>
      <w:r w:rsidR="002D7C61">
        <w:rPr>
          <w:lang w:val="en-GB"/>
        </w:rPr>
        <w:instrText>ADDIN CSL_CITATION {"citationItems":[{"id":"ITEM-1","itemData":{"DOI":"doi.org/10.1287/orsc.1040.0094","author":[{"dropping-particle":"","family":"Carlile","given":"P. R.","non-dropping-particle":"","parse-names":false,"suffix":""}],"container-title":"Organization Science","id":"ITEM-1","issue":"5","issued":{"date-parts":[["2004"]]},"page":"555-568","title":"Transferring, Translating, and Transforming: An Integrative Framework for Managing Knowledge Across Boundaries","type":"article-journal","volume":"15"},"uris":["http://www.mendeley.com/documents/?uuid=9a890c85-357f-492f-b846-71e534873387"]}],"mendeley":{"formattedCitation":"(Carlile, 2004)","plainTextFormattedCitation":"(Carlile, 2004)","previouslyFormattedCitation":"(Carlile, 2004)"},"properties":{"noteIndex":0},"schema":"https://github.com/citation-style-language/schema/raw/master/csl-citation.json"}</w:instrText>
      </w:r>
      <w:r w:rsidR="002D7C61">
        <w:rPr>
          <w:lang w:val="en-GB"/>
        </w:rPr>
        <w:fldChar w:fldCharType="separate"/>
      </w:r>
      <w:r w:rsidR="002D7C61" w:rsidRPr="002D7C61">
        <w:rPr>
          <w:noProof/>
          <w:lang w:val="en-GB"/>
        </w:rPr>
        <w:t>(Carlile, 2004)</w:t>
      </w:r>
      <w:r w:rsidR="002D7C61">
        <w:rPr>
          <w:lang w:val="en-GB"/>
        </w:rPr>
        <w:fldChar w:fldCharType="end"/>
      </w:r>
      <w:r w:rsidR="002D7C61">
        <w:rPr>
          <w:lang w:val="en-GB"/>
        </w:rPr>
        <w:t>.</w:t>
      </w:r>
      <w:r w:rsidR="00D03FFA">
        <w:rPr>
          <w:lang w:val="en-GB"/>
        </w:rPr>
        <w:t xml:space="preserve"> </w:t>
      </w:r>
      <w:r w:rsidR="002D7C61" w:rsidRPr="002D7C61">
        <w:rPr>
          <w:lang w:val="en-GB"/>
        </w:rPr>
        <w:t>At the same time, not all episodes led to sustained learning. Moments characterized by weak alignment or strong external pressures constrained opportunities for translation and mediation. This highlights that boundary-spanning work, while often framed in terms of individual competencies</w:t>
      </w:r>
      <w:r w:rsidR="002D7C61">
        <w:rPr>
          <w:lang w:val="en-GB"/>
        </w:rPr>
        <w:t xml:space="preserve"> </w:t>
      </w:r>
      <w:r w:rsidR="002D7C61">
        <w:rPr>
          <w:lang w:val="en-GB"/>
        </w:rPr>
        <w:fldChar w:fldCharType="begin" w:fldLock="1"/>
      </w:r>
      <w:r w:rsidR="002D7C61">
        <w:rPr>
          <w:lang w:val="en-GB"/>
        </w:rPr>
        <w:instrText>ADDIN CSL_CITATION {"citationItems":[{"id":"ITEM-1","itemData":{"DOI":"10.1080/00221546.2010.11779075","author":[{"dropping-particle":"","family":"Weerts","given":"David J","non-dropping-particle":"","parse-names":false,"suffix":""},{"dropping-particle":"","family":"Sandmann","given":"Lorilee R","non-dropping-particle":"","parse-names":false,"suffix":""}],"container-title":"Journal of Higher Education","id":"ITEM-1","issue":"6","issued":{"date-parts":[["2010"]]},"page":"632-657","title":"Community Engagement and Boundary-Spanning Roles at Research Universities","type":"article-journal","volume":"81"},"uris":["http://www.mendeley.com/documents/?uuid=9bab335a-6db9-4879-8653-21dbc8a3cda3"]}],"mendeley":{"formattedCitation":"(Weerts and Sandmann, 2010)","plainTextFormattedCitation":"(Weerts and Sandmann, 2010)","previouslyFormattedCitation":"(Weerts and Sandmann, 2010)"},"properties":{"noteIndex":0},"schema":"https://github.com/citation-style-language/schema/raw/master/csl-citation.json"}</w:instrText>
      </w:r>
      <w:r w:rsidR="002D7C61">
        <w:rPr>
          <w:lang w:val="en-GB"/>
        </w:rPr>
        <w:fldChar w:fldCharType="separate"/>
      </w:r>
      <w:r w:rsidR="002D7C61" w:rsidRPr="002D7C61">
        <w:rPr>
          <w:noProof/>
          <w:lang w:val="en-GB"/>
        </w:rPr>
        <w:t>(Weerts and Sandmann, 2010)</w:t>
      </w:r>
      <w:r w:rsidR="002D7C61">
        <w:rPr>
          <w:lang w:val="en-GB"/>
        </w:rPr>
        <w:fldChar w:fldCharType="end"/>
      </w:r>
      <w:r w:rsidR="002D7C61">
        <w:rPr>
          <w:lang w:val="en-GB"/>
        </w:rPr>
        <w:t xml:space="preserve"> </w:t>
      </w:r>
      <w:r w:rsidR="002D7C61" w:rsidRPr="002D7C61">
        <w:rPr>
          <w:lang w:val="en-GB"/>
        </w:rPr>
        <w:t>is also shaped by organizational and situational conditions that influence whether and how such roles can be enacted in practice.</w:t>
      </w:r>
    </w:p>
    <w:p w14:paraId="06CF8FB3" w14:textId="7C79C7EE" w:rsidR="00F752D4" w:rsidRDefault="002D7C61" w:rsidP="00F752D4">
      <w:pPr>
        <w:jc w:val="both"/>
        <w:rPr>
          <w:lang w:val="en-GB"/>
        </w:rPr>
      </w:pPr>
      <w:r w:rsidRPr="002D7C61">
        <w:rPr>
          <w:lang w:val="en-GB"/>
        </w:rPr>
        <w:t xml:space="preserve">Taken together, the study suggests that learning in </w:t>
      </w:r>
      <w:r w:rsidR="00D03FFA">
        <w:rPr>
          <w:lang w:val="en-GB"/>
        </w:rPr>
        <w:t>industry-university</w:t>
      </w:r>
      <w:r w:rsidRPr="002D7C61">
        <w:rPr>
          <w:lang w:val="en-GB"/>
        </w:rPr>
        <w:t xml:space="preserve"> collaborations is shaped less by which role academics occupy, and more by how they move between roles in response to situational tensions. In this sense, boundary-spanning roles in learning-oriented collaborations appear better understood as dynamic and situational rather than fixed, extending recent critiques of static role conceptualizations </w:t>
      </w:r>
      <w:r>
        <w:rPr>
          <w:lang w:val="en-GB"/>
        </w:rPr>
        <w:fldChar w:fldCharType="begin" w:fldLock="1"/>
      </w:r>
      <w:r>
        <w:rPr>
          <w:lang w:val="en-GB"/>
        </w:rPr>
        <w:instrText>ADDIN CSL_CITATION {"citationItems":[{"id":"ITEM-1","itemData":{"author":[{"dropping-particle":"","family":"Sloot","given":"Ruth N.F.","non-dropping-particle":"","parse-names":false,"suffix":""},{"dropping-particle":"","family":"Volker","given":"Leentje","non-dropping-particle":"","parse-names":false,"suffix":""}],"container-title":"41st Annual ARCOM Conference 2025","id":"ITEM-1","issued":{"date-parts":[["2025"]]},"publisher-place":"Dundee, United Kingdom","title":"Dissemination to Co-production: An Autoethnography of Boundary Spanning in Knowledge Ecosystems","type":"paper-conference"},"uris":["http://www.mendeley.com/documents/?uuid=c61a54f0-8bb6-475a-858e-9f212e9afd8a"]}],"mendeley":{"formattedCitation":"(Sloot and Volker, 2025)","plainTextFormattedCitation":"(Sloot and Volker, 2025)","previouslyFormattedCitation":"(Sloot and Volker, 2025)"},"properties":{"noteIndex":0},"schema":"https://github.com/citation-style-language/schema/raw/master/csl-citation.json"}</w:instrText>
      </w:r>
      <w:r>
        <w:rPr>
          <w:lang w:val="en-GB"/>
        </w:rPr>
        <w:fldChar w:fldCharType="separate"/>
      </w:r>
      <w:r w:rsidRPr="002D7C61">
        <w:rPr>
          <w:noProof/>
          <w:lang w:val="en-GB"/>
        </w:rPr>
        <w:t>(Sloot and Volker, 2025)</w:t>
      </w:r>
      <w:r>
        <w:rPr>
          <w:lang w:val="en-GB"/>
        </w:rPr>
        <w:fldChar w:fldCharType="end"/>
      </w:r>
      <w:r>
        <w:rPr>
          <w:lang w:val="en-GB"/>
        </w:rPr>
        <w:t xml:space="preserve">. </w:t>
      </w:r>
      <w:r w:rsidR="00FC46F9" w:rsidRPr="00FC46F9">
        <w:rPr>
          <w:lang w:val="en-GB"/>
        </w:rPr>
        <w:t>Future research will focus on further developing and testing this emerging framework of interactional mechanisms and micro-loops, including cross-case comparison and a more systematic exploration of the relationship between role navigation and knowledge outcomes.</w:t>
      </w:r>
    </w:p>
    <w:p w14:paraId="5E9404AD" w14:textId="508C640D" w:rsidR="00FC46F9" w:rsidRDefault="006248A9" w:rsidP="00D03FFA">
      <w:pPr>
        <w:jc w:val="both"/>
        <w:rPr>
          <w:lang w:val="en-GB"/>
        </w:rPr>
      </w:pPr>
      <w:r w:rsidRPr="006248A9">
        <w:rPr>
          <w:lang w:val="en-GB"/>
        </w:rPr>
        <w:t xml:space="preserve">From a practical perspective, this study suggests that academics in fourth-generation universities and lifelong learning (LLL) settings should be supported not only in developing boundary-spanning competencies, but also in flexibly navigating between roles. This becomes increasingly critical as industry–university LLL collaborations </w:t>
      </w:r>
      <w:r>
        <w:rPr>
          <w:lang w:val="en-GB"/>
        </w:rPr>
        <w:t>increase</w:t>
      </w:r>
      <w:r w:rsidRPr="006248A9">
        <w:rPr>
          <w:lang w:val="en-GB"/>
        </w:rPr>
        <w:t xml:space="preserve"> in response to ongoing sustainability and digital transitions. Universities, therefore, need to proactively support academics in developing the skills required to operate in these contexts. In this regard, this study, alongside the broader literature on role navigation, boundary spanning, and knowledge development, helps to clarify </w:t>
      </w:r>
      <w:r w:rsidR="00D35BCF">
        <w:rPr>
          <w:lang w:val="en-GB"/>
        </w:rPr>
        <w:t>what is asked</w:t>
      </w:r>
      <w:r w:rsidRPr="006248A9">
        <w:rPr>
          <w:lang w:val="en-GB"/>
        </w:rPr>
        <w:t xml:space="preserve"> of the emerging ‘fourth-generation’ academic.</w:t>
      </w:r>
    </w:p>
    <w:p w14:paraId="0778DE7F" w14:textId="0F714C7C" w:rsidR="008253FE" w:rsidRDefault="009F45E0" w:rsidP="008253FE">
      <w:pPr>
        <w:jc w:val="both"/>
        <w:rPr>
          <w:b/>
          <w:bCs/>
          <w:lang w:val="en-GB"/>
        </w:rPr>
      </w:pPr>
      <w:r>
        <w:rPr>
          <w:b/>
          <w:bCs/>
          <w:lang w:val="en-GB"/>
        </w:rPr>
        <w:t>References</w:t>
      </w:r>
    </w:p>
    <w:p w14:paraId="28A2F0EC" w14:textId="4C1B5E44" w:rsidR="002D7C61" w:rsidRPr="002D7C61" w:rsidRDefault="00AA7EE3" w:rsidP="002D7C61">
      <w:pPr>
        <w:widowControl w:val="0"/>
        <w:autoSpaceDE w:val="0"/>
        <w:autoSpaceDN w:val="0"/>
        <w:adjustRightInd w:val="0"/>
        <w:spacing w:line="240" w:lineRule="auto"/>
        <w:rPr>
          <w:rFonts w:ascii="Aptos" w:hAnsi="Aptos" w:cs="Times New Roman"/>
          <w:noProof/>
          <w:kern w:val="0"/>
        </w:rPr>
      </w:pPr>
      <w:r>
        <w:rPr>
          <w:b/>
          <w:bCs/>
          <w:lang w:val="en-GB"/>
        </w:rPr>
        <w:fldChar w:fldCharType="begin" w:fldLock="1"/>
      </w:r>
      <w:r>
        <w:rPr>
          <w:b/>
          <w:bCs/>
          <w:lang w:val="en-GB"/>
        </w:rPr>
        <w:instrText xml:space="preserve">ADDIN Mendeley Bibliography CSL_BIBLIOGRAPHY </w:instrText>
      </w:r>
      <w:r>
        <w:rPr>
          <w:b/>
          <w:bCs/>
          <w:lang w:val="en-GB"/>
        </w:rPr>
        <w:fldChar w:fldCharType="separate"/>
      </w:r>
      <w:r w:rsidR="002D7C61" w:rsidRPr="002D7C61">
        <w:rPr>
          <w:rFonts w:ascii="Aptos" w:hAnsi="Aptos" w:cs="Times New Roman"/>
          <w:noProof/>
          <w:kern w:val="0"/>
        </w:rPr>
        <w:t>Ashforth, B.E., Kreiner, G.E. and Fugate, G. (2000) ‘All in a Day ’ s Work</w:t>
      </w:r>
      <w:r w:rsidR="002D7C61" w:rsidRPr="002D7C61">
        <w:rPr>
          <w:rFonts w:ascii="Arial" w:hAnsi="Arial" w:cs="Arial"/>
          <w:noProof/>
          <w:kern w:val="0"/>
        </w:rPr>
        <w:t> </w:t>
      </w:r>
      <w:r w:rsidR="002D7C61" w:rsidRPr="002D7C61">
        <w:rPr>
          <w:rFonts w:ascii="Aptos" w:hAnsi="Aptos" w:cs="Times New Roman"/>
          <w:noProof/>
          <w:kern w:val="0"/>
        </w:rPr>
        <w:t xml:space="preserve">: Boundaries and Micro Role Transitions Author’, </w:t>
      </w:r>
      <w:r w:rsidR="002D7C61" w:rsidRPr="002D7C61">
        <w:rPr>
          <w:rFonts w:ascii="Aptos" w:hAnsi="Aptos" w:cs="Times New Roman"/>
          <w:i/>
          <w:iCs/>
          <w:noProof/>
          <w:kern w:val="0"/>
        </w:rPr>
        <w:t>Academy of Management Review</w:t>
      </w:r>
      <w:r w:rsidR="002D7C61" w:rsidRPr="002D7C61">
        <w:rPr>
          <w:rFonts w:ascii="Aptos" w:hAnsi="Aptos" w:cs="Times New Roman"/>
          <w:noProof/>
          <w:kern w:val="0"/>
        </w:rPr>
        <w:t>, 25(3), pp. 472–491.</w:t>
      </w:r>
    </w:p>
    <w:p w14:paraId="0E015705"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 xml:space="preserve">Carlile, P.R. (2004) ‘Transferring, Translating, and Transforming: An Integrative Framework for Managing Knowledge Across Boundaries’, </w:t>
      </w:r>
      <w:r w:rsidRPr="002D7C61">
        <w:rPr>
          <w:rFonts w:ascii="Aptos" w:hAnsi="Aptos" w:cs="Times New Roman"/>
          <w:i/>
          <w:iCs/>
          <w:noProof/>
          <w:kern w:val="0"/>
        </w:rPr>
        <w:t>Organization Science</w:t>
      </w:r>
      <w:r w:rsidRPr="002D7C61">
        <w:rPr>
          <w:rFonts w:ascii="Aptos" w:hAnsi="Aptos" w:cs="Times New Roman"/>
          <w:noProof/>
          <w:kern w:val="0"/>
        </w:rPr>
        <w:t>, 15(5), pp. 555–568. Available at: https://doi.org/doi.org/10.1287/orsc.1040.0094.</w:t>
      </w:r>
    </w:p>
    <w:p w14:paraId="647400A7"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Chan, P.W. and Dainty, A.R.J. (2007) ‘Resolving the UK construction skills crisis</w:t>
      </w:r>
      <w:r w:rsidRPr="002D7C61">
        <w:rPr>
          <w:rFonts w:ascii="Arial" w:hAnsi="Arial" w:cs="Arial"/>
          <w:noProof/>
          <w:kern w:val="0"/>
        </w:rPr>
        <w:t> </w:t>
      </w:r>
      <w:r w:rsidRPr="002D7C61">
        <w:rPr>
          <w:rFonts w:ascii="Aptos" w:hAnsi="Aptos" w:cs="Times New Roman"/>
          <w:noProof/>
          <w:kern w:val="0"/>
        </w:rPr>
        <w:t xml:space="preserve">: a critical perspective on the research and policy agenda’, </w:t>
      </w:r>
      <w:r w:rsidRPr="002D7C61">
        <w:rPr>
          <w:rFonts w:ascii="Aptos" w:hAnsi="Aptos" w:cs="Times New Roman"/>
          <w:i/>
          <w:iCs/>
          <w:noProof/>
          <w:kern w:val="0"/>
        </w:rPr>
        <w:t>Construction Management and Economics</w:t>
      </w:r>
      <w:r w:rsidRPr="002D7C61">
        <w:rPr>
          <w:rFonts w:ascii="Aptos" w:hAnsi="Aptos" w:cs="Times New Roman"/>
          <w:noProof/>
          <w:kern w:val="0"/>
        </w:rPr>
        <w:t>, 6193(May). Available at: https://doi.org/10.1080/01446190600863152.</w:t>
      </w:r>
    </w:p>
    <w:p w14:paraId="5149FC74"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Clarke, L., Gleeson, C. and Winch, C. (2017) ‘What kind of expertise is needed for low energy construction</w:t>
      </w:r>
      <w:r w:rsidRPr="002D7C61">
        <w:rPr>
          <w:rFonts w:ascii="Arial" w:hAnsi="Arial" w:cs="Arial"/>
          <w:noProof/>
          <w:kern w:val="0"/>
        </w:rPr>
        <w:t> </w:t>
      </w:r>
      <w:r w:rsidRPr="002D7C61">
        <w:rPr>
          <w:rFonts w:ascii="Aptos" w:hAnsi="Aptos" w:cs="Times New Roman"/>
          <w:noProof/>
          <w:kern w:val="0"/>
        </w:rPr>
        <w:t xml:space="preserve">?’, </w:t>
      </w:r>
      <w:r w:rsidRPr="002D7C61">
        <w:rPr>
          <w:rFonts w:ascii="Aptos" w:hAnsi="Aptos" w:cs="Times New Roman"/>
          <w:i/>
          <w:iCs/>
          <w:noProof/>
          <w:kern w:val="0"/>
        </w:rPr>
        <w:t>Construction Management and Economics</w:t>
      </w:r>
      <w:r w:rsidRPr="002D7C61">
        <w:rPr>
          <w:rFonts w:ascii="Aptos" w:hAnsi="Aptos" w:cs="Times New Roman"/>
          <w:noProof/>
          <w:kern w:val="0"/>
        </w:rPr>
        <w:t xml:space="preserve">, 6193, pp. 1–12. Available at: </w:t>
      </w:r>
      <w:r w:rsidRPr="002D7C61">
        <w:rPr>
          <w:rFonts w:ascii="Aptos" w:hAnsi="Aptos" w:cs="Times New Roman"/>
          <w:noProof/>
          <w:kern w:val="0"/>
        </w:rPr>
        <w:lastRenderedPageBreak/>
        <w:t>https://doi.org/10.1080/01446193.2016.1248988.</w:t>
      </w:r>
    </w:p>
    <w:p w14:paraId="1E66DCAA"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 xml:space="preserve">Ter Huurne, R.B.A., Olde Scholtenhuis, L.L. and Dorée, A.G. (2022) ‘Change Triggers in Early Innovation Stages: How Technology Pilots Enable Routine Reflection’, </w:t>
      </w:r>
      <w:r w:rsidRPr="002D7C61">
        <w:rPr>
          <w:rFonts w:ascii="Aptos" w:hAnsi="Aptos" w:cs="Times New Roman"/>
          <w:i/>
          <w:iCs/>
          <w:noProof/>
          <w:kern w:val="0"/>
        </w:rPr>
        <w:t>Journal of Construction Engineering and Management</w:t>
      </w:r>
      <w:r w:rsidRPr="002D7C61">
        <w:rPr>
          <w:rFonts w:ascii="Aptos" w:hAnsi="Aptos" w:cs="Times New Roman"/>
          <w:noProof/>
          <w:kern w:val="0"/>
        </w:rPr>
        <w:t>, 148(9), pp. 1–10. Available at: https://doi.org/10.1061/(asce)co.1943-7862.0002307.</w:t>
      </w:r>
    </w:p>
    <w:p w14:paraId="6B2C1629"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 xml:space="preserve">Van Kerkhoff, L. and Lebel, L. (2006) ‘Linking Knowledge and Action for Sustainable Development’, </w:t>
      </w:r>
      <w:r w:rsidRPr="002D7C61">
        <w:rPr>
          <w:rFonts w:ascii="Aptos" w:hAnsi="Aptos" w:cs="Times New Roman"/>
          <w:i/>
          <w:iCs/>
          <w:noProof/>
          <w:kern w:val="0"/>
        </w:rPr>
        <w:t>Annual Review of Environment and Resources</w:t>
      </w:r>
      <w:r w:rsidRPr="002D7C61">
        <w:rPr>
          <w:rFonts w:ascii="Aptos" w:hAnsi="Aptos" w:cs="Times New Roman"/>
          <w:noProof/>
          <w:kern w:val="0"/>
        </w:rPr>
        <w:t>, 31, pp. 455–477. Available at: https://doi.org/10.1146/annurev.energy.31.102405.170850.</w:t>
      </w:r>
    </w:p>
    <w:p w14:paraId="155B09C6"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 xml:space="preserve">Keszey, T. (2018) ‘Boundary spanners ’ knowledge sharing for innovation success in turbulent times’, </w:t>
      </w:r>
      <w:r w:rsidRPr="002D7C61">
        <w:rPr>
          <w:rFonts w:ascii="Aptos" w:hAnsi="Aptos" w:cs="Times New Roman"/>
          <w:i/>
          <w:iCs/>
          <w:noProof/>
          <w:kern w:val="0"/>
        </w:rPr>
        <w:t>Journal of Knowledge Management</w:t>
      </w:r>
      <w:r w:rsidRPr="002D7C61">
        <w:rPr>
          <w:rFonts w:ascii="Aptos" w:hAnsi="Aptos" w:cs="Times New Roman"/>
          <w:noProof/>
          <w:kern w:val="0"/>
        </w:rPr>
        <w:t>, 22(5), pp. 1061–1081. Available at: https://doi.org/10.1108/JKM-01-2017-0033.</w:t>
      </w:r>
    </w:p>
    <w:p w14:paraId="6092B38A"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Laal, M. and Salamati, P. (2012) ‘Social and Lifelong learning</w:t>
      </w:r>
      <w:r w:rsidRPr="002D7C61">
        <w:rPr>
          <w:rFonts w:ascii="Arial" w:hAnsi="Arial" w:cs="Arial"/>
          <w:noProof/>
          <w:kern w:val="0"/>
        </w:rPr>
        <w:t> </w:t>
      </w:r>
      <w:r w:rsidRPr="002D7C61">
        <w:rPr>
          <w:rFonts w:ascii="Aptos" w:hAnsi="Aptos" w:cs="Times New Roman"/>
          <w:noProof/>
          <w:kern w:val="0"/>
        </w:rPr>
        <w:t>; why do we need it</w:t>
      </w:r>
      <w:r w:rsidRPr="002D7C61">
        <w:rPr>
          <w:rFonts w:ascii="Arial" w:hAnsi="Arial" w:cs="Arial"/>
          <w:noProof/>
          <w:kern w:val="0"/>
        </w:rPr>
        <w:t> </w:t>
      </w:r>
      <w:r w:rsidRPr="002D7C61">
        <w:rPr>
          <w:rFonts w:ascii="Aptos" w:hAnsi="Aptos" w:cs="Times New Roman"/>
          <w:noProof/>
          <w:kern w:val="0"/>
        </w:rPr>
        <w:t>?’, 31(2011), pp. 399–403. Available at: https://doi.org/10.1016/j.sbspro.2011.12.073.</w:t>
      </w:r>
    </w:p>
    <w:p w14:paraId="76FEA154"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 xml:space="preserve">Lukovics, M. and Zuti, B. (2015) ‘New Functions of Universities in Century XXI Towards “ Fourth Generation ” Universities’, </w:t>
      </w:r>
      <w:r w:rsidRPr="002D7C61">
        <w:rPr>
          <w:rFonts w:ascii="Aptos" w:hAnsi="Aptos" w:cs="Times New Roman"/>
          <w:i/>
          <w:iCs/>
          <w:noProof/>
          <w:kern w:val="0"/>
        </w:rPr>
        <w:t>Journal Transition Studies Review</w:t>
      </w:r>
      <w:r w:rsidRPr="002D7C61">
        <w:rPr>
          <w:rFonts w:ascii="Aptos" w:hAnsi="Aptos" w:cs="Times New Roman"/>
          <w:noProof/>
          <w:kern w:val="0"/>
        </w:rPr>
        <w:t>, 22(2), pp. 33–48. Available at: https://doi.org/10.14665/1614-4007-22-2-003.</w:t>
      </w:r>
    </w:p>
    <w:p w14:paraId="217FF872"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 xml:space="preserve">Ninan, J. </w:t>
      </w:r>
      <w:r w:rsidRPr="002D7C61">
        <w:rPr>
          <w:rFonts w:ascii="Aptos" w:hAnsi="Aptos" w:cs="Times New Roman"/>
          <w:i/>
          <w:iCs/>
          <w:noProof/>
          <w:kern w:val="0"/>
        </w:rPr>
        <w:t>et al.</w:t>
      </w:r>
      <w:r w:rsidRPr="002D7C61">
        <w:rPr>
          <w:rFonts w:ascii="Aptos" w:hAnsi="Aptos" w:cs="Times New Roman"/>
          <w:noProof/>
          <w:kern w:val="0"/>
        </w:rPr>
        <w:t xml:space="preserve"> (2026) ‘How digital platforms enable sustainability transitions in the built environment environment’, </w:t>
      </w:r>
      <w:r w:rsidRPr="002D7C61">
        <w:rPr>
          <w:rFonts w:ascii="Aptos" w:hAnsi="Aptos" w:cs="Times New Roman"/>
          <w:i/>
          <w:iCs/>
          <w:noProof/>
          <w:kern w:val="0"/>
        </w:rPr>
        <w:t>Construction Management and Economics</w:t>
      </w:r>
      <w:r w:rsidRPr="002D7C61">
        <w:rPr>
          <w:rFonts w:ascii="Aptos" w:hAnsi="Aptos" w:cs="Times New Roman"/>
          <w:noProof/>
          <w:kern w:val="0"/>
        </w:rPr>
        <w:t>, 44(4), pp. 300–317. Available at: https://doi.org/10.1080/01446193.2026.2629869.</w:t>
      </w:r>
    </w:p>
    <w:p w14:paraId="456AFAAA"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 xml:space="preserve">Pawłowski, K. (2009) ‘The “Fourth Generation University” as a Creator of the Local and Regional Development’, </w:t>
      </w:r>
      <w:r w:rsidRPr="002D7C61">
        <w:rPr>
          <w:rFonts w:ascii="Aptos" w:hAnsi="Aptos" w:cs="Times New Roman"/>
          <w:i/>
          <w:iCs/>
          <w:noProof/>
          <w:kern w:val="0"/>
        </w:rPr>
        <w:t>Higher Education in Europe</w:t>
      </w:r>
      <w:r w:rsidRPr="002D7C61">
        <w:rPr>
          <w:rFonts w:ascii="Aptos" w:hAnsi="Aptos" w:cs="Times New Roman"/>
          <w:noProof/>
          <w:kern w:val="0"/>
        </w:rPr>
        <w:t>, 34(1), pp. 51–64. Available at: https://doi.org/10.1080/03797720902747017.</w:t>
      </w:r>
    </w:p>
    <w:p w14:paraId="341F3003"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 xml:space="preserve">Safford, H.D. </w:t>
      </w:r>
      <w:r w:rsidRPr="002D7C61">
        <w:rPr>
          <w:rFonts w:ascii="Aptos" w:hAnsi="Aptos" w:cs="Times New Roman"/>
          <w:i/>
          <w:iCs/>
          <w:noProof/>
          <w:kern w:val="0"/>
        </w:rPr>
        <w:t>et al.</w:t>
      </w:r>
      <w:r w:rsidRPr="002D7C61">
        <w:rPr>
          <w:rFonts w:ascii="Aptos" w:hAnsi="Aptos" w:cs="Times New Roman"/>
          <w:noProof/>
          <w:kern w:val="0"/>
        </w:rPr>
        <w:t xml:space="preserve"> (2017) ‘Linking knowledge to action</w:t>
      </w:r>
      <w:r w:rsidRPr="002D7C61">
        <w:rPr>
          <w:rFonts w:ascii="Arial" w:hAnsi="Arial" w:cs="Arial"/>
          <w:noProof/>
          <w:kern w:val="0"/>
        </w:rPr>
        <w:t> </w:t>
      </w:r>
      <w:r w:rsidRPr="002D7C61">
        <w:rPr>
          <w:rFonts w:ascii="Aptos" w:hAnsi="Aptos" w:cs="Times New Roman"/>
          <w:noProof/>
          <w:kern w:val="0"/>
        </w:rPr>
        <w:t xml:space="preserve">: the role of boundary spanners in translating ecology’, </w:t>
      </w:r>
      <w:r w:rsidRPr="002D7C61">
        <w:rPr>
          <w:rFonts w:ascii="Aptos" w:hAnsi="Aptos" w:cs="Times New Roman"/>
          <w:i/>
          <w:iCs/>
          <w:noProof/>
          <w:kern w:val="0"/>
        </w:rPr>
        <w:t>Frontiers in Ecology and the Environment</w:t>
      </w:r>
      <w:r w:rsidRPr="002D7C61">
        <w:rPr>
          <w:rFonts w:ascii="Aptos" w:hAnsi="Aptos" w:cs="Times New Roman"/>
          <w:noProof/>
          <w:kern w:val="0"/>
        </w:rPr>
        <w:t>, 15, pp. 560–568. Available at: https://doi.org/10.1002/fee.1731.</w:t>
      </w:r>
    </w:p>
    <w:p w14:paraId="2B81BE47"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 xml:space="preserve">Sloot, R.N.F. and Volker, L. (2025) ‘Dissemination to Co-production: An Autoethnography of Boundary Spanning in Knowledge Ecosystems’, in </w:t>
      </w:r>
      <w:r w:rsidRPr="002D7C61">
        <w:rPr>
          <w:rFonts w:ascii="Aptos" w:hAnsi="Aptos" w:cs="Times New Roman"/>
          <w:i/>
          <w:iCs/>
          <w:noProof/>
          <w:kern w:val="0"/>
        </w:rPr>
        <w:t>41st Annual ARCOM Conference 2025</w:t>
      </w:r>
      <w:r w:rsidRPr="002D7C61">
        <w:rPr>
          <w:rFonts w:ascii="Aptos" w:hAnsi="Aptos" w:cs="Times New Roman"/>
          <w:noProof/>
          <w:kern w:val="0"/>
        </w:rPr>
        <w:t>. Dundee, United Kingdom.</w:t>
      </w:r>
    </w:p>
    <w:p w14:paraId="2B6D85CE"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 xml:space="preserve">United Nations Framework Convention on Climate Change (2015) </w:t>
      </w:r>
      <w:r w:rsidRPr="002D7C61">
        <w:rPr>
          <w:rFonts w:ascii="Aptos" w:hAnsi="Aptos" w:cs="Times New Roman"/>
          <w:i/>
          <w:iCs/>
          <w:noProof/>
          <w:kern w:val="0"/>
        </w:rPr>
        <w:t>The Paris Agreement</w:t>
      </w:r>
      <w:r w:rsidRPr="002D7C61">
        <w:rPr>
          <w:rFonts w:ascii="Aptos" w:hAnsi="Aptos" w:cs="Times New Roman"/>
          <w:noProof/>
          <w:kern w:val="0"/>
        </w:rPr>
        <w:t>. Available at: https://unfccc.int/documents/184656.</w:t>
      </w:r>
    </w:p>
    <w:p w14:paraId="23B30BC6" w14:textId="77777777" w:rsidR="002D7C61" w:rsidRPr="002D7C61" w:rsidRDefault="002D7C61" w:rsidP="002D7C61">
      <w:pPr>
        <w:widowControl w:val="0"/>
        <w:autoSpaceDE w:val="0"/>
        <w:autoSpaceDN w:val="0"/>
        <w:adjustRightInd w:val="0"/>
        <w:spacing w:line="240" w:lineRule="auto"/>
        <w:rPr>
          <w:rFonts w:ascii="Aptos" w:hAnsi="Aptos" w:cs="Times New Roman"/>
          <w:noProof/>
          <w:kern w:val="0"/>
        </w:rPr>
      </w:pPr>
      <w:r w:rsidRPr="002D7C61">
        <w:rPr>
          <w:rFonts w:ascii="Aptos" w:hAnsi="Aptos" w:cs="Times New Roman"/>
          <w:noProof/>
          <w:kern w:val="0"/>
        </w:rPr>
        <w:t xml:space="preserve">Weerts, D.J. and Sandmann, L.R. (2010) ‘Community Engagement and Boundary-Spanning Roles at Research Universities’, </w:t>
      </w:r>
      <w:r w:rsidRPr="002D7C61">
        <w:rPr>
          <w:rFonts w:ascii="Aptos" w:hAnsi="Aptos" w:cs="Times New Roman"/>
          <w:i/>
          <w:iCs/>
          <w:noProof/>
          <w:kern w:val="0"/>
        </w:rPr>
        <w:t>Journal of Higher Education</w:t>
      </w:r>
      <w:r w:rsidRPr="002D7C61">
        <w:rPr>
          <w:rFonts w:ascii="Aptos" w:hAnsi="Aptos" w:cs="Times New Roman"/>
          <w:noProof/>
          <w:kern w:val="0"/>
        </w:rPr>
        <w:t>, 81(6), pp. 632–657. Available at: https://doi.org/10.1080/00221546.2010.11779075.</w:t>
      </w:r>
    </w:p>
    <w:p w14:paraId="26D77FE6" w14:textId="77777777" w:rsidR="002D7C61" w:rsidRPr="002D7C61" w:rsidRDefault="002D7C61" w:rsidP="002D7C61">
      <w:pPr>
        <w:widowControl w:val="0"/>
        <w:autoSpaceDE w:val="0"/>
        <w:autoSpaceDN w:val="0"/>
        <w:adjustRightInd w:val="0"/>
        <w:spacing w:line="240" w:lineRule="auto"/>
        <w:rPr>
          <w:rFonts w:ascii="Aptos" w:hAnsi="Aptos"/>
          <w:noProof/>
        </w:rPr>
      </w:pPr>
      <w:r w:rsidRPr="002D7C61">
        <w:rPr>
          <w:rFonts w:ascii="Aptos" w:hAnsi="Aptos" w:cs="Times New Roman"/>
          <w:noProof/>
          <w:kern w:val="0"/>
        </w:rPr>
        <w:t xml:space="preserve">Williams, P. (2002) ‘The Competent Boundary Spanner’, </w:t>
      </w:r>
      <w:r w:rsidRPr="002D7C61">
        <w:rPr>
          <w:rFonts w:ascii="Aptos" w:hAnsi="Aptos" w:cs="Times New Roman"/>
          <w:i/>
          <w:iCs/>
          <w:noProof/>
          <w:kern w:val="0"/>
        </w:rPr>
        <w:t>Public Administration</w:t>
      </w:r>
      <w:r w:rsidRPr="002D7C61">
        <w:rPr>
          <w:rFonts w:ascii="Aptos" w:hAnsi="Aptos" w:cs="Times New Roman"/>
          <w:noProof/>
          <w:kern w:val="0"/>
        </w:rPr>
        <w:t>, 80(1), pp. 103–124. Available at: https://doi.org/10.1111/1467-9299.00296.</w:t>
      </w:r>
    </w:p>
    <w:p w14:paraId="15162525" w14:textId="00C3B686" w:rsidR="009F45E0" w:rsidRPr="00537F56" w:rsidRDefault="00AA7EE3" w:rsidP="008253FE">
      <w:pPr>
        <w:jc w:val="both"/>
        <w:rPr>
          <w:b/>
          <w:bCs/>
          <w:lang w:val="en-GB"/>
        </w:rPr>
      </w:pPr>
      <w:r>
        <w:rPr>
          <w:b/>
          <w:bCs/>
          <w:lang w:val="en-GB"/>
        </w:rPr>
        <w:fldChar w:fldCharType="end"/>
      </w:r>
    </w:p>
    <w:p w14:paraId="01F9F6E3" w14:textId="61057E3E" w:rsidR="003A4923" w:rsidRPr="00CF4555" w:rsidRDefault="003A4923" w:rsidP="003779F7">
      <w:pPr>
        <w:jc w:val="both"/>
        <w:rPr>
          <w:lang w:val="en-GB"/>
        </w:rPr>
      </w:pPr>
    </w:p>
    <w:sectPr w:rsidR="003A4923" w:rsidRPr="00CF4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687F"/>
    <w:multiLevelType w:val="hybridMultilevel"/>
    <w:tmpl w:val="9EC46460"/>
    <w:lvl w:ilvl="0" w:tplc="BFB63D4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5F5F65"/>
    <w:multiLevelType w:val="hybridMultilevel"/>
    <w:tmpl w:val="772092B6"/>
    <w:lvl w:ilvl="0" w:tplc="C016A25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3E36B6"/>
    <w:multiLevelType w:val="hybridMultilevel"/>
    <w:tmpl w:val="85ACBC04"/>
    <w:lvl w:ilvl="0" w:tplc="3AC273CA">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0D5174E"/>
    <w:multiLevelType w:val="hybridMultilevel"/>
    <w:tmpl w:val="3AFA138A"/>
    <w:lvl w:ilvl="0" w:tplc="16B0B09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1361156">
    <w:abstractNumId w:val="2"/>
  </w:num>
  <w:num w:numId="2" w16cid:durableId="1933200557">
    <w:abstractNumId w:val="0"/>
  </w:num>
  <w:num w:numId="3" w16cid:durableId="849485308">
    <w:abstractNumId w:val="3"/>
  </w:num>
  <w:num w:numId="4" w16cid:durableId="292904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1A"/>
    <w:rsid w:val="00010D28"/>
    <w:rsid w:val="00074249"/>
    <w:rsid w:val="00135052"/>
    <w:rsid w:val="00155073"/>
    <w:rsid w:val="0016215F"/>
    <w:rsid w:val="00183411"/>
    <w:rsid w:val="00186963"/>
    <w:rsid w:val="001B1FAF"/>
    <w:rsid w:val="00261EEC"/>
    <w:rsid w:val="00263E72"/>
    <w:rsid w:val="00294D9A"/>
    <w:rsid w:val="002D5E54"/>
    <w:rsid w:val="002D7C61"/>
    <w:rsid w:val="002E12BD"/>
    <w:rsid w:val="002F199F"/>
    <w:rsid w:val="00316EF8"/>
    <w:rsid w:val="003779F7"/>
    <w:rsid w:val="00384A9B"/>
    <w:rsid w:val="00395DFE"/>
    <w:rsid w:val="00396E5C"/>
    <w:rsid w:val="003A4923"/>
    <w:rsid w:val="004B361D"/>
    <w:rsid w:val="004D7C16"/>
    <w:rsid w:val="004E3318"/>
    <w:rsid w:val="00524490"/>
    <w:rsid w:val="00537F56"/>
    <w:rsid w:val="0055485B"/>
    <w:rsid w:val="0056082B"/>
    <w:rsid w:val="005767D9"/>
    <w:rsid w:val="006248A9"/>
    <w:rsid w:val="00637113"/>
    <w:rsid w:val="006763F2"/>
    <w:rsid w:val="00682B5F"/>
    <w:rsid w:val="006C1B09"/>
    <w:rsid w:val="006D605F"/>
    <w:rsid w:val="006E5B39"/>
    <w:rsid w:val="00715EAD"/>
    <w:rsid w:val="007178D5"/>
    <w:rsid w:val="008014DF"/>
    <w:rsid w:val="00805270"/>
    <w:rsid w:val="008253FE"/>
    <w:rsid w:val="00831164"/>
    <w:rsid w:val="00855139"/>
    <w:rsid w:val="00863847"/>
    <w:rsid w:val="008A478E"/>
    <w:rsid w:val="008A63AE"/>
    <w:rsid w:val="008B27F7"/>
    <w:rsid w:val="008F5560"/>
    <w:rsid w:val="00957A43"/>
    <w:rsid w:val="00963763"/>
    <w:rsid w:val="00994C98"/>
    <w:rsid w:val="00994CD2"/>
    <w:rsid w:val="009F45E0"/>
    <w:rsid w:val="00A0521A"/>
    <w:rsid w:val="00A23E25"/>
    <w:rsid w:val="00A25528"/>
    <w:rsid w:val="00AA7EE3"/>
    <w:rsid w:val="00AB2313"/>
    <w:rsid w:val="00AB3DFD"/>
    <w:rsid w:val="00AD6D1E"/>
    <w:rsid w:val="00AF38CC"/>
    <w:rsid w:val="00B154C6"/>
    <w:rsid w:val="00B5320E"/>
    <w:rsid w:val="00B6445A"/>
    <w:rsid w:val="00B77753"/>
    <w:rsid w:val="00B91AA2"/>
    <w:rsid w:val="00C26350"/>
    <w:rsid w:val="00C36079"/>
    <w:rsid w:val="00C842A8"/>
    <w:rsid w:val="00C962C7"/>
    <w:rsid w:val="00CA3AF1"/>
    <w:rsid w:val="00CC1FFF"/>
    <w:rsid w:val="00CC531A"/>
    <w:rsid w:val="00CD2BF9"/>
    <w:rsid w:val="00CF4555"/>
    <w:rsid w:val="00D02820"/>
    <w:rsid w:val="00D03FFA"/>
    <w:rsid w:val="00D130FF"/>
    <w:rsid w:val="00D13C3D"/>
    <w:rsid w:val="00D35BCF"/>
    <w:rsid w:val="00D3685A"/>
    <w:rsid w:val="00D634DB"/>
    <w:rsid w:val="00D67D05"/>
    <w:rsid w:val="00D67F5F"/>
    <w:rsid w:val="00D76BAE"/>
    <w:rsid w:val="00D82CE8"/>
    <w:rsid w:val="00DA253C"/>
    <w:rsid w:val="00DA5EE9"/>
    <w:rsid w:val="00DC23D4"/>
    <w:rsid w:val="00E532B2"/>
    <w:rsid w:val="00E62CB2"/>
    <w:rsid w:val="00EA4EE7"/>
    <w:rsid w:val="00EF171B"/>
    <w:rsid w:val="00F24ABF"/>
    <w:rsid w:val="00F563F7"/>
    <w:rsid w:val="00F752D4"/>
    <w:rsid w:val="00F855FD"/>
    <w:rsid w:val="00F86D9C"/>
    <w:rsid w:val="00FC46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E65E"/>
  <w15:chartTrackingRefBased/>
  <w15:docId w15:val="{738C32FD-5C4B-4F6A-8529-90B259C8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05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21A"/>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A0521A"/>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A0521A"/>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A0521A"/>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A0521A"/>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A0521A"/>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0521A"/>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0521A"/>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0521A"/>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05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21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05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21A"/>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0521A"/>
    <w:pPr>
      <w:spacing w:before="160"/>
      <w:jc w:val="center"/>
    </w:pPr>
    <w:rPr>
      <w:i/>
      <w:iCs/>
      <w:color w:val="404040" w:themeColor="text1" w:themeTint="BF"/>
    </w:rPr>
  </w:style>
  <w:style w:type="character" w:customStyle="1" w:styleId="QuoteChar">
    <w:name w:val="Quote Char"/>
    <w:basedOn w:val="DefaultParagraphFont"/>
    <w:link w:val="Quote"/>
    <w:uiPriority w:val="29"/>
    <w:rsid w:val="00A0521A"/>
    <w:rPr>
      <w:i/>
      <w:iCs/>
      <w:color w:val="404040" w:themeColor="text1" w:themeTint="BF"/>
      <w:lang w:val="en-US"/>
    </w:rPr>
  </w:style>
  <w:style w:type="paragraph" w:styleId="ListParagraph">
    <w:name w:val="List Paragraph"/>
    <w:basedOn w:val="Normal"/>
    <w:uiPriority w:val="34"/>
    <w:qFormat/>
    <w:rsid w:val="00A0521A"/>
    <w:pPr>
      <w:ind w:left="720"/>
      <w:contextualSpacing/>
    </w:pPr>
  </w:style>
  <w:style w:type="character" w:styleId="IntenseEmphasis">
    <w:name w:val="Intense Emphasis"/>
    <w:basedOn w:val="DefaultParagraphFont"/>
    <w:uiPriority w:val="21"/>
    <w:qFormat/>
    <w:rsid w:val="00A0521A"/>
    <w:rPr>
      <w:i/>
      <w:iCs/>
      <w:color w:val="0F4761" w:themeColor="accent1" w:themeShade="BF"/>
    </w:rPr>
  </w:style>
  <w:style w:type="paragraph" w:styleId="IntenseQuote">
    <w:name w:val="Intense Quote"/>
    <w:basedOn w:val="Normal"/>
    <w:next w:val="Normal"/>
    <w:link w:val="IntenseQuoteChar"/>
    <w:uiPriority w:val="30"/>
    <w:qFormat/>
    <w:rsid w:val="00A05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21A"/>
    <w:rPr>
      <w:i/>
      <w:iCs/>
      <w:color w:val="0F4761" w:themeColor="accent1" w:themeShade="BF"/>
      <w:lang w:val="en-US"/>
    </w:rPr>
  </w:style>
  <w:style w:type="character" w:styleId="IntenseReference">
    <w:name w:val="Intense Reference"/>
    <w:basedOn w:val="DefaultParagraphFont"/>
    <w:uiPriority w:val="32"/>
    <w:qFormat/>
    <w:rsid w:val="00A0521A"/>
    <w:rPr>
      <w:b/>
      <w:bCs/>
      <w:smallCaps/>
      <w:color w:val="0F4761" w:themeColor="accent1" w:themeShade="BF"/>
      <w:spacing w:val="5"/>
    </w:rPr>
  </w:style>
  <w:style w:type="character" w:styleId="Hyperlink">
    <w:name w:val="Hyperlink"/>
    <w:basedOn w:val="DefaultParagraphFont"/>
    <w:uiPriority w:val="99"/>
    <w:unhideWhenUsed/>
    <w:rsid w:val="00537F56"/>
    <w:rPr>
      <w:color w:val="467886" w:themeColor="hyperlink"/>
      <w:u w:val="single"/>
    </w:rPr>
  </w:style>
  <w:style w:type="paragraph" w:customStyle="1" w:styleId="Authors">
    <w:name w:val="Authors"/>
    <w:basedOn w:val="Normal"/>
    <w:qFormat/>
    <w:rsid w:val="00537F56"/>
    <w:pPr>
      <w:tabs>
        <w:tab w:val="left" w:pos="1134"/>
      </w:tabs>
      <w:suppressAutoHyphens/>
      <w:spacing w:after="0" w:line="240" w:lineRule="auto"/>
      <w:jc w:val="center"/>
    </w:pPr>
    <w:rPr>
      <w:rFonts w:ascii="Times New Roman" w:eastAsia="Times New Roman" w:hAnsi="Times New Roman" w:cs="Times New Roman"/>
      <w:kern w:val="0"/>
      <w:sz w:val="24"/>
      <w:szCs w:val="28"/>
      <w:lang w:val="en-GB"/>
      <w14:ligatures w14:val="none"/>
    </w:rPr>
  </w:style>
  <w:style w:type="paragraph" w:customStyle="1" w:styleId="Affiliation">
    <w:name w:val="Affiliation"/>
    <w:basedOn w:val="Normal"/>
    <w:qFormat/>
    <w:rsid w:val="00537F56"/>
    <w:pPr>
      <w:spacing w:after="0"/>
      <w:jc w:val="center"/>
    </w:pPr>
    <w:rPr>
      <w:rFonts w:ascii="Times New Roman" w:eastAsia="Times New Roman" w:hAnsi="Times New Roman" w:cs="Times New Roman"/>
      <w:kern w:val="0"/>
      <w:sz w:val="20"/>
      <w:szCs w:val="20"/>
      <w:lang w:val="en-GB" w:eastAsia="en-GB"/>
      <w14:ligatures w14:val="none"/>
    </w:rPr>
  </w:style>
  <w:style w:type="character" w:styleId="UnresolvedMention">
    <w:name w:val="Unresolved Mention"/>
    <w:basedOn w:val="DefaultParagraphFont"/>
    <w:uiPriority w:val="99"/>
    <w:semiHidden/>
    <w:unhideWhenUsed/>
    <w:rsid w:val="00537F56"/>
    <w:rPr>
      <w:color w:val="605E5C"/>
      <w:shd w:val="clear" w:color="auto" w:fill="E1DFDD"/>
    </w:rPr>
  </w:style>
  <w:style w:type="character" w:styleId="CommentReference">
    <w:name w:val="annotation reference"/>
    <w:basedOn w:val="DefaultParagraphFont"/>
    <w:uiPriority w:val="99"/>
    <w:semiHidden/>
    <w:unhideWhenUsed/>
    <w:rsid w:val="006C1B09"/>
    <w:rPr>
      <w:sz w:val="16"/>
      <w:szCs w:val="16"/>
    </w:rPr>
  </w:style>
  <w:style w:type="paragraph" w:styleId="CommentText">
    <w:name w:val="annotation text"/>
    <w:basedOn w:val="Normal"/>
    <w:link w:val="CommentTextChar"/>
    <w:uiPriority w:val="99"/>
    <w:unhideWhenUsed/>
    <w:rsid w:val="006C1B09"/>
    <w:pPr>
      <w:spacing w:line="240" w:lineRule="auto"/>
    </w:pPr>
    <w:rPr>
      <w:sz w:val="20"/>
      <w:szCs w:val="20"/>
    </w:rPr>
  </w:style>
  <w:style w:type="character" w:customStyle="1" w:styleId="CommentTextChar">
    <w:name w:val="Comment Text Char"/>
    <w:basedOn w:val="DefaultParagraphFont"/>
    <w:link w:val="CommentText"/>
    <w:uiPriority w:val="99"/>
    <w:rsid w:val="006C1B09"/>
    <w:rPr>
      <w:sz w:val="20"/>
      <w:szCs w:val="20"/>
      <w:lang w:val="en-US"/>
    </w:rPr>
  </w:style>
  <w:style w:type="paragraph" w:styleId="CommentSubject">
    <w:name w:val="annotation subject"/>
    <w:basedOn w:val="CommentText"/>
    <w:next w:val="CommentText"/>
    <w:link w:val="CommentSubjectChar"/>
    <w:uiPriority w:val="99"/>
    <w:semiHidden/>
    <w:unhideWhenUsed/>
    <w:rsid w:val="006C1B09"/>
    <w:rPr>
      <w:b/>
      <w:bCs/>
    </w:rPr>
  </w:style>
  <w:style w:type="character" w:customStyle="1" w:styleId="CommentSubjectChar">
    <w:name w:val="Comment Subject Char"/>
    <w:basedOn w:val="CommentTextChar"/>
    <w:link w:val="CommentSubject"/>
    <w:uiPriority w:val="99"/>
    <w:semiHidden/>
    <w:rsid w:val="006C1B0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b.a.terhuurne@utwente.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168ED-8E9A-4B69-8E67-6A21FFBC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6272</Words>
  <Characters>34501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Twente</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Huurne, Ramon ter (UT-ET)</dc:creator>
  <cp:keywords/>
  <dc:description/>
  <cp:lastModifiedBy>Huurne, Ramon ter (UT-ET)</cp:lastModifiedBy>
  <cp:revision>3</cp:revision>
  <dcterms:created xsi:type="dcterms:W3CDTF">2026-05-14T09:00:00Z</dcterms:created>
  <dcterms:modified xsi:type="dcterms:W3CDTF">2026-05-14T09:02:00Z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8b48fcab-107c-480d-9aa8-4bfc7ba8275d</vt:lpwstr>
  </property>
  <property fmtid="{D5CDD505-2E9C-101B-9397-08002B2CF9AE}" pid="3" name="Mendeley Document_1">
    <vt:lpwstr>True</vt:lpwstr>
  </property>
  <property fmtid="{D5CDD505-2E9C-101B-9397-08002B2CF9AE}" pid="4" name="Mendeley Unique User Id_1">
    <vt:lpwstr>07bd1f62-c29f-3f2b-a1f7-294107583a72</vt:lpwstr>
  </property>
  <property fmtid="{D5CDD505-2E9C-101B-9397-08002B2CF9AE}" pid="5" name="Mendeley Citation Style_1">
    <vt:lpwstr>http://www.zotero.org/styles/harvard-cite-them-right</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6th/7th edition</vt:lpwstr>
  </property>
  <property fmtid="{D5CDD505-2E9C-101B-9397-08002B2CF9AE}" pid="12" name="Mendeley Recent Style Id 3_1">
    <vt:lpwstr>http://www.zotero.org/styles/automation-in-construction</vt:lpwstr>
  </property>
  <property fmtid="{D5CDD505-2E9C-101B-9397-08002B2CF9AE}" pid="13" name="Mendeley Recent Style Name 3_1">
    <vt:lpwstr>Automation in Construction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http://www.zotero.org/styles/expert-systems-with-applications</vt:lpwstr>
  </property>
  <property fmtid="{D5CDD505-2E9C-101B-9397-08002B2CF9AE}" pid="19" name="Mendeley Recent Style Name 6_1">
    <vt:lpwstr>Expert Systems With Applications</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