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B658" w14:textId="15FC4D7F" w:rsidR="00334287" w:rsidRDefault="00334287" w:rsidP="00AC5111">
      <w:pPr>
        <w:pStyle w:val="Heading4"/>
        <w:rPr>
          <w:lang w:val="en-GB" w:eastAsia="nb-NO"/>
        </w:rPr>
      </w:pPr>
      <w:r>
        <w:rPr>
          <w:lang w:val="en-GB" w:eastAsia="nb-NO"/>
        </w:rPr>
        <w:t xml:space="preserve">Theme: </w:t>
      </w:r>
      <w:r w:rsidRPr="00334287">
        <w:rPr>
          <w:lang w:val="en-GB" w:eastAsia="nb-NO"/>
        </w:rPr>
        <w:t>Digital transformation in engineering/construction—where and how can we identify or</w:t>
      </w:r>
      <w:r>
        <w:rPr>
          <w:lang w:val="en-GB" w:eastAsia="nb-NO"/>
        </w:rPr>
        <w:t xml:space="preserve"> </w:t>
      </w:r>
      <w:r w:rsidRPr="00334287">
        <w:rPr>
          <w:lang w:val="en-GB" w:eastAsia="nb-NO"/>
        </w:rPr>
        <w:t>built expertise and talent to fill the need to move forward</w:t>
      </w:r>
    </w:p>
    <w:p w14:paraId="41BE34B1" w14:textId="5EF75384" w:rsidR="00334287" w:rsidRDefault="00AC5111" w:rsidP="00977ECB">
      <w:pPr>
        <w:jc w:val="both"/>
        <w:rPr>
          <w:lang w:val="en-GB" w:eastAsia="nb-NO"/>
        </w:rPr>
      </w:pPr>
      <w:r>
        <w:rPr>
          <w:lang w:val="en-GB" w:eastAsia="nb-NO"/>
        </w:rPr>
        <w:t>Extended Abstract</w:t>
      </w:r>
    </w:p>
    <w:p w14:paraId="1A5F8A85" w14:textId="09069891" w:rsidR="006F708F" w:rsidRPr="006F708F" w:rsidRDefault="006F708F" w:rsidP="00977ECB">
      <w:pPr>
        <w:pStyle w:val="Heading2"/>
        <w:jc w:val="both"/>
        <w:rPr>
          <w:lang w:val="en-US" w:eastAsia="nb-NO"/>
        </w:rPr>
      </w:pPr>
      <w:r w:rsidRPr="006F708F">
        <w:rPr>
          <w:lang w:val="en-US" w:eastAsia="nb-NO"/>
        </w:rPr>
        <w:t xml:space="preserve">Why Technology Alone Is Not Enough: Contextual and Organizational Competencies for </w:t>
      </w:r>
      <w:r w:rsidR="00AC5111">
        <w:rPr>
          <w:lang w:val="en-US" w:eastAsia="nb-NO"/>
        </w:rPr>
        <w:t xml:space="preserve">Delivery of </w:t>
      </w:r>
      <w:r w:rsidRPr="006F708F">
        <w:rPr>
          <w:lang w:val="en-US" w:eastAsia="nb-NO"/>
        </w:rPr>
        <w:t>Digital Twins in F</w:t>
      </w:r>
      <w:r w:rsidR="00AC5111">
        <w:rPr>
          <w:lang w:val="en-US" w:eastAsia="nb-NO"/>
        </w:rPr>
        <w:t xml:space="preserve">acilities </w:t>
      </w:r>
      <w:r w:rsidRPr="006F708F">
        <w:rPr>
          <w:lang w:val="en-US" w:eastAsia="nb-NO"/>
        </w:rPr>
        <w:t>M</w:t>
      </w:r>
      <w:r w:rsidR="00AC5111">
        <w:rPr>
          <w:lang w:val="en-US" w:eastAsia="nb-NO"/>
        </w:rPr>
        <w:t>anagement</w:t>
      </w:r>
    </w:p>
    <w:p w14:paraId="057B0DAD" w14:textId="77777777" w:rsidR="00A10600" w:rsidRDefault="0091702D" w:rsidP="00244775">
      <w:pPr>
        <w:pStyle w:val="Heading3"/>
        <w:rPr>
          <w:lang w:val="en-GB"/>
        </w:rPr>
      </w:pPr>
      <w:r w:rsidRPr="0091702D">
        <w:rPr>
          <w:lang w:val="en-GB"/>
        </w:rPr>
        <w:t>Purpose:</w:t>
      </w:r>
      <w:r>
        <w:rPr>
          <w:lang w:val="en-GB"/>
        </w:rPr>
        <w:t xml:space="preserve"> </w:t>
      </w:r>
    </w:p>
    <w:p w14:paraId="2777B228" w14:textId="77777777" w:rsidR="001E7147" w:rsidRDefault="00D401B3" w:rsidP="00977ECB">
      <w:pPr>
        <w:jc w:val="both"/>
        <w:rPr>
          <w:lang w:val="en-US"/>
        </w:rPr>
      </w:pPr>
      <w:r w:rsidRPr="00D401B3">
        <w:rPr>
          <w:lang w:val="en-US"/>
        </w:rPr>
        <w:t xml:space="preserve">This study seeks to reframe the commonly identified “adoption problem” associated with digital platforms in facilities management. Rather than understanding the issue primarily </w:t>
      </w:r>
      <w:r w:rsidR="00F814B7" w:rsidRPr="00D401B3">
        <w:rPr>
          <w:lang w:val="en-US"/>
        </w:rPr>
        <w:t>because of</w:t>
      </w:r>
      <w:r w:rsidRPr="00D401B3">
        <w:rPr>
          <w:lang w:val="en-US"/>
        </w:rPr>
        <w:t xml:space="preserve"> fragmented building lifecycle processes or insufficient technical competence, it conceptualizes it as a challenge of socio-technical alignment between digitally mediated management systems and situated organizational practices.</w:t>
      </w:r>
      <w:r>
        <w:rPr>
          <w:lang w:val="en-US"/>
        </w:rPr>
        <w:t xml:space="preserve"> </w:t>
      </w:r>
      <w:r w:rsidRPr="00D401B3">
        <w:rPr>
          <w:lang w:val="en-US"/>
        </w:rPr>
        <w:t>Existing research has emphasized the discontinuity between project delivery and building operations, where continuity is mediated primarily through information systems rather than ongoing professional interaction (e.g., Ashworth et al., 2023; Pärn et al., 2017; Lindkvist, 2015). At the same time, these systems are often developed within project-based contexts outside the facilities management domain (Whyte et al., 2016), while facilities management itself is frequently characterized as lacking the technological competence required for adoption (Durdyev</w:t>
      </w:r>
      <w:r>
        <w:rPr>
          <w:lang w:val="en-US"/>
        </w:rPr>
        <w:t xml:space="preserve"> </w:t>
      </w:r>
      <w:r w:rsidRPr="00D401B3">
        <w:rPr>
          <w:i/>
          <w:iCs/>
          <w:lang w:val="en-US"/>
        </w:rPr>
        <w:t>et al.,</w:t>
      </w:r>
      <w:r>
        <w:rPr>
          <w:lang w:val="en-US"/>
        </w:rPr>
        <w:t xml:space="preserve"> 2022</w:t>
      </w:r>
      <w:r w:rsidRPr="00D401B3">
        <w:rPr>
          <w:lang w:val="en-US"/>
        </w:rPr>
        <w:t>).</w:t>
      </w:r>
      <w:r w:rsidR="00F814B7">
        <w:rPr>
          <w:lang w:val="en-US"/>
        </w:rPr>
        <w:t xml:space="preserve"> </w:t>
      </w:r>
      <w:r w:rsidRPr="00D401B3">
        <w:rPr>
          <w:lang w:val="en-US"/>
        </w:rPr>
        <w:t>When facilities managers are expected to adopt BIM and digital twin platforms developed outside their established practices, the organizational and disciplinary conditions shaping operational work are often overlooked, reducing competence to technological proficiency alone.</w:t>
      </w:r>
    </w:p>
    <w:p w14:paraId="2700F4C9" w14:textId="62A6EA8E" w:rsidR="00B2198B" w:rsidRPr="00B2198B" w:rsidRDefault="001E7147" w:rsidP="00977ECB">
      <w:pPr>
        <w:jc w:val="both"/>
        <w:rPr>
          <w:lang w:val="en-US"/>
        </w:rPr>
      </w:pPr>
      <w:r>
        <w:rPr>
          <w:lang w:val="en-US"/>
        </w:rPr>
        <w:t>Based</w:t>
      </w:r>
      <w:r w:rsidRPr="001E7147">
        <w:rPr>
          <w:lang w:val="en-US"/>
        </w:rPr>
        <w:t xml:space="preserve"> on a socio-material perspective (Orlikowski, 2007), we argue that the adoption of digital platforms in facilities management must be understood through the constitutive entanglement of technological systems and organizational</w:t>
      </w:r>
      <w:r>
        <w:rPr>
          <w:lang w:val="en-US"/>
        </w:rPr>
        <w:t>/human</w:t>
      </w:r>
      <w:r w:rsidRPr="001E7147">
        <w:rPr>
          <w:lang w:val="en-US"/>
        </w:rPr>
        <w:t xml:space="preserve"> practices.</w:t>
      </w:r>
      <w:r w:rsidR="00B2198B" w:rsidRPr="00B2198B">
        <w:rPr>
          <w:lang w:val="en-US"/>
        </w:rPr>
        <w:t xml:space="preserve"> The techno</w:t>
      </w:r>
      <w:r w:rsidR="00B2198B" w:rsidRPr="00B2198B">
        <w:rPr>
          <w:lang w:val="en-US"/>
        </w:rPr>
        <w:noBreakHyphen/>
        <w:t>centric view assumes technology is exogenous, stable, predictable, and performs as intended across contexts, thereby overlooking cultural and historical influences. Conversely, the human</w:t>
      </w:r>
      <w:r w:rsidR="00B2198B" w:rsidRPr="00B2198B">
        <w:rPr>
          <w:lang w:val="en-US"/>
        </w:rPr>
        <w:noBreakHyphen/>
        <w:t xml:space="preserve">centric view emphasizes how people interpret and interact with technology, but risks making technology itself invisible by placing the </w:t>
      </w:r>
      <w:proofErr w:type="gramStart"/>
      <w:r w:rsidR="00B2198B" w:rsidRPr="00B2198B">
        <w:rPr>
          <w:lang w:val="en-US"/>
        </w:rPr>
        <w:t>social</w:t>
      </w:r>
      <w:proofErr w:type="gramEnd"/>
      <w:r w:rsidR="00B2198B" w:rsidRPr="00B2198B">
        <w:rPr>
          <w:lang w:val="en-US"/>
        </w:rPr>
        <w:t xml:space="preserve"> entirely at the forefront. At present, technology is foregrounded, and facilities management is backgrounded, with the expectation that practitioners must adapt to technological affordances rather than shaping them. This tilts the balance toward the techno</w:t>
      </w:r>
      <w:r w:rsidR="00B2198B" w:rsidRPr="00B2198B">
        <w:rPr>
          <w:lang w:val="en-US"/>
        </w:rPr>
        <w:noBreakHyphen/>
        <w:t>centric at the expense of understanding how practices shape both the social and material possibilities of everyday organizing (Orlikowski, 2007). People ascribe agency to technologies—machines, tools, formulas—when working to understand how these perform within their own contexts (Leonardi, 2013). Technology does not determine practice. Rather, the implementation of technologies in new organizational settings offers opportunities for practitioners to re-evaluate and reimagine existing work structures</w:t>
      </w:r>
      <w:r>
        <w:rPr>
          <w:lang w:val="en-US"/>
        </w:rPr>
        <w:t>.</w:t>
      </w:r>
    </w:p>
    <w:p w14:paraId="51F34873" w14:textId="27598084" w:rsidR="00EC07B0" w:rsidRPr="00EC07B0" w:rsidRDefault="001E7147" w:rsidP="00977ECB">
      <w:pPr>
        <w:jc w:val="both"/>
        <w:rPr>
          <w:lang w:val="en-US"/>
        </w:rPr>
      </w:pPr>
      <w:r w:rsidRPr="001E7147">
        <w:rPr>
          <w:lang w:val="en-US"/>
        </w:rPr>
        <w:t xml:space="preserve">Learning systems can be difficult for professionals and building users to understand, both because of how these technologies interpret situations and </w:t>
      </w:r>
      <w:proofErr w:type="spellStart"/>
      <w:r w:rsidRPr="001E7147">
        <w:rPr>
          <w:lang w:val="en-US"/>
        </w:rPr>
        <w:t>behaviour</w:t>
      </w:r>
      <w:proofErr w:type="spellEnd"/>
      <w:r w:rsidRPr="001E7147">
        <w:rPr>
          <w:lang w:val="en-US"/>
        </w:rPr>
        <w:t xml:space="preserve"> and because their algorithmic decision-making processes often remain opaque</w:t>
      </w:r>
      <w:r>
        <w:rPr>
          <w:lang w:val="en-US"/>
        </w:rPr>
        <w:t xml:space="preserve"> </w:t>
      </w:r>
      <w:r w:rsidRPr="00B2198B">
        <w:rPr>
          <w:lang w:val="en-US"/>
        </w:rPr>
        <w:t xml:space="preserve">(Kellogg et al., 2020). </w:t>
      </w:r>
      <w:r w:rsidR="00B2198B" w:rsidRPr="00B2198B">
        <w:rPr>
          <w:lang w:val="en-US"/>
        </w:rPr>
        <w:t>Technology can threaten professional identities and established procedures, contradicting dominant discourses that portray ICT as inherently enabling faster, more creative, and more satisfying work (Eriksson</w:t>
      </w:r>
      <w:r w:rsidR="00B2198B" w:rsidRPr="00B2198B">
        <w:rPr>
          <w:lang w:val="en-US"/>
        </w:rPr>
        <w:noBreakHyphen/>
        <w:t>Zetterquist</w:t>
      </w:r>
      <w:r w:rsidR="00F814B7">
        <w:rPr>
          <w:lang w:val="en-US"/>
        </w:rPr>
        <w:t xml:space="preserve"> </w:t>
      </w:r>
      <w:r w:rsidR="00F814B7" w:rsidRPr="00F814B7">
        <w:rPr>
          <w:i/>
          <w:iCs/>
          <w:lang w:val="en-US"/>
        </w:rPr>
        <w:t>et al</w:t>
      </w:r>
      <w:r w:rsidR="00B2198B" w:rsidRPr="00B2198B">
        <w:rPr>
          <w:lang w:val="en-US"/>
        </w:rPr>
        <w:t>, 2009). Learning rhythms cannot be forced; they are shaped by the temporalities of social, organizational, and work-life contexts (Le</w:t>
      </w:r>
      <w:r w:rsidR="00A95697">
        <w:rPr>
          <w:lang w:val="en-US"/>
        </w:rPr>
        <w:t>r</w:t>
      </w:r>
      <w:r w:rsidR="00B2198B" w:rsidRPr="00B2198B">
        <w:rPr>
          <w:lang w:val="en-US"/>
        </w:rPr>
        <w:t>vik et al., 2010). Understanding how technology can be meaningfully applied helps establish these rhythms. Problem setting becomes key</w:t>
      </w:r>
      <w:r w:rsidR="00AC5111">
        <w:rPr>
          <w:lang w:val="en-US"/>
        </w:rPr>
        <w:t>. This is done</w:t>
      </w:r>
      <w:r w:rsidR="00B2198B" w:rsidRPr="00B2198B">
        <w:rPr>
          <w:lang w:val="en-US"/>
        </w:rPr>
        <w:t xml:space="preserve"> by identifying the ‘things’ that matter in a situation, defin</w:t>
      </w:r>
      <w:r w:rsidR="00813114">
        <w:rPr>
          <w:lang w:val="en-US"/>
        </w:rPr>
        <w:t>ing</w:t>
      </w:r>
      <w:r w:rsidR="00B2198B" w:rsidRPr="00B2198B">
        <w:rPr>
          <w:lang w:val="en-US"/>
        </w:rPr>
        <w:t xml:space="preserve"> boundaries </w:t>
      </w:r>
      <w:r w:rsidR="00B2198B" w:rsidRPr="00B2198B">
        <w:rPr>
          <w:lang w:val="en-US"/>
        </w:rPr>
        <w:lastRenderedPageBreak/>
        <w:t>of attention and develop</w:t>
      </w:r>
      <w:r w:rsidR="00813114">
        <w:rPr>
          <w:lang w:val="en-US"/>
        </w:rPr>
        <w:t>ing</w:t>
      </w:r>
      <w:r w:rsidR="00B2198B" w:rsidRPr="00B2198B">
        <w:rPr>
          <w:lang w:val="en-US"/>
        </w:rPr>
        <w:t xml:space="preserve"> a coherent sense of what needs to change. This process enables sensemaking—constructing, filtering, framing, and rendering the subjective into something tangible (Weick, 1995).</w:t>
      </w:r>
      <w:r w:rsidR="00813114">
        <w:rPr>
          <w:lang w:val="en-US"/>
        </w:rPr>
        <w:t xml:space="preserve"> </w:t>
      </w:r>
      <w:r w:rsidR="00EC07B0" w:rsidRPr="00EC07B0">
        <w:rPr>
          <w:lang w:val="en-US"/>
        </w:rPr>
        <w:t>Th</w:t>
      </w:r>
      <w:r w:rsidR="00A964FB">
        <w:rPr>
          <w:lang w:val="en-US"/>
        </w:rPr>
        <w:t>e</w:t>
      </w:r>
      <w:r w:rsidR="00EC07B0" w:rsidRPr="00EC07B0">
        <w:rPr>
          <w:lang w:val="en-US"/>
        </w:rPr>
        <w:t xml:space="preserve"> study addresses </w:t>
      </w:r>
      <w:r w:rsidR="00A964FB">
        <w:rPr>
          <w:lang w:val="en-US"/>
        </w:rPr>
        <w:t>how</w:t>
      </w:r>
      <w:r w:rsidR="00EC07B0" w:rsidRPr="00EC07B0">
        <w:rPr>
          <w:lang w:val="en-US"/>
        </w:rPr>
        <w:t xml:space="preserve"> technology is often framed as inherently enabling</w:t>
      </w:r>
      <w:r w:rsidR="00A964FB">
        <w:rPr>
          <w:lang w:val="en-US"/>
        </w:rPr>
        <w:t xml:space="preserve"> which is</w:t>
      </w:r>
      <w:r w:rsidR="00EC07B0" w:rsidRPr="00EC07B0">
        <w:rPr>
          <w:lang w:val="en-US"/>
        </w:rPr>
        <w:t xml:space="preserve"> independent of organizational contexts</w:t>
      </w:r>
      <w:r w:rsidR="00A964FB">
        <w:rPr>
          <w:lang w:val="en-US"/>
        </w:rPr>
        <w:t>. This framing</w:t>
      </w:r>
      <w:r w:rsidR="00EC07B0" w:rsidRPr="00EC07B0">
        <w:rPr>
          <w:lang w:val="en-US"/>
        </w:rPr>
        <w:t xml:space="preserve"> constrains competency development and undermines effective technology adoption in </w:t>
      </w:r>
      <w:r w:rsidR="00EC07B0">
        <w:rPr>
          <w:lang w:val="en-US"/>
        </w:rPr>
        <w:t>facilities management</w:t>
      </w:r>
      <w:r w:rsidR="00EC07B0" w:rsidRPr="00EC07B0">
        <w:rPr>
          <w:lang w:val="en-US"/>
        </w:rPr>
        <w:t>.</w:t>
      </w:r>
    </w:p>
    <w:p w14:paraId="6F8B1E8D" w14:textId="77777777" w:rsidR="00AE0A10" w:rsidRPr="00AE0A10" w:rsidRDefault="00AE0A10" w:rsidP="00244775">
      <w:pPr>
        <w:pStyle w:val="Heading3"/>
        <w:rPr>
          <w:lang w:val="en-US"/>
        </w:rPr>
      </w:pPr>
      <w:r w:rsidRPr="00AE0A10">
        <w:rPr>
          <w:lang w:val="en-US"/>
        </w:rPr>
        <w:t>Methodology</w:t>
      </w:r>
    </w:p>
    <w:p w14:paraId="471FFB10" w14:textId="77777777" w:rsidR="00AE0A10" w:rsidRPr="00AE0A10" w:rsidRDefault="00AE0A10" w:rsidP="00977ECB">
      <w:pPr>
        <w:jc w:val="both"/>
        <w:rPr>
          <w:lang w:val="en-US"/>
        </w:rPr>
      </w:pPr>
      <w:r w:rsidRPr="00AE0A10">
        <w:rPr>
          <w:lang w:val="en-US"/>
        </w:rPr>
        <w:t>This study adopts a socio-material approach to examine the constitutive entanglement between techno</w:t>
      </w:r>
      <w:r w:rsidRPr="00AE0A10">
        <w:rPr>
          <w:lang w:val="en-US"/>
        </w:rPr>
        <w:noBreakHyphen/>
        <w:t>centric and human</w:t>
      </w:r>
      <w:r w:rsidRPr="00AE0A10">
        <w:rPr>
          <w:lang w:val="en-US"/>
        </w:rPr>
        <w:noBreakHyphen/>
        <w:t xml:space="preserve">centric perspectives during the implementation of a technology platform. The work forms part of the knowledge competence project </w:t>
      </w:r>
      <w:r w:rsidRPr="00AE0A10">
        <w:rPr>
          <w:i/>
          <w:iCs/>
          <w:lang w:val="en-US"/>
        </w:rPr>
        <w:t>Bridging the Gap</w:t>
      </w:r>
      <w:r w:rsidRPr="00AE0A10">
        <w:rPr>
          <w:lang w:val="en-US"/>
        </w:rPr>
        <w:t>, which is carried out in close collaboration with industry partners. These partners seek to enhance their collaborative capabilities and develop a shared understanding of how to deliver digital twins for future building operations.</w:t>
      </w:r>
    </w:p>
    <w:p w14:paraId="30EF67C2" w14:textId="19EB0127" w:rsidR="00AE0A10" w:rsidRPr="00AE0A10" w:rsidRDefault="00AE0A10" w:rsidP="00977ECB">
      <w:pPr>
        <w:jc w:val="both"/>
        <w:rPr>
          <w:lang w:val="en-US"/>
        </w:rPr>
      </w:pPr>
      <w:r w:rsidRPr="00AE0A10">
        <w:rPr>
          <w:lang w:val="en-US"/>
        </w:rPr>
        <w:t xml:space="preserve">The empirical setting is the </w:t>
      </w:r>
      <w:proofErr w:type="spellStart"/>
      <w:r w:rsidRPr="00AE0A10">
        <w:rPr>
          <w:lang w:val="en-US"/>
        </w:rPr>
        <w:t>Teknostallen</w:t>
      </w:r>
      <w:proofErr w:type="spellEnd"/>
      <w:r w:rsidRPr="00AE0A10">
        <w:rPr>
          <w:lang w:val="en-US"/>
        </w:rPr>
        <w:t xml:space="preserve"> transformation project, a 48,000 m² redevelopment involving the renovation and extension of a former tram </w:t>
      </w:r>
      <w:r w:rsidR="00A46A7A">
        <w:rPr>
          <w:lang w:val="en-US"/>
        </w:rPr>
        <w:t>station</w:t>
      </w:r>
      <w:r w:rsidRPr="00AE0A10">
        <w:rPr>
          <w:lang w:val="en-US"/>
        </w:rPr>
        <w:t>. In March 2023,</w:t>
      </w:r>
      <w:r w:rsidR="0074615B">
        <w:rPr>
          <w:lang w:val="en-US"/>
        </w:rPr>
        <w:t xml:space="preserve"> </w:t>
      </w:r>
      <w:proofErr w:type="spellStart"/>
      <w:r w:rsidR="0074615B">
        <w:rPr>
          <w:lang w:val="en-US"/>
        </w:rPr>
        <w:t>Teknostallen</w:t>
      </w:r>
      <w:proofErr w:type="spellEnd"/>
      <w:r w:rsidR="0074615B">
        <w:rPr>
          <w:lang w:val="en-US"/>
        </w:rPr>
        <w:t xml:space="preserve"> was </w:t>
      </w:r>
      <w:proofErr w:type="gramStart"/>
      <w:r w:rsidR="0074615B">
        <w:rPr>
          <w:lang w:val="en-US"/>
        </w:rPr>
        <w:t>half way</w:t>
      </w:r>
      <w:proofErr w:type="gramEnd"/>
      <w:r w:rsidR="0074615B">
        <w:rPr>
          <w:lang w:val="en-US"/>
        </w:rPr>
        <w:t xml:space="preserve"> through </w:t>
      </w:r>
      <w:r w:rsidR="009D1253">
        <w:rPr>
          <w:lang w:val="en-US"/>
        </w:rPr>
        <w:t xml:space="preserve">the construction phase. </w:t>
      </w:r>
      <w:proofErr w:type="gramStart"/>
      <w:r w:rsidR="009D1253">
        <w:rPr>
          <w:lang w:val="en-US"/>
        </w:rPr>
        <w:t>It is at</w:t>
      </w:r>
      <w:proofErr w:type="gramEnd"/>
      <w:r w:rsidR="009D1253">
        <w:rPr>
          <w:lang w:val="en-US"/>
        </w:rPr>
        <w:t xml:space="preserve"> this point, a workshop with</w:t>
      </w:r>
      <w:r w:rsidRPr="00AE0A10">
        <w:rPr>
          <w:lang w:val="en-US"/>
        </w:rPr>
        <w:t xml:space="preserve"> the building owner and engineering consultants met with the </w:t>
      </w:r>
      <w:r w:rsidRPr="00AE0A10">
        <w:rPr>
          <w:i/>
          <w:iCs/>
          <w:lang w:val="en-US"/>
        </w:rPr>
        <w:t>Bridging the Gap</w:t>
      </w:r>
      <w:r w:rsidRPr="00AE0A10">
        <w:rPr>
          <w:lang w:val="en-US"/>
        </w:rPr>
        <w:t xml:space="preserve"> research team to explore the data requirements necessary to support a digital twin for facility management. The central question guiding this session was: What data is required to enable the use of digital twins in facility management?</w:t>
      </w:r>
    </w:p>
    <w:p w14:paraId="6B6C5A3C" w14:textId="77777777" w:rsidR="00AE0A10" w:rsidRPr="00AE0A10" w:rsidRDefault="00AE0A10" w:rsidP="00977ECB">
      <w:pPr>
        <w:jc w:val="both"/>
        <w:rPr>
          <w:lang w:val="en-US"/>
        </w:rPr>
      </w:pPr>
      <w:r w:rsidRPr="00AE0A10">
        <w:rPr>
          <w:lang w:val="en-US"/>
        </w:rPr>
        <w:t>Ten participants took part in a three</w:t>
      </w:r>
      <w:r w:rsidRPr="00AE0A10">
        <w:rPr>
          <w:lang w:val="en-US"/>
        </w:rPr>
        <w:noBreakHyphen/>
        <w:t>hour workshop. The session began with a presentation outlining the relationship between techno</w:t>
      </w:r>
      <w:r w:rsidRPr="00AE0A10">
        <w:rPr>
          <w:lang w:val="en-US"/>
        </w:rPr>
        <w:noBreakHyphen/>
        <w:t xml:space="preserve">centric expectations of digital twins and their potential application within the specific context of </w:t>
      </w:r>
      <w:proofErr w:type="spellStart"/>
      <w:r w:rsidRPr="00AE0A10">
        <w:rPr>
          <w:lang w:val="en-US"/>
        </w:rPr>
        <w:t>Teknostallen</w:t>
      </w:r>
      <w:proofErr w:type="spellEnd"/>
      <w:r w:rsidRPr="00AE0A10">
        <w:rPr>
          <w:lang w:val="en-US"/>
        </w:rPr>
        <w:t>. Facilitators then guided two groups through discussions on (1) the initial steps needed to develop robust data processes and (2) how data influences facility management tasks and activities. Group discussions and diagram</w:t>
      </w:r>
      <w:r w:rsidRPr="00AE0A10">
        <w:rPr>
          <w:lang w:val="en-US"/>
        </w:rPr>
        <w:noBreakHyphen/>
        <w:t>based illustrations were used to capture and articulate participants' perspectives.</w:t>
      </w:r>
    </w:p>
    <w:p w14:paraId="57E84FF6" w14:textId="2E7E04D2" w:rsidR="00AE0A10" w:rsidRPr="00AE0A10" w:rsidRDefault="00AE0A10" w:rsidP="00977ECB">
      <w:pPr>
        <w:jc w:val="both"/>
        <w:rPr>
          <w:lang w:val="en-US"/>
        </w:rPr>
      </w:pPr>
      <w:r w:rsidRPr="00AE0A10">
        <w:rPr>
          <w:lang w:val="en-US"/>
        </w:rPr>
        <w:t>The analysis is informed by socio-material perspectives, drawing particularly on Leonardi (2013) and Le</w:t>
      </w:r>
      <w:r w:rsidR="00A95697">
        <w:rPr>
          <w:lang w:val="en-US"/>
        </w:rPr>
        <w:t>r</w:t>
      </w:r>
      <w:r w:rsidRPr="00AE0A10">
        <w:rPr>
          <w:lang w:val="en-US"/>
        </w:rPr>
        <w:t>vik et al. (2010). Leonardi’s framework—emphasi</w:t>
      </w:r>
      <w:r w:rsidR="001E350B">
        <w:rPr>
          <w:lang w:val="en-US"/>
        </w:rPr>
        <w:t>z</w:t>
      </w:r>
      <w:r w:rsidRPr="00AE0A10">
        <w:rPr>
          <w:lang w:val="en-US"/>
        </w:rPr>
        <w:t xml:space="preserve">ing </w:t>
      </w:r>
      <w:r w:rsidRPr="00AE0A10">
        <w:rPr>
          <w:i/>
          <w:iCs/>
          <w:lang w:val="en-US"/>
        </w:rPr>
        <w:t>action</w:t>
      </w:r>
      <w:r w:rsidRPr="00AE0A10">
        <w:rPr>
          <w:lang w:val="en-US"/>
        </w:rPr>
        <w:t xml:space="preserve"> (technology use), </w:t>
      </w:r>
      <w:r w:rsidRPr="00AE0A10">
        <w:rPr>
          <w:i/>
          <w:iCs/>
          <w:lang w:val="en-US"/>
        </w:rPr>
        <w:t>structure</w:t>
      </w:r>
      <w:r w:rsidRPr="00AE0A10">
        <w:rPr>
          <w:lang w:val="en-US"/>
        </w:rPr>
        <w:t xml:space="preserve"> (technology</w:t>
      </w:r>
      <w:r w:rsidRPr="00AE0A10">
        <w:rPr>
          <w:lang w:val="en-US"/>
        </w:rPr>
        <w:noBreakHyphen/>
        <w:t>in</w:t>
      </w:r>
      <w:r w:rsidRPr="00AE0A10">
        <w:rPr>
          <w:lang w:val="en-US"/>
        </w:rPr>
        <w:noBreakHyphen/>
        <w:t xml:space="preserve">practice), and </w:t>
      </w:r>
      <w:r w:rsidRPr="00AE0A10">
        <w:rPr>
          <w:i/>
          <w:iCs/>
          <w:lang w:val="en-US"/>
        </w:rPr>
        <w:t>modality</w:t>
      </w:r>
      <w:r w:rsidRPr="00AE0A10">
        <w:rPr>
          <w:lang w:val="en-US"/>
        </w:rPr>
        <w:t xml:space="preserve"> (interpretation)—positions these elements as fundamentally social. In this study, participants do not create the technology itself but confer agency onto it through attempts to apply it within their organi</w:t>
      </w:r>
      <w:r w:rsidR="001E350B">
        <w:rPr>
          <w:lang w:val="en-US"/>
        </w:rPr>
        <w:t>z</w:t>
      </w:r>
      <w:r w:rsidRPr="00AE0A10">
        <w:rPr>
          <w:lang w:val="en-US"/>
        </w:rPr>
        <w:t>ational contexts.</w:t>
      </w:r>
      <w:r w:rsidR="008A5FAD">
        <w:rPr>
          <w:lang w:val="en-US"/>
        </w:rPr>
        <w:t xml:space="preserve"> </w:t>
      </w:r>
      <w:r w:rsidRPr="00AE0A10">
        <w:rPr>
          <w:lang w:val="en-US"/>
        </w:rPr>
        <w:t>Le</w:t>
      </w:r>
      <w:r w:rsidR="00A95697">
        <w:rPr>
          <w:lang w:val="en-US"/>
        </w:rPr>
        <w:t>r</w:t>
      </w:r>
      <w:r w:rsidRPr="00AE0A10">
        <w:rPr>
          <w:lang w:val="en-US"/>
        </w:rPr>
        <w:t>vik et al. (2010)</w:t>
      </w:r>
      <w:r w:rsidR="008A5FAD">
        <w:rPr>
          <w:lang w:val="en-US"/>
        </w:rPr>
        <w:t xml:space="preserve"> work aid in</w:t>
      </w:r>
      <w:r w:rsidRPr="00AE0A10">
        <w:rPr>
          <w:lang w:val="en-US"/>
        </w:rPr>
        <w:t xml:space="preserve"> conceptuali</w:t>
      </w:r>
      <w:r w:rsidR="008A5FAD">
        <w:rPr>
          <w:lang w:val="en-US"/>
        </w:rPr>
        <w:t xml:space="preserve">zing the contexts into </w:t>
      </w:r>
      <w:r w:rsidRPr="00AE0A10">
        <w:rPr>
          <w:lang w:val="en-US"/>
        </w:rPr>
        <w:t>situated learning through:</w:t>
      </w:r>
    </w:p>
    <w:p w14:paraId="0650681D" w14:textId="77777777" w:rsidR="00AE0A10" w:rsidRPr="00AE0A10" w:rsidRDefault="00AE0A10" w:rsidP="00977ECB">
      <w:pPr>
        <w:numPr>
          <w:ilvl w:val="0"/>
          <w:numId w:val="2"/>
        </w:numPr>
        <w:jc w:val="both"/>
        <w:rPr>
          <w:lang w:val="en-US"/>
        </w:rPr>
      </w:pPr>
      <w:r w:rsidRPr="00AE0A10">
        <w:rPr>
          <w:lang w:val="en-US"/>
        </w:rPr>
        <w:t>a complex web of social relations and material resources, and</w:t>
      </w:r>
    </w:p>
    <w:p w14:paraId="0BD9A55C" w14:textId="77777777" w:rsidR="007A3F98" w:rsidRDefault="00AE0A10" w:rsidP="00977ECB">
      <w:pPr>
        <w:numPr>
          <w:ilvl w:val="0"/>
          <w:numId w:val="2"/>
        </w:numPr>
        <w:jc w:val="both"/>
        <w:rPr>
          <w:lang w:val="en-US"/>
        </w:rPr>
      </w:pPr>
      <w:r w:rsidRPr="00AE0A10">
        <w:rPr>
          <w:lang w:val="en-US"/>
        </w:rPr>
        <w:t xml:space="preserve">work activity </w:t>
      </w:r>
      <w:proofErr w:type="gramStart"/>
      <w:r w:rsidRPr="00AE0A10">
        <w:rPr>
          <w:lang w:val="en-US"/>
        </w:rPr>
        <w:t>shaped</w:t>
      </w:r>
      <w:proofErr w:type="gramEnd"/>
      <w:r w:rsidRPr="00AE0A10">
        <w:rPr>
          <w:lang w:val="en-US"/>
        </w:rPr>
        <w:t xml:space="preserve"> by external temporal structures such as technological rhythms, customer requirements, and workplace norms and regulations.</w:t>
      </w:r>
    </w:p>
    <w:p w14:paraId="2EB88087" w14:textId="6BC7A8E6" w:rsidR="007A3F98" w:rsidRDefault="007A3F98" w:rsidP="007A3F98">
      <w:pPr>
        <w:jc w:val="both"/>
        <w:rPr>
          <w:lang w:val="en-US"/>
        </w:rPr>
      </w:pPr>
      <w:r w:rsidRPr="007A3F98">
        <w:rPr>
          <w:lang w:val="en-US"/>
        </w:rPr>
        <w:t xml:space="preserve">The analysis draws on </w:t>
      </w:r>
      <w:r w:rsidR="006E3002">
        <w:rPr>
          <w:lang w:val="en-US"/>
        </w:rPr>
        <w:t>2</w:t>
      </w:r>
      <w:r w:rsidRPr="007A3F98">
        <w:rPr>
          <w:lang w:val="en-US"/>
        </w:rPr>
        <w:t>0 pages of transcribed data</w:t>
      </w:r>
      <w:r>
        <w:rPr>
          <w:lang w:val="en-US"/>
        </w:rPr>
        <w:t xml:space="preserve"> + 10 pages of notes</w:t>
      </w:r>
      <w:r w:rsidR="006E3002">
        <w:rPr>
          <w:lang w:val="en-US"/>
        </w:rPr>
        <w:t>. One of the recorders failed to work so there was a reliance on notes from three researchers</w:t>
      </w:r>
      <w:r>
        <w:rPr>
          <w:lang w:val="en-US"/>
        </w:rPr>
        <w:t xml:space="preserve">. The </w:t>
      </w:r>
      <w:r w:rsidR="00931FAC">
        <w:rPr>
          <w:lang w:val="en-US"/>
        </w:rPr>
        <w:t>analysis is based on</w:t>
      </w:r>
      <w:r w:rsidRPr="007A3F98">
        <w:rPr>
          <w:lang w:val="en-US"/>
        </w:rPr>
        <w:t xml:space="preserve"> two </w:t>
      </w:r>
      <w:r>
        <w:rPr>
          <w:lang w:val="en-US"/>
        </w:rPr>
        <w:t xml:space="preserve">different groups of 5 in the </w:t>
      </w:r>
      <w:r w:rsidRPr="007A3F98">
        <w:rPr>
          <w:lang w:val="en-US"/>
        </w:rPr>
        <w:t>workshop. An open coding approach was first applied, after which codes were organi</w:t>
      </w:r>
      <w:r w:rsidR="006E3002">
        <w:rPr>
          <w:lang w:val="en-US"/>
        </w:rPr>
        <w:t>z</w:t>
      </w:r>
      <w:r w:rsidRPr="007A3F98">
        <w:rPr>
          <w:lang w:val="en-US"/>
        </w:rPr>
        <w:t>ed according to the analytical framework of social relations, material resources, work activity, and temporal structure. These codes were subsequently developed into a matrix positioning the facilities management organi</w:t>
      </w:r>
      <w:r w:rsidR="006E3002">
        <w:rPr>
          <w:lang w:val="en-US"/>
        </w:rPr>
        <w:t>z</w:t>
      </w:r>
      <w:r w:rsidRPr="007A3F98">
        <w:rPr>
          <w:lang w:val="en-US"/>
        </w:rPr>
        <w:t>ation across strategic, tactical, and operational levels. Data summaries were then generated based on this framework and matrix.</w:t>
      </w:r>
    </w:p>
    <w:p w14:paraId="6C3A9A64" w14:textId="144ED11A" w:rsidR="00E97363" w:rsidRPr="007A3F98" w:rsidRDefault="00CF2ED8" w:rsidP="007A3F98">
      <w:pPr>
        <w:pStyle w:val="Heading3"/>
        <w:rPr>
          <w:lang w:val="en-US"/>
        </w:rPr>
      </w:pPr>
      <w:r w:rsidRPr="007A3F98">
        <w:rPr>
          <w:lang w:val="en-US"/>
        </w:rPr>
        <w:lastRenderedPageBreak/>
        <w:t xml:space="preserve">Key </w:t>
      </w:r>
      <w:r w:rsidR="00E97363" w:rsidRPr="007A3F98">
        <w:rPr>
          <w:lang w:val="en-US"/>
        </w:rPr>
        <w:t>Finding</w:t>
      </w:r>
      <w:r w:rsidR="00334287" w:rsidRPr="007A3F98">
        <w:rPr>
          <w:lang w:val="en-US"/>
        </w:rPr>
        <w:t xml:space="preserve"> and Implications </w:t>
      </w:r>
    </w:p>
    <w:p w14:paraId="69338B7A" w14:textId="27CE2708" w:rsidR="00EC775E" w:rsidRPr="00BC26EB" w:rsidRDefault="00EC775E" w:rsidP="00EC775E">
      <w:pPr>
        <w:pStyle w:val="Heading4"/>
        <w:rPr>
          <w:lang w:val="en-US"/>
        </w:rPr>
      </w:pPr>
      <w:r>
        <w:rPr>
          <w:lang w:val="en-US"/>
        </w:rPr>
        <w:t xml:space="preserve">Delivery of digital </w:t>
      </w:r>
      <w:proofErr w:type="gramStart"/>
      <w:r>
        <w:rPr>
          <w:lang w:val="en-US"/>
        </w:rPr>
        <w:t>platform</w:t>
      </w:r>
      <w:proofErr w:type="gramEnd"/>
      <w:r>
        <w:rPr>
          <w:lang w:val="en-US"/>
        </w:rPr>
        <w:t xml:space="preserve"> for </w:t>
      </w:r>
      <w:r w:rsidRPr="00BC26EB">
        <w:rPr>
          <w:lang w:val="en-US"/>
        </w:rPr>
        <w:t>FM do</w:t>
      </w:r>
      <w:r>
        <w:rPr>
          <w:lang w:val="en-US"/>
        </w:rPr>
        <w:t>es</w:t>
      </w:r>
      <w:r w:rsidRPr="00BC26EB">
        <w:rPr>
          <w:lang w:val="en-US"/>
        </w:rPr>
        <w:t xml:space="preserve">n’t start with data; </w:t>
      </w:r>
      <w:r>
        <w:rPr>
          <w:lang w:val="en-US"/>
        </w:rPr>
        <w:t xml:space="preserve">it </w:t>
      </w:r>
      <w:r w:rsidRPr="00BC26EB">
        <w:rPr>
          <w:lang w:val="en-US"/>
        </w:rPr>
        <w:t>start</w:t>
      </w:r>
      <w:r w:rsidR="00D9445E">
        <w:rPr>
          <w:lang w:val="en-US"/>
        </w:rPr>
        <w:t>s</w:t>
      </w:r>
      <w:r w:rsidRPr="00BC26EB">
        <w:rPr>
          <w:lang w:val="en-US"/>
        </w:rPr>
        <w:t xml:space="preserve"> with situated work practices embedded in social relations and material resources.</w:t>
      </w:r>
    </w:p>
    <w:p w14:paraId="2B64199D" w14:textId="78CB148A" w:rsidR="00A474CB" w:rsidRPr="005809AE" w:rsidRDefault="00045CBB" w:rsidP="00A474CB">
      <w:pPr>
        <w:jc w:val="both"/>
        <w:rPr>
          <w:lang w:val="en-US" w:eastAsia="nb-NO"/>
        </w:rPr>
      </w:pPr>
      <w:r>
        <w:rPr>
          <w:lang w:val="en-US" w:eastAsia="nb-NO"/>
        </w:rPr>
        <w:t xml:space="preserve">Participants of the </w:t>
      </w:r>
      <w:r w:rsidR="00A474CB" w:rsidRPr="005809AE">
        <w:rPr>
          <w:lang w:val="en-US" w:eastAsia="nb-NO"/>
        </w:rPr>
        <w:t xml:space="preserve">workshop did not begin by thinking about data </w:t>
      </w:r>
      <w:proofErr w:type="gramStart"/>
      <w:r w:rsidR="00A474CB" w:rsidRPr="005809AE">
        <w:rPr>
          <w:lang w:val="en-US" w:eastAsia="nb-NO"/>
        </w:rPr>
        <w:t>itself, but</w:t>
      </w:r>
      <w:proofErr w:type="gramEnd"/>
      <w:r w:rsidR="00A474CB" w:rsidRPr="005809AE">
        <w:rPr>
          <w:lang w:val="en-US" w:eastAsia="nb-NO"/>
        </w:rPr>
        <w:t xml:space="preserve"> instead grounded their discussions in everyday situations where data is applied in facilities management practice. A key example concerned service delivery—central to FM work—where participants were interested in how digital twins might alter or enhance current delivery processes. Hard services (e.g., HVAC) were viewed as already well integrated into digital twin models because of their sensor-driven, quantitative nature. In contrast, soft services (e.g., cleaning, room booking, comfort management) are dependent on interrelated and contextual data, such as occupancy patterns from booking systems or user-generated environmental feedback. The complexity of these services suggests that digital twins must evolve to handle non-linear, qualitative, and user-driven forms of data, representing a significant shift in FM work practices.</w:t>
      </w:r>
    </w:p>
    <w:p w14:paraId="3A377068" w14:textId="61ECCD95" w:rsidR="00A474CB" w:rsidRDefault="00A474CB" w:rsidP="00A474CB">
      <w:pPr>
        <w:jc w:val="both"/>
        <w:rPr>
          <w:lang w:val="en-US" w:eastAsia="nb-NO"/>
        </w:rPr>
      </w:pPr>
      <w:r w:rsidRPr="005809AE">
        <w:rPr>
          <w:lang w:val="en-US" w:eastAsia="nb-NO"/>
        </w:rPr>
        <w:t>When participants considered the digital twin as a “living building,” the interplay between technological possibilities and social realities became central. A living building implies greater autonomy, yet such autonomy must still comply with the organizational procedures, controls, and responsibilities of the demand organization. Participants noted that increasing building autonomy would shift FM work from manual oversight toward system-guided management, requiring guidance and configurations based on user behavior and organi</w:t>
      </w:r>
      <w:r w:rsidR="00045CBB">
        <w:rPr>
          <w:lang w:val="en-US" w:eastAsia="nb-NO"/>
        </w:rPr>
        <w:t>z</w:t>
      </w:r>
      <w:r w:rsidRPr="005809AE">
        <w:rPr>
          <w:lang w:val="en-US" w:eastAsia="nb-NO"/>
        </w:rPr>
        <w:t>ational needs.</w:t>
      </w:r>
    </w:p>
    <w:p w14:paraId="7BE00D7C" w14:textId="77777777" w:rsidR="00A474CB" w:rsidRPr="005809AE" w:rsidRDefault="00A474CB" w:rsidP="00A474CB">
      <w:pPr>
        <w:pStyle w:val="Heading4"/>
        <w:rPr>
          <w:lang w:val="en-US" w:eastAsia="nb-NO"/>
        </w:rPr>
      </w:pPr>
      <w:r>
        <w:rPr>
          <w:lang w:val="en-US"/>
        </w:rPr>
        <w:t>Managing data systems within established w</w:t>
      </w:r>
      <w:r w:rsidRPr="00AE0A10">
        <w:rPr>
          <w:lang w:val="en-US"/>
        </w:rPr>
        <w:t>ork activit</w:t>
      </w:r>
      <w:r>
        <w:rPr>
          <w:lang w:val="en-US"/>
        </w:rPr>
        <w:t>ies</w:t>
      </w:r>
      <w:r w:rsidRPr="00AE0A10">
        <w:rPr>
          <w:lang w:val="en-US"/>
        </w:rPr>
        <w:t xml:space="preserve"> shaped by external temporal structures</w:t>
      </w:r>
      <w:r>
        <w:rPr>
          <w:lang w:val="en-US"/>
        </w:rPr>
        <w:t xml:space="preserve"> </w:t>
      </w:r>
      <w:proofErr w:type="gramStart"/>
      <w:r>
        <w:rPr>
          <w:lang w:val="en-US"/>
        </w:rPr>
        <w:t>and  internal</w:t>
      </w:r>
      <w:proofErr w:type="gramEnd"/>
      <w:r>
        <w:rPr>
          <w:lang w:val="en-US"/>
        </w:rPr>
        <w:t xml:space="preserve"> permanent structures</w:t>
      </w:r>
    </w:p>
    <w:p w14:paraId="5D7247BB" w14:textId="77777777" w:rsidR="00A474CB" w:rsidRPr="005809AE" w:rsidRDefault="00A474CB" w:rsidP="00A474CB">
      <w:pPr>
        <w:jc w:val="both"/>
        <w:rPr>
          <w:lang w:val="en-US" w:eastAsia="nb-NO"/>
        </w:rPr>
      </w:pPr>
      <w:r w:rsidRPr="005809AE">
        <w:rPr>
          <w:lang w:val="en-US" w:eastAsia="nb-NO"/>
        </w:rPr>
        <w:t xml:space="preserve">Misalignment between systems emerged as an important challenge, particularly in situations where spaces are both independently managed and interconnected with shared services. One example </w:t>
      </w:r>
      <w:proofErr w:type="gramStart"/>
      <w:r w:rsidRPr="005809AE">
        <w:rPr>
          <w:lang w:val="en-US" w:eastAsia="nb-NO"/>
        </w:rPr>
        <w:t>concerned</w:t>
      </w:r>
      <w:proofErr w:type="gramEnd"/>
      <w:r w:rsidRPr="005809AE">
        <w:rPr>
          <w:lang w:val="en-US" w:eastAsia="nb-NO"/>
        </w:rPr>
        <w:t xml:space="preserve"> security management: buildings must support openness for public areas while maintaining restricted access for designated zones. This dual requirement demands context-aware access control systems capable of distinguishing among users, spaces, and usage scenarios. Participants emphasized the need for strategic alignment between data systems and operational procedures, arguing that FM must develop data-driven processes that reflect and support user-centered building practices.</w:t>
      </w:r>
    </w:p>
    <w:p w14:paraId="0436AA2D" w14:textId="77777777" w:rsidR="00A474CB" w:rsidRPr="005809AE" w:rsidRDefault="00A474CB" w:rsidP="00A474CB">
      <w:pPr>
        <w:jc w:val="both"/>
        <w:rPr>
          <w:lang w:val="en-US" w:eastAsia="nb-NO"/>
        </w:rPr>
      </w:pPr>
      <w:r w:rsidRPr="005809AE">
        <w:rPr>
          <w:lang w:val="en-US" w:eastAsia="nb-NO"/>
        </w:rPr>
        <w:t>Competency development was identified as a critical area, requiring cross-disciplinary capabilities extending beyond technical skills to include social and organizational understanding. Participants highlighted that FM services delivered through digital twins rely on the twin’s ability to learn and adapt to the needs of the core organization. FM services are shaped by user expectations, provider capabilities, and cost considerations, often resulting in negotiated trade-offs between user demands and what the digital twin can practically deliver. These negotiations occur across strategic, tactical, and operational levels.</w:t>
      </w:r>
    </w:p>
    <w:p w14:paraId="402B40A3" w14:textId="77777777" w:rsidR="00A474CB" w:rsidRPr="005809AE" w:rsidRDefault="00A474CB" w:rsidP="00A474CB">
      <w:pPr>
        <w:jc w:val="both"/>
        <w:rPr>
          <w:lang w:val="en-US" w:eastAsia="nb-NO"/>
        </w:rPr>
      </w:pPr>
      <w:r w:rsidRPr="005809AE">
        <w:rPr>
          <w:lang w:val="en-US" w:eastAsia="nb-NO"/>
        </w:rPr>
        <w:t>Participants viewed ongoing digital twin development as enabling the simulation of service scenarios, quality assurance of data to support accurate decision-making, and the customization of models for specific tenant needs. Drawing on established FM practices to guide digital twin learning allows organizations to set parameters that make the system agile and responsive to their service needs. In this way, FM practices provide a foundation through which digital twins can evolve to support adaptive and context-aware service delivery.</w:t>
      </w:r>
    </w:p>
    <w:p w14:paraId="565B8135" w14:textId="77777777" w:rsidR="00A474CB" w:rsidRDefault="00A474CB" w:rsidP="00A474CB">
      <w:pPr>
        <w:pStyle w:val="Heading3"/>
        <w:rPr>
          <w:lang w:val="en-US"/>
        </w:rPr>
      </w:pPr>
      <w:r>
        <w:rPr>
          <w:lang w:val="en-US"/>
        </w:rPr>
        <w:lastRenderedPageBreak/>
        <w:t>Conclusion</w:t>
      </w:r>
    </w:p>
    <w:p w14:paraId="1BF8019C" w14:textId="2F96FC2A" w:rsidR="00F814B7" w:rsidRPr="00F814B7" w:rsidRDefault="00F814B7" w:rsidP="00F814B7">
      <w:pPr>
        <w:jc w:val="both"/>
        <w:rPr>
          <w:lang w:val="en-US" w:eastAsia="nb-NO"/>
        </w:rPr>
      </w:pPr>
      <w:r w:rsidRPr="00F814B7">
        <w:rPr>
          <w:lang w:val="en-US" w:eastAsia="nb-NO"/>
        </w:rPr>
        <w:t xml:space="preserve">Drawing on a socio-material perspective, </w:t>
      </w:r>
      <w:r w:rsidR="00045CBB">
        <w:rPr>
          <w:lang w:val="en-US" w:eastAsia="nb-NO"/>
        </w:rPr>
        <w:t xml:space="preserve">we </w:t>
      </w:r>
      <w:r w:rsidRPr="00F814B7">
        <w:rPr>
          <w:lang w:val="en-US" w:eastAsia="nb-NO"/>
        </w:rPr>
        <w:t>argue th</w:t>
      </w:r>
      <w:r w:rsidR="00045CBB">
        <w:rPr>
          <w:lang w:val="en-US" w:eastAsia="nb-NO"/>
        </w:rPr>
        <w:t>e</w:t>
      </w:r>
      <w:r w:rsidRPr="00F814B7">
        <w:rPr>
          <w:lang w:val="en-US" w:eastAsia="nb-NO"/>
        </w:rPr>
        <w:t xml:space="preserve"> integrati</w:t>
      </w:r>
      <w:r w:rsidR="00045CBB">
        <w:rPr>
          <w:lang w:val="en-US" w:eastAsia="nb-NO"/>
        </w:rPr>
        <w:t>o</w:t>
      </w:r>
      <w:r w:rsidRPr="00F814B7">
        <w:rPr>
          <w:lang w:val="en-US" w:eastAsia="nb-NO"/>
        </w:rPr>
        <w:t>n</w:t>
      </w:r>
      <w:r w:rsidR="00045CBB">
        <w:rPr>
          <w:lang w:val="en-US" w:eastAsia="nb-NO"/>
        </w:rPr>
        <w:t xml:space="preserve"> of</w:t>
      </w:r>
      <w:r w:rsidRPr="00F814B7">
        <w:rPr>
          <w:lang w:val="en-US" w:eastAsia="nb-NO"/>
        </w:rPr>
        <w:t xml:space="preserve"> new technologies into facilities management require</w:t>
      </w:r>
      <w:r w:rsidR="00045CBB">
        <w:rPr>
          <w:lang w:val="en-US" w:eastAsia="nb-NO"/>
        </w:rPr>
        <w:t>s</w:t>
      </w:r>
      <w:r w:rsidRPr="00F814B7">
        <w:rPr>
          <w:lang w:val="en-US" w:eastAsia="nb-NO"/>
        </w:rPr>
        <w:t xml:space="preserve"> recognizing the entanglement of digital systems and human work practices. </w:t>
      </w:r>
      <w:r w:rsidR="00045CBB">
        <w:rPr>
          <w:lang w:val="en-US" w:eastAsia="nb-NO"/>
        </w:rPr>
        <w:t xml:space="preserve">This recognition </w:t>
      </w:r>
      <w:r w:rsidRPr="00F814B7">
        <w:rPr>
          <w:lang w:val="en-US" w:eastAsia="nb-NO"/>
        </w:rPr>
        <w:t>takes a step back from reductive explanations of lifecycle platform adoption as merely a matter of insufficient engagement or limited technological competence, while acknowledging that these remain relevant concerns. Instead, the importance of examining such technologies within the situated context of facilities management practice rather than solely through a broader lifecycle perspective</w:t>
      </w:r>
      <w:r w:rsidR="00045CBB">
        <w:rPr>
          <w:lang w:val="en-US" w:eastAsia="nb-NO"/>
        </w:rPr>
        <w:t xml:space="preserve"> is emphasized</w:t>
      </w:r>
      <w:r w:rsidRPr="00F814B7">
        <w:rPr>
          <w:lang w:val="en-US" w:eastAsia="nb-NO"/>
        </w:rPr>
        <w:t>.</w:t>
      </w:r>
      <w:r w:rsidR="006E3002">
        <w:rPr>
          <w:lang w:val="en-US" w:eastAsia="nb-NO"/>
        </w:rPr>
        <w:t xml:space="preserve"> F</w:t>
      </w:r>
      <w:r w:rsidRPr="00F814B7">
        <w:rPr>
          <w:lang w:val="en-US" w:eastAsia="nb-NO"/>
        </w:rPr>
        <w:t>ocusing on technology adoption in facilities management as practice-based rather than purely system-based opens new ways of understanding how digital technologies become integrated into everyday operational work.</w:t>
      </w:r>
    </w:p>
    <w:p w14:paraId="18A791F6" w14:textId="7A52860B" w:rsidR="00785543" w:rsidRPr="00785543" w:rsidRDefault="00785543" w:rsidP="00785543">
      <w:pPr>
        <w:jc w:val="both"/>
        <w:rPr>
          <w:lang w:val="en-US"/>
        </w:rPr>
      </w:pPr>
      <w:r w:rsidRPr="00785543">
        <w:rPr>
          <w:lang w:val="en-US"/>
        </w:rPr>
        <w:t>This early engagement shifts attention from documenting deliverables to understanding how technology will be enacted within an organizational context. Viewing digital twins as part of a “learning rhythm” embedded in social relations, routines, and material resources</w:t>
      </w:r>
      <w:r w:rsidR="00AC5111">
        <w:rPr>
          <w:lang w:val="en-US"/>
        </w:rPr>
        <w:t xml:space="preserve">. </w:t>
      </w:r>
      <w:r w:rsidRPr="00785543">
        <w:rPr>
          <w:lang w:val="en-US"/>
        </w:rPr>
        <w:t xml:space="preserve">FM practitioners generate meaning, competence and value around </w:t>
      </w:r>
      <w:r w:rsidR="00D76453">
        <w:rPr>
          <w:lang w:val="en-US"/>
        </w:rPr>
        <w:t>the digital platform capabilities and their work practices</w:t>
      </w:r>
      <w:r w:rsidRPr="00785543">
        <w:rPr>
          <w:lang w:val="en-US"/>
        </w:rPr>
        <w:t>. Recognizing this socio-material entanglement reframes technology not as a static artifact but as a dynamic, practice-dependent element of everyday FM work. This perspective offers a pathway for building the organizational and contextual competencies needed to advance digital transformation in operations</w:t>
      </w:r>
      <w:r w:rsidR="00045CBB">
        <w:rPr>
          <w:lang w:val="en-US"/>
        </w:rPr>
        <w:t xml:space="preserve"> - </w:t>
      </w:r>
      <w:r w:rsidRPr="00785543">
        <w:rPr>
          <w:lang w:val="en-US"/>
        </w:rPr>
        <w:t xml:space="preserve">a critical but often overlooked dimension of </w:t>
      </w:r>
      <w:r w:rsidR="00F814B7">
        <w:rPr>
          <w:lang w:val="en-US"/>
        </w:rPr>
        <w:t xml:space="preserve">adoption of digital platform </w:t>
      </w:r>
      <w:r w:rsidRPr="00785543">
        <w:rPr>
          <w:lang w:val="en-US"/>
        </w:rPr>
        <w:t>in the built environment.</w:t>
      </w:r>
    </w:p>
    <w:p w14:paraId="1B4C49B8" w14:textId="2E75736E" w:rsidR="00473F03" w:rsidRDefault="007977FA" w:rsidP="007977FA">
      <w:pPr>
        <w:pStyle w:val="Heading3"/>
        <w:rPr>
          <w:lang w:val="en-US"/>
        </w:rPr>
      </w:pPr>
      <w:r>
        <w:rPr>
          <w:lang w:val="en-US"/>
        </w:rPr>
        <w:t>References</w:t>
      </w:r>
    </w:p>
    <w:p w14:paraId="506028ED" w14:textId="7861F227" w:rsidR="002113CF" w:rsidRDefault="002113CF" w:rsidP="002113CF">
      <w:pPr>
        <w:jc w:val="both"/>
        <w:rPr>
          <w:bCs/>
          <w:lang w:val="en-US"/>
        </w:rPr>
      </w:pPr>
      <w:r w:rsidRPr="002113CF">
        <w:rPr>
          <w:bCs/>
          <w:lang w:val="en-US"/>
        </w:rPr>
        <w:t>Ashworth</w:t>
      </w:r>
      <w:r>
        <w:rPr>
          <w:bCs/>
          <w:lang w:val="en-US"/>
        </w:rPr>
        <w:t xml:space="preserve">, S., </w:t>
      </w:r>
      <w:r w:rsidRPr="002113CF">
        <w:rPr>
          <w:bCs/>
          <w:lang w:val="en-US"/>
        </w:rPr>
        <w:t>Dillinger</w:t>
      </w:r>
      <w:r>
        <w:rPr>
          <w:bCs/>
          <w:lang w:val="en-US"/>
        </w:rPr>
        <w:t>, M.</w:t>
      </w:r>
      <w:r w:rsidRPr="002113CF">
        <w:rPr>
          <w:bCs/>
          <w:lang w:val="en-US"/>
        </w:rPr>
        <w:t xml:space="preserve"> </w:t>
      </w:r>
      <w:proofErr w:type="spellStart"/>
      <w:proofErr w:type="gramStart"/>
      <w:r w:rsidRPr="002113CF">
        <w:rPr>
          <w:bCs/>
          <w:lang w:val="en-US"/>
        </w:rPr>
        <w:t>Körkemeyer</w:t>
      </w:r>
      <w:r>
        <w:rPr>
          <w:bCs/>
          <w:lang w:val="en-US"/>
        </w:rPr>
        <w:t>,K</w:t>
      </w:r>
      <w:proofErr w:type="spellEnd"/>
      <w:r>
        <w:rPr>
          <w:bCs/>
          <w:lang w:val="en-US"/>
        </w:rPr>
        <w:t>.</w:t>
      </w:r>
      <w:proofErr w:type="gramEnd"/>
      <w:r w:rsidRPr="002113CF">
        <w:rPr>
          <w:bCs/>
          <w:lang w:val="en-US"/>
        </w:rPr>
        <w:t xml:space="preserve"> (2023)</w:t>
      </w:r>
      <w:r>
        <w:rPr>
          <w:bCs/>
          <w:lang w:val="en-US"/>
        </w:rPr>
        <w:t xml:space="preserve"> “</w:t>
      </w:r>
      <w:r w:rsidRPr="002113CF">
        <w:rPr>
          <w:bCs/>
          <w:lang w:val="en-US"/>
        </w:rPr>
        <w:t xml:space="preserve">BIM guidance to </w:t>
      </w:r>
      <w:proofErr w:type="spellStart"/>
      <w:r w:rsidRPr="002113CF">
        <w:rPr>
          <w:bCs/>
          <w:lang w:val="en-US"/>
        </w:rPr>
        <w:t>optimise</w:t>
      </w:r>
      <w:proofErr w:type="spellEnd"/>
      <w:r w:rsidRPr="002113CF">
        <w:rPr>
          <w:bCs/>
          <w:lang w:val="en-US"/>
        </w:rPr>
        <w:t xml:space="preserve"> the operational phase: defining information requirements based on ISO 19650</w:t>
      </w:r>
      <w:r>
        <w:rPr>
          <w:bCs/>
          <w:lang w:val="en-US"/>
        </w:rPr>
        <w:t xml:space="preserve">” </w:t>
      </w:r>
      <w:r w:rsidRPr="002113CF">
        <w:rPr>
          <w:bCs/>
          <w:i/>
          <w:iCs/>
          <w:lang w:val="en-US"/>
        </w:rPr>
        <w:t>Facilities</w:t>
      </w:r>
      <w:r w:rsidR="00A964FB">
        <w:rPr>
          <w:bCs/>
          <w:i/>
          <w:iCs/>
          <w:lang w:val="en-US"/>
        </w:rPr>
        <w:t>,</w:t>
      </w:r>
      <w:r w:rsidRPr="002113CF">
        <w:rPr>
          <w:bCs/>
          <w:lang w:val="en-US"/>
        </w:rPr>
        <w:t xml:space="preserve"> 41 </w:t>
      </w:r>
      <w:r w:rsidR="00A964FB">
        <w:rPr>
          <w:bCs/>
          <w:lang w:val="en-US"/>
        </w:rPr>
        <w:t>(</w:t>
      </w:r>
      <w:r w:rsidRPr="002113CF">
        <w:rPr>
          <w:bCs/>
          <w:lang w:val="en-US"/>
        </w:rPr>
        <w:t>5</w:t>
      </w:r>
      <w:r w:rsidR="00A964FB">
        <w:rPr>
          <w:bCs/>
          <w:lang w:val="en-US"/>
        </w:rPr>
        <w:t>/</w:t>
      </w:r>
      <w:r w:rsidRPr="002113CF">
        <w:rPr>
          <w:bCs/>
          <w:lang w:val="en-US"/>
        </w:rPr>
        <w:t>6</w:t>
      </w:r>
      <w:r w:rsidR="00A964FB">
        <w:rPr>
          <w:bCs/>
          <w:lang w:val="en-US"/>
        </w:rPr>
        <w:t>)</w:t>
      </w:r>
      <w:r w:rsidRPr="002113CF">
        <w:rPr>
          <w:bCs/>
          <w:lang w:val="en-US"/>
        </w:rPr>
        <w:t xml:space="preserve"> </w:t>
      </w:r>
      <w:r w:rsidR="00A964FB">
        <w:rPr>
          <w:bCs/>
          <w:lang w:val="en-US"/>
        </w:rPr>
        <w:t>pp</w:t>
      </w:r>
      <w:r w:rsidRPr="002113CF">
        <w:rPr>
          <w:bCs/>
          <w:lang w:val="en-US"/>
        </w:rPr>
        <w:t>337–356.</w:t>
      </w:r>
    </w:p>
    <w:p w14:paraId="6BC041EE" w14:textId="656B13A3" w:rsidR="00D401B3" w:rsidRPr="00D401B3" w:rsidRDefault="00D401B3" w:rsidP="00D401B3">
      <w:pPr>
        <w:jc w:val="both"/>
        <w:rPr>
          <w:bCs/>
          <w:lang w:val="en-US"/>
        </w:rPr>
      </w:pPr>
      <w:r w:rsidRPr="00D401B3">
        <w:rPr>
          <w:bCs/>
          <w:lang w:val="en-US"/>
        </w:rPr>
        <w:t>Durdyev,</w:t>
      </w:r>
      <w:r w:rsidR="00A964FB">
        <w:rPr>
          <w:bCs/>
          <w:lang w:val="en-US"/>
        </w:rPr>
        <w:t xml:space="preserve"> S.,</w:t>
      </w:r>
      <w:r w:rsidRPr="00D401B3">
        <w:rPr>
          <w:bCs/>
          <w:lang w:val="en-US"/>
        </w:rPr>
        <w:t xml:space="preserve"> Ashour,</w:t>
      </w:r>
      <w:r w:rsidR="00A964FB">
        <w:rPr>
          <w:bCs/>
          <w:lang w:val="en-US"/>
        </w:rPr>
        <w:t xml:space="preserve"> M.,</w:t>
      </w:r>
      <w:r w:rsidRPr="00D401B3">
        <w:rPr>
          <w:bCs/>
          <w:lang w:val="en-US"/>
        </w:rPr>
        <w:t xml:space="preserve"> Connelly,</w:t>
      </w:r>
      <w:r w:rsidR="00A964FB">
        <w:rPr>
          <w:bCs/>
          <w:lang w:val="en-US"/>
        </w:rPr>
        <w:t xml:space="preserve"> S.,</w:t>
      </w:r>
      <w:r w:rsidRPr="00D401B3">
        <w:rPr>
          <w:bCs/>
          <w:lang w:val="en-US"/>
        </w:rPr>
        <w:t xml:space="preserve"> Mahdiyar,</w:t>
      </w:r>
      <w:r w:rsidR="00A964FB">
        <w:rPr>
          <w:bCs/>
          <w:lang w:val="en-US"/>
        </w:rPr>
        <w:t xml:space="preserve"> A.</w:t>
      </w:r>
      <w:r>
        <w:rPr>
          <w:bCs/>
          <w:lang w:val="en-US"/>
        </w:rPr>
        <w:t xml:space="preserve"> (2022) “</w:t>
      </w:r>
      <w:r w:rsidRPr="00D401B3">
        <w:rPr>
          <w:bCs/>
          <w:lang w:val="en-US"/>
        </w:rPr>
        <w:t>Barriers to the implementation of Building Information Modelling (BIM) for facility management</w:t>
      </w:r>
      <w:r>
        <w:rPr>
          <w:bCs/>
          <w:lang w:val="en-US"/>
        </w:rPr>
        <w:t>”</w:t>
      </w:r>
      <w:r w:rsidRPr="00D401B3">
        <w:rPr>
          <w:bCs/>
          <w:lang w:val="en-US"/>
        </w:rPr>
        <w:t>,</w:t>
      </w:r>
      <w:r>
        <w:rPr>
          <w:bCs/>
          <w:lang w:val="en-US"/>
        </w:rPr>
        <w:t xml:space="preserve"> </w:t>
      </w:r>
      <w:r w:rsidRPr="00D401B3">
        <w:rPr>
          <w:bCs/>
          <w:i/>
          <w:iCs/>
          <w:lang w:val="en-US"/>
        </w:rPr>
        <w:t>Journal of Building Engineering</w:t>
      </w:r>
      <w:r w:rsidRPr="00D401B3">
        <w:rPr>
          <w:bCs/>
          <w:lang w:val="en-US"/>
        </w:rPr>
        <w:t>,</w:t>
      </w:r>
      <w:r>
        <w:rPr>
          <w:bCs/>
          <w:lang w:val="en-US"/>
        </w:rPr>
        <w:t xml:space="preserve"> </w:t>
      </w:r>
      <w:r w:rsidRPr="00D401B3">
        <w:rPr>
          <w:bCs/>
          <w:lang w:val="en-US"/>
        </w:rPr>
        <w:t>46</w:t>
      </w:r>
    </w:p>
    <w:p w14:paraId="77667E49" w14:textId="6093CBA9" w:rsidR="007977FA" w:rsidRPr="007977FA" w:rsidRDefault="007977FA" w:rsidP="007977FA">
      <w:pPr>
        <w:jc w:val="both"/>
        <w:rPr>
          <w:lang w:val="en-US"/>
        </w:rPr>
      </w:pPr>
      <w:r w:rsidRPr="00C95ABB">
        <w:rPr>
          <w:bCs/>
          <w:lang w:val="de-DE"/>
        </w:rPr>
        <w:t xml:space="preserve">Eriksson-Zetterquist, U., Lindberg, K.  </w:t>
      </w:r>
      <w:r w:rsidRPr="00C95ABB">
        <w:rPr>
          <w:bCs/>
          <w:lang w:val="en-GB"/>
        </w:rPr>
        <w:t xml:space="preserve">and </w:t>
      </w:r>
      <w:proofErr w:type="spellStart"/>
      <w:r w:rsidRPr="00C95ABB">
        <w:rPr>
          <w:bCs/>
          <w:lang w:val="en-GB"/>
        </w:rPr>
        <w:t>Styhre</w:t>
      </w:r>
      <w:proofErr w:type="spellEnd"/>
      <w:r w:rsidRPr="00C95ABB">
        <w:rPr>
          <w:bCs/>
          <w:lang w:val="en-GB"/>
        </w:rPr>
        <w:t xml:space="preserve"> A.</w:t>
      </w:r>
      <w:r w:rsidRPr="00C95ABB">
        <w:rPr>
          <w:lang w:val="en-GB"/>
        </w:rPr>
        <w:t xml:space="preserve"> (2009) “</w:t>
      </w:r>
      <w:r w:rsidRPr="00C95ABB">
        <w:rPr>
          <w:bCs/>
          <w:lang w:val="en-GB"/>
        </w:rPr>
        <w:t xml:space="preserve">When the good times are over: Professionals encountering new technology”. In </w:t>
      </w:r>
      <w:r w:rsidRPr="00C95ABB">
        <w:rPr>
          <w:bCs/>
          <w:i/>
          <w:lang w:val="en-GB"/>
        </w:rPr>
        <w:t>Human Relations</w:t>
      </w:r>
      <w:r w:rsidRPr="00C95ABB">
        <w:rPr>
          <w:bCs/>
          <w:lang w:val="en-GB"/>
        </w:rPr>
        <w:t xml:space="preserve"> 62</w:t>
      </w:r>
      <w:r w:rsidR="00A964FB">
        <w:rPr>
          <w:bCs/>
          <w:lang w:val="en-GB"/>
        </w:rPr>
        <w:t xml:space="preserve"> </w:t>
      </w:r>
      <w:proofErr w:type="gramStart"/>
      <w:r w:rsidR="00A964FB">
        <w:rPr>
          <w:bCs/>
          <w:lang w:val="en-GB"/>
        </w:rPr>
        <w:t xml:space="preserve">( </w:t>
      </w:r>
      <w:r w:rsidRPr="00C95ABB">
        <w:rPr>
          <w:bCs/>
          <w:lang w:val="en-GB"/>
        </w:rPr>
        <w:t>8</w:t>
      </w:r>
      <w:proofErr w:type="gramEnd"/>
      <w:r w:rsidR="00A964FB">
        <w:rPr>
          <w:bCs/>
          <w:lang w:val="en-GB"/>
        </w:rPr>
        <w:t>) pp</w:t>
      </w:r>
      <w:r w:rsidRPr="00C95ABB">
        <w:rPr>
          <w:bCs/>
          <w:lang w:val="en-GB"/>
        </w:rPr>
        <w:t>1145-1170</w:t>
      </w:r>
    </w:p>
    <w:p w14:paraId="1ADCDEE0" w14:textId="5874827D" w:rsidR="007977FA" w:rsidRPr="007977FA" w:rsidRDefault="007977FA" w:rsidP="007977FA">
      <w:pPr>
        <w:jc w:val="both"/>
        <w:rPr>
          <w:lang w:val="en-US"/>
        </w:rPr>
      </w:pPr>
      <w:r w:rsidRPr="00C95ABB">
        <w:rPr>
          <w:bCs/>
          <w:lang w:val="en-US"/>
        </w:rPr>
        <w:t xml:space="preserve">Kellogg, K., Valentine, M.A. and Christin A. (2020) “Algorithms at work: The new contested terrain of control” Academy of Management Annals, </w:t>
      </w:r>
      <w:r w:rsidR="00A964FB">
        <w:rPr>
          <w:bCs/>
          <w:lang w:val="en-US"/>
        </w:rPr>
        <w:t>1(1)</w:t>
      </w:r>
      <w:r w:rsidRPr="00C95ABB">
        <w:rPr>
          <w:bCs/>
          <w:lang w:val="en-US"/>
        </w:rPr>
        <w:t xml:space="preserve"> </w:t>
      </w:r>
      <w:r w:rsidR="00A964FB">
        <w:rPr>
          <w:bCs/>
          <w:lang w:val="en-US"/>
        </w:rPr>
        <w:t>pp</w:t>
      </w:r>
      <w:r w:rsidRPr="00C95ABB">
        <w:rPr>
          <w:bCs/>
          <w:lang w:val="en-US"/>
        </w:rPr>
        <w:t>36-410</w:t>
      </w:r>
    </w:p>
    <w:p w14:paraId="49BF0973" w14:textId="4FD502F5" w:rsidR="007977FA" w:rsidRPr="007977FA" w:rsidRDefault="007977FA" w:rsidP="007977FA">
      <w:pPr>
        <w:rPr>
          <w:lang w:val="en-US"/>
        </w:rPr>
      </w:pPr>
      <w:r w:rsidRPr="007977FA">
        <w:rPr>
          <w:lang w:val="en-US"/>
        </w:rPr>
        <w:t>Leonardi</w:t>
      </w:r>
      <w:r>
        <w:rPr>
          <w:lang w:val="en-US"/>
        </w:rPr>
        <w:t>, P.</w:t>
      </w:r>
      <w:r w:rsidRPr="007977FA">
        <w:rPr>
          <w:lang w:val="en-US"/>
        </w:rPr>
        <w:t xml:space="preserve"> (2013) </w:t>
      </w:r>
      <w:r>
        <w:rPr>
          <w:lang w:val="en-US"/>
        </w:rPr>
        <w:t>“</w:t>
      </w:r>
      <w:r w:rsidRPr="007977FA">
        <w:rPr>
          <w:lang w:val="en-US"/>
        </w:rPr>
        <w:t xml:space="preserve">Theoretical foundations for the study of </w:t>
      </w:r>
      <w:proofErr w:type="spellStart"/>
      <w:r w:rsidRPr="007977FA">
        <w:rPr>
          <w:lang w:val="en-US"/>
        </w:rPr>
        <w:t>sociomateriality</w:t>
      </w:r>
      <w:proofErr w:type="spellEnd"/>
      <w:r w:rsidRPr="007977FA">
        <w:rPr>
          <w:lang w:val="en-US"/>
        </w:rPr>
        <w:t xml:space="preserve">” in </w:t>
      </w:r>
      <w:r w:rsidRPr="007977FA">
        <w:rPr>
          <w:i/>
          <w:iCs/>
          <w:lang w:val="en-US"/>
        </w:rPr>
        <w:t xml:space="preserve">Information and Organization </w:t>
      </w:r>
      <w:r w:rsidRPr="007977FA">
        <w:rPr>
          <w:lang w:val="en-US"/>
        </w:rPr>
        <w:t xml:space="preserve">23 </w:t>
      </w:r>
      <w:r w:rsidR="00A964FB">
        <w:rPr>
          <w:lang w:val="en-US"/>
        </w:rPr>
        <w:t>pp</w:t>
      </w:r>
      <w:r w:rsidRPr="007977FA">
        <w:rPr>
          <w:lang w:val="en-US"/>
        </w:rPr>
        <w:t>59–76</w:t>
      </w:r>
    </w:p>
    <w:p w14:paraId="11B629BD" w14:textId="44451D76" w:rsidR="002113CF" w:rsidRPr="00A95697" w:rsidRDefault="002113CF" w:rsidP="00931FAC">
      <w:pPr>
        <w:jc w:val="both"/>
        <w:rPr>
          <w:lang w:val="en-US"/>
        </w:rPr>
      </w:pPr>
      <w:r w:rsidRPr="00A95697">
        <w:rPr>
          <w:lang w:val="en-US"/>
        </w:rPr>
        <w:t>Lindkvist (2015)</w:t>
      </w:r>
      <w:r w:rsidR="00931FAC">
        <w:rPr>
          <w:lang w:val="en-US"/>
        </w:rPr>
        <w:t xml:space="preserve"> “</w:t>
      </w:r>
      <w:r w:rsidR="00931FAC" w:rsidRPr="00931FAC">
        <w:rPr>
          <w:lang w:val="en-US"/>
        </w:rPr>
        <w:t>Contextualizing learning approaches which shape BIM for maintenance</w:t>
      </w:r>
      <w:r w:rsidR="00931FAC">
        <w:rPr>
          <w:lang w:val="en-US"/>
        </w:rPr>
        <w:t xml:space="preserve">” in </w:t>
      </w:r>
      <w:r w:rsidR="00931FAC" w:rsidRPr="00931FAC">
        <w:rPr>
          <w:i/>
          <w:iCs/>
          <w:lang w:val="en-US"/>
        </w:rPr>
        <w:t>Built Environment Project and Asset Management</w:t>
      </w:r>
      <w:r w:rsidR="00931FAC">
        <w:rPr>
          <w:lang w:val="en-US"/>
        </w:rPr>
        <w:t xml:space="preserve"> </w:t>
      </w:r>
      <w:r w:rsidR="00A964FB">
        <w:rPr>
          <w:lang w:val="en-US"/>
        </w:rPr>
        <w:t>5(3), pp.318-330</w:t>
      </w:r>
    </w:p>
    <w:p w14:paraId="14E552EE" w14:textId="39DF4F31" w:rsidR="00A95697" w:rsidRPr="00A95697" w:rsidRDefault="00A95697" w:rsidP="00A95697">
      <w:pPr>
        <w:jc w:val="both"/>
        <w:rPr>
          <w:lang w:val="en-US"/>
        </w:rPr>
      </w:pPr>
      <w:r w:rsidRPr="00A95697">
        <w:rPr>
          <w:lang w:val="en-US"/>
        </w:rPr>
        <w:t>Lervik, J</w:t>
      </w:r>
      <w:r>
        <w:rPr>
          <w:lang w:val="en-US"/>
        </w:rPr>
        <w:t>.</w:t>
      </w:r>
      <w:r w:rsidRPr="00A95697">
        <w:rPr>
          <w:lang w:val="en-US"/>
        </w:rPr>
        <w:t>E</w:t>
      </w:r>
      <w:r>
        <w:rPr>
          <w:lang w:val="en-US"/>
        </w:rPr>
        <w:t>.,</w:t>
      </w:r>
      <w:r w:rsidRPr="00A95697">
        <w:rPr>
          <w:lang w:val="en-US"/>
        </w:rPr>
        <w:t xml:space="preserve"> Fahy</w:t>
      </w:r>
      <w:r>
        <w:rPr>
          <w:lang w:val="en-US"/>
        </w:rPr>
        <w:t>, KM</w:t>
      </w:r>
      <w:r w:rsidRPr="00A95697">
        <w:rPr>
          <w:lang w:val="en-US"/>
        </w:rPr>
        <w:t xml:space="preserve"> and Easterby-Smith</w:t>
      </w:r>
      <w:r>
        <w:rPr>
          <w:lang w:val="en-US"/>
        </w:rPr>
        <w:t>,</w:t>
      </w:r>
      <w:r w:rsidR="00A964FB">
        <w:rPr>
          <w:lang w:val="en-US"/>
        </w:rPr>
        <w:t xml:space="preserve"> </w:t>
      </w:r>
      <w:r>
        <w:rPr>
          <w:lang w:val="en-US"/>
        </w:rPr>
        <w:t>M. (2010) “</w:t>
      </w:r>
      <w:r w:rsidRPr="00A95697">
        <w:rPr>
          <w:lang w:val="en-US"/>
        </w:rPr>
        <w:t>Temporal dynam</w:t>
      </w:r>
      <w:r>
        <w:rPr>
          <w:lang w:val="en-US"/>
        </w:rPr>
        <w:t xml:space="preserve">ics of situated learning” in </w:t>
      </w:r>
      <w:r w:rsidRPr="00A95697">
        <w:rPr>
          <w:i/>
          <w:iCs/>
          <w:lang w:val="en-US"/>
        </w:rPr>
        <w:t>Management Learning</w:t>
      </w:r>
      <w:r w:rsidRPr="00A95697">
        <w:rPr>
          <w:lang w:val="en-US"/>
        </w:rPr>
        <w:t xml:space="preserve"> </w:t>
      </w:r>
      <w:r>
        <w:rPr>
          <w:lang w:val="en-US"/>
        </w:rPr>
        <w:t>41</w:t>
      </w:r>
      <w:r w:rsidR="00A964FB">
        <w:rPr>
          <w:lang w:val="en-US"/>
        </w:rPr>
        <w:t xml:space="preserve"> (</w:t>
      </w:r>
      <w:r>
        <w:rPr>
          <w:lang w:val="en-US"/>
        </w:rPr>
        <w:t>285</w:t>
      </w:r>
      <w:r w:rsidR="00A964FB">
        <w:rPr>
          <w:lang w:val="en-US"/>
        </w:rPr>
        <w:t>)</w:t>
      </w:r>
    </w:p>
    <w:p w14:paraId="04E13FEB" w14:textId="34EAE96E" w:rsidR="007977FA" w:rsidRDefault="007977FA" w:rsidP="007977FA">
      <w:pPr>
        <w:jc w:val="both"/>
        <w:rPr>
          <w:lang w:val="en-US"/>
        </w:rPr>
      </w:pPr>
      <w:r w:rsidRPr="00AE0766">
        <w:rPr>
          <w:lang w:val="en-US"/>
        </w:rPr>
        <w:t xml:space="preserve">Orlikowski, W.J.  </w:t>
      </w:r>
      <w:r w:rsidRPr="007977FA">
        <w:rPr>
          <w:lang w:val="en-US"/>
        </w:rPr>
        <w:t>(2007) “</w:t>
      </w:r>
      <w:proofErr w:type="spellStart"/>
      <w:r w:rsidRPr="007977FA">
        <w:rPr>
          <w:lang w:val="en-US"/>
        </w:rPr>
        <w:t>Sociomaterial</w:t>
      </w:r>
      <w:proofErr w:type="spellEnd"/>
      <w:r w:rsidRPr="007977FA">
        <w:rPr>
          <w:lang w:val="en-US"/>
        </w:rPr>
        <w:t xml:space="preserve"> Practices: Exploring technology at Work” in </w:t>
      </w:r>
      <w:proofErr w:type="spellStart"/>
      <w:r w:rsidRPr="007977FA">
        <w:rPr>
          <w:i/>
          <w:lang w:val="en-US"/>
        </w:rPr>
        <w:t>Organisational</w:t>
      </w:r>
      <w:proofErr w:type="spellEnd"/>
      <w:r w:rsidRPr="007977FA">
        <w:rPr>
          <w:i/>
          <w:lang w:val="en-US"/>
        </w:rPr>
        <w:t xml:space="preserve"> Studies</w:t>
      </w:r>
      <w:r w:rsidRPr="007977FA">
        <w:rPr>
          <w:lang w:val="en-US"/>
        </w:rPr>
        <w:t xml:space="preserve"> 28 </w:t>
      </w:r>
      <w:r w:rsidR="00A964FB">
        <w:rPr>
          <w:lang w:val="en-US"/>
        </w:rPr>
        <w:t>(</w:t>
      </w:r>
      <w:r w:rsidRPr="007977FA">
        <w:rPr>
          <w:lang w:val="en-US"/>
        </w:rPr>
        <w:t>9</w:t>
      </w:r>
      <w:r w:rsidR="00A964FB">
        <w:rPr>
          <w:lang w:val="en-US"/>
        </w:rPr>
        <w:t>)</w:t>
      </w:r>
    </w:p>
    <w:p w14:paraId="0DB4524E" w14:textId="1CC86B9C" w:rsidR="002113CF" w:rsidRPr="002113CF" w:rsidRDefault="002113CF" w:rsidP="002113CF">
      <w:pPr>
        <w:jc w:val="both"/>
        <w:rPr>
          <w:bCs/>
          <w:lang w:val="en-US"/>
        </w:rPr>
      </w:pPr>
      <w:r w:rsidRPr="002113CF">
        <w:rPr>
          <w:bCs/>
          <w:lang w:val="en-US"/>
        </w:rPr>
        <w:t xml:space="preserve">Pärn et al., (2017) </w:t>
      </w:r>
      <w:r>
        <w:rPr>
          <w:bCs/>
          <w:lang w:val="en-US"/>
        </w:rPr>
        <w:t>“</w:t>
      </w:r>
      <w:r w:rsidRPr="002113CF">
        <w:rPr>
          <w:bCs/>
          <w:lang w:val="en-US"/>
        </w:rPr>
        <w:t>The building information modelling trajectory in Facilities Management: A Review</w:t>
      </w:r>
      <w:r>
        <w:rPr>
          <w:bCs/>
          <w:lang w:val="en-US"/>
        </w:rPr>
        <w:t xml:space="preserve">” in </w:t>
      </w:r>
      <w:r w:rsidRPr="002113CF">
        <w:rPr>
          <w:bCs/>
          <w:i/>
          <w:iCs/>
          <w:lang w:val="en-US"/>
        </w:rPr>
        <w:t>Automation in Construction</w:t>
      </w:r>
      <w:r>
        <w:rPr>
          <w:bCs/>
          <w:lang w:val="en-US"/>
        </w:rPr>
        <w:t xml:space="preserve">, </w:t>
      </w:r>
      <w:r w:rsidRPr="002113CF">
        <w:rPr>
          <w:bCs/>
          <w:lang w:val="en-US"/>
        </w:rPr>
        <w:t xml:space="preserve">75, </w:t>
      </w:r>
      <w:r>
        <w:rPr>
          <w:bCs/>
          <w:lang w:val="en-US"/>
        </w:rPr>
        <w:t>pp</w:t>
      </w:r>
      <w:r w:rsidRPr="002113CF">
        <w:rPr>
          <w:bCs/>
          <w:lang w:val="en-US"/>
        </w:rPr>
        <w:t>45-55</w:t>
      </w:r>
    </w:p>
    <w:p w14:paraId="1ABB3F93" w14:textId="5E0EEEAA" w:rsidR="00A964FB" w:rsidRDefault="00AE0766" w:rsidP="00A964FB">
      <w:pPr>
        <w:autoSpaceDE w:val="0"/>
        <w:autoSpaceDN w:val="0"/>
        <w:adjustRightInd w:val="0"/>
        <w:spacing w:after="0" w:line="240" w:lineRule="auto"/>
        <w:rPr>
          <w:lang w:val="en-US"/>
        </w:rPr>
      </w:pPr>
      <w:r w:rsidRPr="00AE0766">
        <w:rPr>
          <w:lang w:val="en-US"/>
        </w:rPr>
        <w:t xml:space="preserve">Weick, K.E. (1995) </w:t>
      </w:r>
      <w:r w:rsidRPr="00AE0766">
        <w:rPr>
          <w:i/>
          <w:iCs/>
          <w:lang w:val="en-US"/>
        </w:rPr>
        <w:t>Sense</w:t>
      </w:r>
      <w:r>
        <w:rPr>
          <w:i/>
          <w:iCs/>
          <w:lang w:val="en-US"/>
        </w:rPr>
        <w:t xml:space="preserve">making in </w:t>
      </w:r>
      <w:proofErr w:type="spellStart"/>
      <w:r>
        <w:rPr>
          <w:i/>
          <w:iCs/>
          <w:lang w:val="en-US"/>
        </w:rPr>
        <w:t>Organsizations</w:t>
      </w:r>
      <w:proofErr w:type="spellEnd"/>
      <w:r>
        <w:rPr>
          <w:lang w:val="en-US"/>
        </w:rPr>
        <w:t xml:space="preserve"> Sage Publications Inc</w:t>
      </w:r>
      <w:r w:rsidR="00045CBB">
        <w:rPr>
          <w:lang w:val="en-US"/>
        </w:rPr>
        <w:t>.</w:t>
      </w:r>
      <w:r>
        <w:rPr>
          <w:lang w:val="en-US"/>
        </w:rPr>
        <w:t xml:space="preserve"> </w:t>
      </w:r>
    </w:p>
    <w:p w14:paraId="79549D93" w14:textId="1F690395" w:rsidR="00A964FB" w:rsidRDefault="00A964FB" w:rsidP="00A964FB">
      <w:pPr>
        <w:autoSpaceDE w:val="0"/>
        <w:autoSpaceDN w:val="0"/>
        <w:adjustRightInd w:val="0"/>
        <w:spacing w:after="0" w:line="240" w:lineRule="auto"/>
        <w:rPr>
          <w:lang w:val="en-US"/>
        </w:rPr>
      </w:pPr>
      <w:r w:rsidRPr="00A964FB">
        <w:t xml:space="preserve">Whyte, J., Lindkvist, C., &amp; Jaradat, S. (2016). </w:t>
      </w:r>
      <w:r w:rsidRPr="00A964FB">
        <w:rPr>
          <w:lang w:val="en-US"/>
        </w:rPr>
        <w:t xml:space="preserve">Passing the baton? Handing over digital data from the project to operations. </w:t>
      </w:r>
      <w:r w:rsidRPr="00A964FB">
        <w:rPr>
          <w:i/>
          <w:iCs/>
          <w:lang w:val="en-US"/>
        </w:rPr>
        <w:t>Engineering Project Organization Journal</w:t>
      </w:r>
      <w:r w:rsidRPr="00A964FB">
        <w:rPr>
          <w:lang w:val="en-US"/>
        </w:rPr>
        <w:t>, 6(1), 2–14</w:t>
      </w:r>
    </w:p>
    <w:sectPr w:rsidR="00A964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276D" w14:textId="77777777" w:rsidR="00852520" w:rsidRDefault="00852520" w:rsidP="00852520">
      <w:pPr>
        <w:spacing w:after="0" w:line="240" w:lineRule="auto"/>
      </w:pPr>
      <w:r>
        <w:separator/>
      </w:r>
    </w:p>
  </w:endnote>
  <w:endnote w:type="continuationSeparator" w:id="0">
    <w:p w14:paraId="1992A4FD" w14:textId="77777777" w:rsidR="00852520" w:rsidRDefault="00852520" w:rsidP="0085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957078"/>
      <w:docPartObj>
        <w:docPartGallery w:val="Page Numbers (Bottom of Page)"/>
        <w:docPartUnique/>
      </w:docPartObj>
    </w:sdtPr>
    <w:sdtEndPr/>
    <w:sdtContent>
      <w:p w14:paraId="67E2335E" w14:textId="2E4FEFAA" w:rsidR="00852520" w:rsidRDefault="00852520">
        <w:pPr>
          <w:pStyle w:val="Footer"/>
          <w:jc w:val="center"/>
        </w:pPr>
        <w:r>
          <w:fldChar w:fldCharType="begin"/>
        </w:r>
        <w:r>
          <w:instrText>PAGE   \* MERGEFORMAT</w:instrText>
        </w:r>
        <w:r>
          <w:fldChar w:fldCharType="separate"/>
        </w:r>
        <w:r>
          <w:t>2</w:t>
        </w:r>
        <w:r>
          <w:fldChar w:fldCharType="end"/>
        </w:r>
      </w:p>
    </w:sdtContent>
  </w:sdt>
  <w:p w14:paraId="0647EDD1" w14:textId="77777777" w:rsidR="00852520" w:rsidRDefault="00852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07A9" w14:textId="77777777" w:rsidR="00852520" w:rsidRDefault="00852520" w:rsidP="00852520">
      <w:pPr>
        <w:spacing w:after="0" w:line="240" w:lineRule="auto"/>
      </w:pPr>
      <w:r>
        <w:separator/>
      </w:r>
    </w:p>
  </w:footnote>
  <w:footnote w:type="continuationSeparator" w:id="0">
    <w:p w14:paraId="76E299FC" w14:textId="77777777" w:rsidR="00852520" w:rsidRDefault="00852520" w:rsidP="00852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F11"/>
    <w:multiLevelType w:val="multilevel"/>
    <w:tmpl w:val="4F500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A0416"/>
    <w:multiLevelType w:val="hybridMultilevel"/>
    <w:tmpl w:val="EAC66890"/>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C53216"/>
    <w:multiLevelType w:val="hybridMultilevel"/>
    <w:tmpl w:val="AFA612C2"/>
    <w:lvl w:ilvl="0" w:tplc="04140011">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74889347">
    <w:abstractNumId w:val="2"/>
  </w:num>
  <w:num w:numId="2" w16cid:durableId="433091421">
    <w:abstractNumId w:val="0"/>
  </w:num>
  <w:num w:numId="3" w16cid:durableId="528102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56"/>
    <w:rsid w:val="00024F5D"/>
    <w:rsid w:val="00045CBB"/>
    <w:rsid w:val="000E1C2A"/>
    <w:rsid w:val="000E48B1"/>
    <w:rsid w:val="000E593A"/>
    <w:rsid w:val="000F0495"/>
    <w:rsid w:val="00126BF6"/>
    <w:rsid w:val="00131044"/>
    <w:rsid w:val="001524C7"/>
    <w:rsid w:val="0015385A"/>
    <w:rsid w:val="00186296"/>
    <w:rsid w:val="0019581F"/>
    <w:rsid w:val="001B4AF7"/>
    <w:rsid w:val="001B75E3"/>
    <w:rsid w:val="001D58CF"/>
    <w:rsid w:val="001D7383"/>
    <w:rsid w:val="001E350B"/>
    <w:rsid w:val="001E3B80"/>
    <w:rsid w:val="001E7147"/>
    <w:rsid w:val="001F6E4B"/>
    <w:rsid w:val="002113CF"/>
    <w:rsid w:val="00221142"/>
    <w:rsid w:val="00244775"/>
    <w:rsid w:val="00270E22"/>
    <w:rsid w:val="00291343"/>
    <w:rsid w:val="002C6FDC"/>
    <w:rsid w:val="002F3E9C"/>
    <w:rsid w:val="00312B45"/>
    <w:rsid w:val="003202B5"/>
    <w:rsid w:val="003222E8"/>
    <w:rsid w:val="00326BE6"/>
    <w:rsid w:val="00334287"/>
    <w:rsid w:val="00360073"/>
    <w:rsid w:val="003738BE"/>
    <w:rsid w:val="003868DB"/>
    <w:rsid w:val="003D1D6D"/>
    <w:rsid w:val="0042549D"/>
    <w:rsid w:val="00445292"/>
    <w:rsid w:val="00447B92"/>
    <w:rsid w:val="0045538E"/>
    <w:rsid w:val="00473F03"/>
    <w:rsid w:val="004807DA"/>
    <w:rsid w:val="004875D1"/>
    <w:rsid w:val="00487A08"/>
    <w:rsid w:val="004C182F"/>
    <w:rsid w:val="004C360A"/>
    <w:rsid w:val="004F0170"/>
    <w:rsid w:val="005414C2"/>
    <w:rsid w:val="00547193"/>
    <w:rsid w:val="005809AE"/>
    <w:rsid w:val="005916A7"/>
    <w:rsid w:val="005A3C45"/>
    <w:rsid w:val="005B5AE9"/>
    <w:rsid w:val="005C193E"/>
    <w:rsid w:val="005D1A47"/>
    <w:rsid w:val="005D7AA5"/>
    <w:rsid w:val="0061199C"/>
    <w:rsid w:val="00611D07"/>
    <w:rsid w:val="006601A5"/>
    <w:rsid w:val="006904E2"/>
    <w:rsid w:val="006B122C"/>
    <w:rsid w:val="006E3002"/>
    <w:rsid w:val="006F708F"/>
    <w:rsid w:val="00705374"/>
    <w:rsid w:val="00727A56"/>
    <w:rsid w:val="0074615B"/>
    <w:rsid w:val="007462FC"/>
    <w:rsid w:val="00780713"/>
    <w:rsid w:val="00782ED0"/>
    <w:rsid w:val="00785543"/>
    <w:rsid w:val="00796F35"/>
    <w:rsid w:val="007977FA"/>
    <w:rsid w:val="007A3F98"/>
    <w:rsid w:val="007C22D4"/>
    <w:rsid w:val="007F2B9C"/>
    <w:rsid w:val="007F3F01"/>
    <w:rsid w:val="00813114"/>
    <w:rsid w:val="008237EB"/>
    <w:rsid w:val="00852520"/>
    <w:rsid w:val="008658CD"/>
    <w:rsid w:val="00883E7C"/>
    <w:rsid w:val="008A5FAD"/>
    <w:rsid w:val="008D0A55"/>
    <w:rsid w:val="008E791A"/>
    <w:rsid w:val="00904E85"/>
    <w:rsid w:val="009055FB"/>
    <w:rsid w:val="0091702D"/>
    <w:rsid w:val="00931FAC"/>
    <w:rsid w:val="00944FAF"/>
    <w:rsid w:val="00961CBB"/>
    <w:rsid w:val="00965467"/>
    <w:rsid w:val="00977ECB"/>
    <w:rsid w:val="009D1253"/>
    <w:rsid w:val="009E441C"/>
    <w:rsid w:val="009E4622"/>
    <w:rsid w:val="00A10600"/>
    <w:rsid w:val="00A361C9"/>
    <w:rsid w:val="00A46A7A"/>
    <w:rsid w:val="00A474CB"/>
    <w:rsid w:val="00A579DB"/>
    <w:rsid w:val="00A9276A"/>
    <w:rsid w:val="00A95697"/>
    <w:rsid w:val="00A964FB"/>
    <w:rsid w:val="00AC5111"/>
    <w:rsid w:val="00AE0766"/>
    <w:rsid w:val="00AE0A10"/>
    <w:rsid w:val="00AE5F1A"/>
    <w:rsid w:val="00B17A5A"/>
    <w:rsid w:val="00B2198B"/>
    <w:rsid w:val="00B52D8D"/>
    <w:rsid w:val="00BB09EE"/>
    <w:rsid w:val="00BB6A64"/>
    <w:rsid w:val="00BC24BE"/>
    <w:rsid w:val="00BC26EB"/>
    <w:rsid w:val="00BE4C2C"/>
    <w:rsid w:val="00C07029"/>
    <w:rsid w:val="00C2452F"/>
    <w:rsid w:val="00C3550F"/>
    <w:rsid w:val="00C5294D"/>
    <w:rsid w:val="00C61861"/>
    <w:rsid w:val="00C72F52"/>
    <w:rsid w:val="00C943DB"/>
    <w:rsid w:val="00CC0BBF"/>
    <w:rsid w:val="00CD1D1D"/>
    <w:rsid w:val="00CE27AB"/>
    <w:rsid w:val="00CF2ED8"/>
    <w:rsid w:val="00D035B7"/>
    <w:rsid w:val="00D27746"/>
    <w:rsid w:val="00D401B3"/>
    <w:rsid w:val="00D57234"/>
    <w:rsid w:val="00D74097"/>
    <w:rsid w:val="00D76453"/>
    <w:rsid w:val="00D9445E"/>
    <w:rsid w:val="00DC0905"/>
    <w:rsid w:val="00DD6F68"/>
    <w:rsid w:val="00DF44F1"/>
    <w:rsid w:val="00E07307"/>
    <w:rsid w:val="00E13382"/>
    <w:rsid w:val="00E258B3"/>
    <w:rsid w:val="00E3091B"/>
    <w:rsid w:val="00E5186A"/>
    <w:rsid w:val="00E827BF"/>
    <w:rsid w:val="00E97363"/>
    <w:rsid w:val="00EC07B0"/>
    <w:rsid w:val="00EC775E"/>
    <w:rsid w:val="00ED3627"/>
    <w:rsid w:val="00ED536C"/>
    <w:rsid w:val="00EE2256"/>
    <w:rsid w:val="00EF7A93"/>
    <w:rsid w:val="00F00B4D"/>
    <w:rsid w:val="00F13EDB"/>
    <w:rsid w:val="00F22887"/>
    <w:rsid w:val="00F55654"/>
    <w:rsid w:val="00F61B9A"/>
    <w:rsid w:val="00F72364"/>
    <w:rsid w:val="00F814B7"/>
    <w:rsid w:val="00F97799"/>
    <w:rsid w:val="00FB0D10"/>
    <w:rsid w:val="00FC03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FD72"/>
  <w15:chartTrackingRefBased/>
  <w15:docId w15:val="{B77CC2F6-B097-4498-9124-135FF9F2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56"/>
  </w:style>
  <w:style w:type="paragraph" w:styleId="Heading1">
    <w:name w:val="heading 1"/>
    <w:basedOn w:val="Normal"/>
    <w:next w:val="Normal"/>
    <w:link w:val="Heading1Char"/>
    <w:uiPriority w:val="9"/>
    <w:qFormat/>
    <w:rsid w:val="00727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7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7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27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7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7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27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56"/>
    <w:rPr>
      <w:rFonts w:eastAsiaTheme="majorEastAsia" w:cstheme="majorBidi"/>
      <w:color w:val="272727" w:themeColor="text1" w:themeTint="D8"/>
    </w:rPr>
  </w:style>
  <w:style w:type="paragraph" w:styleId="Title">
    <w:name w:val="Title"/>
    <w:basedOn w:val="Normal"/>
    <w:next w:val="Normal"/>
    <w:link w:val="TitleChar"/>
    <w:uiPriority w:val="10"/>
    <w:qFormat/>
    <w:rsid w:val="00727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56"/>
    <w:pPr>
      <w:spacing w:before="160"/>
      <w:jc w:val="center"/>
    </w:pPr>
    <w:rPr>
      <w:i/>
      <w:iCs/>
      <w:color w:val="404040" w:themeColor="text1" w:themeTint="BF"/>
    </w:rPr>
  </w:style>
  <w:style w:type="character" w:customStyle="1" w:styleId="QuoteChar">
    <w:name w:val="Quote Char"/>
    <w:basedOn w:val="DefaultParagraphFont"/>
    <w:link w:val="Quote"/>
    <w:uiPriority w:val="29"/>
    <w:rsid w:val="00727A56"/>
    <w:rPr>
      <w:i/>
      <w:iCs/>
      <w:color w:val="404040" w:themeColor="text1" w:themeTint="BF"/>
    </w:rPr>
  </w:style>
  <w:style w:type="paragraph" w:styleId="ListParagraph">
    <w:name w:val="List Paragraph"/>
    <w:basedOn w:val="Normal"/>
    <w:uiPriority w:val="34"/>
    <w:qFormat/>
    <w:rsid w:val="00727A56"/>
    <w:pPr>
      <w:ind w:left="720"/>
      <w:contextualSpacing/>
    </w:pPr>
  </w:style>
  <w:style w:type="character" w:styleId="IntenseEmphasis">
    <w:name w:val="Intense Emphasis"/>
    <w:basedOn w:val="DefaultParagraphFont"/>
    <w:uiPriority w:val="21"/>
    <w:qFormat/>
    <w:rsid w:val="00727A56"/>
    <w:rPr>
      <w:i/>
      <w:iCs/>
      <w:color w:val="0F4761" w:themeColor="accent1" w:themeShade="BF"/>
    </w:rPr>
  </w:style>
  <w:style w:type="paragraph" w:styleId="IntenseQuote">
    <w:name w:val="Intense Quote"/>
    <w:basedOn w:val="Normal"/>
    <w:next w:val="Normal"/>
    <w:link w:val="IntenseQuoteChar"/>
    <w:uiPriority w:val="30"/>
    <w:qFormat/>
    <w:rsid w:val="00727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A56"/>
    <w:rPr>
      <w:i/>
      <w:iCs/>
      <w:color w:val="0F4761" w:themeColor="accent1" w:themeShade="BF"/>
    </w:rPr>
  </w:style>
  <w:style w:type="character" w:styleId="IntenseReference">
    <w:name w:val="Intense Reference"/>
    <w:basedOn w:val="DefaultParagraphFont"/>
    <w:uiPriority w:val="32"/>
    <w:qFormat/>
    <w:rsid w:val="00727A56"/>
    <w:rPr>
      <w:b/>
      <w:bCs/>
      <w:smallCaps/>
      <w:color w:val="0F4761" w:themeColor="accent1" w:themeShade="BF"/>
      <w:spacing w:val="5"/>
    </w:rPr>
  </w:style>
  <w:style w:type="character" w:styleId="CommentReference">
    <w:name w:val="annotation reference"/>
    <w:basedOn w:val="DefaultParagraphFont"/>
    <w:uiPriority w:val="99"/>
    <w:semiHidden/>
    <w:unhideWhenUsed/>
    <w:rsid w:val="00727A56"/>
    <w:rPr>
      <w:sz w:val="16"/>
      <w:szCs w:val="16"/>
    </w:rPr>
  </w:style>
  <w:style w:type="paragraph" w:styleId="CommentText">
    <w:name w:val="annotation text"/>
    <w:basedOn w:val="Normal"/>
    <w:link w:val="CommentTextChar"/>
    <w:uiPriority w:val="99"/>
    <w:unhideWhenUsed/>
    <w:rsid w:val="00727A56"/>
    <w:pPr>
      <w:spacing w:line="240" w:lineRule="auto"/>
    </w:pPr>
    <w:rPr>
      <w:sz w:val="20"/>
      <w:szCs w:val="20"/>
    </w:rPr>
  </w:style>
  <w:style w:type="character" w:customStyle="1" w:styleId="CommentTextChar">
    <w:name w:val="Comment Text Char"/>
    <w:basedOn w:val="DefaultParagraphFont"/>
    <w:link w:val="CommentText"/>
    <w:uiPriority w:val="99"/>
    <w:rsid w:val="00727A56"/>
    <w:rPr>
      <w:sz w:val="20"/>
      <w:szCs w:val="20"/>
    </w:rPr>
  </w:style>
  <w:style w:type="character" w:styleId="Hyperlink">
    <w:name w:val="Hyperlink"/>
    <w:basedOn w:val="DefaultParagraphFont"/>
    <w:uiPriority w:val="99"/>
    <w:unhideWhenUsed/>
    <w:rsid w:val="00334287"/>
    <w:rPr>
      <w:color w:val="467886" w:themeColor="hyperlink"/>
      <w:u w:val="single"/>
    </w:rPr>
  </w:style>
  <w:style w:type="character" w:styleId="UnresolvedMention">
    <w:name w:val="Unresolved Mention"/>
    <w:basedOn w:val="DefaultParagraphFont"/>
    <w:uiPriority w:val="99"/>
    <w:semiHidden/>
    <w:unhideWhenUsed/>
    <w:rsid w:val="0033428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4287"/>
    <w:rPr>
      <w:b/>
      <w:bCs/>
    </w:rPr>
  </w:style>
  <w:style w:type="character" w:customStyle="1" w:styleId="CommentSubjectChar">
    <w:name w:val="Comment Subject Char"/>
    <w:basedOn w:val="CommentTextChar"/>
    <w:link w:val="CommentSubject"/>
    <w:uiPriority w:val="99"/>
    <w:semiHidden/>
    <w:rsid w:val="00334287"/>
    <w:rPr>
      <w:b/>
      <w:bCs/>
      <w:sz w:val="20"/>
      <w:szCs w:val="20"/>
    </w:rPr>
  </w:style>
  <w:style w:type="paragraph" w:styleId="Header">
    <w:name w:val="header"/>
    <w:basedOn w:val="Normal"/>
    <w:link w:val="HeaderChar"/>
    <w:uiPriority w:val="99"/>
    <w:unhideWhenUsed/>
    <w:rsid w:val="00852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520"/>
  </w:style>
  <w:style w:type="paragraph" w:styleId="Footer">
    <w:name w:val="footer"/>
    <w:basedOn w:val="Normal"/>
    <w:link w:val="FooterChar"/>
    <w:uiPriority w:val="99"/>
    <w:unhideWhenUsed/>
    <w:rsid w:val="00852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520"/>
  </w:style>
  <w:style w:type="paragraph" w:styleId="NormalWeb">
    <w:name w:val="Normal (Web)"/>
    <w:basedOn w:val="Normal"/>
    <w:uiPriority w:val="99"/>
    <w:semiHidden/>
    <w:unhideWhenUsed/>
    <w:rsid w:val="00F814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64B8-F3E7-49DA-A536-86317A71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2249</Words>
  <Characters>11920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Margaret Lindkvist</dc:creator>
  <cp:keywords/>
  <dc:description/>
  <cp:lastModifiedBy>Carmel Margaret Lindkvist</cp:lastModifiedBy>
  <cp:revision>6</cp:revision>
  <dcterms:created xsi:type="dcterms:W3CDTF">2026-05-08T11:50:00Z</dcterms:created>
  <dcterms:modified xsi:type="dcterms:W3CDTF">2026-05-15T06:25:00Z</dcterms:modified>
</cp:coreProperties>
</file>