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8585" w14:textId="77777777" w:rsidR="001546E9" w:rsidRPr="002D1DB0" w:rsidRDefault="00000000" w:rsidP="002D1DB0">
      <w:pPr>
        <w:pStyle w:val="Heading1"/>
        <w:widowControl/>
        <w:jc w:val="center"/>
        <w:rPr>
          <w:rFonts w:ascii="Times New Roman" w:hAnsi="Times New Roman" w:hint="default"/>
          <w:sz w:val="24"/>
          <w:szCs w:val="24"/>
        </w:rPr>
      </w:pPr>
      <w:r w:rsidRPr="002D1DB0">
        <w:rPr>
          <w:rFonts w:ascii="Times New Roman" w:hAnsi="Times New Roman" w:hint="default"/>
          <w:sz w:val="24"/>
          <w:szCs w:val="24"/>
        </w:rPr>
        <w:t>From Code to Confidence: Unpacking the Informational and Trust Mechanisms of Blockchain in Inter-organizational Projects</w:t>
      </w:r>
    </w:p>
    <w:p w14:paraId="46EB2286" w14:textId="23BBF8B9" w:rsidR="001546E9" w:rsidRDefault="00000000">
      <w:pPr>
        <w:pStyle w:val="MDPI13authornames"/>
        <w:jc w:val="center"/>
        <w:rPr>
          <w:rFonts w:ascii="Times New Roman" w:hAnsi="Times New Roman"/>
          <w:snapToGrid w:val="0"/>
          <w:szCs w:val="20"/>
        </w:rPr>
      </w:pPr>
      <w:r>
        <w:rPr>
          <w:rFonts w:ascii="Times New Roman" w:hAnsi="Times New Roman"/>
          <w:snapToGrid w:val="0"/>
          <w:szCs w:val="20"/>
        </w:rPr>
        <w:t xml:space="preserve">Feng Zhang </w:t>
      </w:r>
      <w:r>
        <w:rPr>
          <w:rFonts w:ascii="Times New Roman" w:hAnsi="Times New Roman"/>
          <w:snapToGrid w:val="0"/>
          <w:szCs w:val="20"/>
          <w:vertAlign w:val="superscript"/>
        </w:rPr>
        <w:t>1,</w:t>
      </w:r>
      <w:r>
        <w:rPr>
          <w:rFonts w:ascii="Times New Roman" w:hAnsi="Times New Roman"/>
          <w:snapToGrid w:val="0"/>
          <w:szCs w:val="16"/>
          <w:vertAlign w:val="superscript"/>
        </w:rPr>
        <w:t>2</w:t>
      </w:r>
      <w:r>
        <w:rPr>
          <w:rFonts w:ascii="Times New Roman" w:eastAsia="SimSun" w:hAnsi="Times New Roman"/>
          <w:snapToGrid w:val="0"/>
          <w:szCs w:val="16"/>
          <w:vertAlign w:val="superscript"/>
          <w:lang w:eastAsia="zh-CN"/>
        </w:rPr>
        <w:t>,</w:t>
      </w:r>
      <w:r>
        <w:rPr>
          <w:rFonts w:ascii="Times New Roman" w:hAnsi="Times New Roman"/>
          <w:snapToGrid w:val="0"/>
          <w:szCs w:val="20"/>
        </w:rPr>
        <w:t>*, Mohammed Taha Alqershy</w:t>
      </w:r>
      <w:r>
        <w:rPr>
          <w:rFonts w:ascii="Times New Roman" w:eastAsia="SimSun" w:hAnsi="Times New Roman" w:hint="eastAsia"/>
          <w:snapToGrid w:val="0"/>
          <w:szCs w:val="20"/>
          <w:lang w:eastAsia="zh-CN"/>
        </w:rPr>
        <w:t xml:space="preserve"> </w:t>
      </w:r>
      <w:r>
        <w:rPr>
          <w:rFonts w:ascii="Times New Roman" w:hAnsi="Times New Roman"/>
          <w:snapToGrid w:val="0"/>
          <w:szCs w:val="16"/>
          <w:vertAlign w:val="superscript"/>
        </w:rPr>
        <w:t>1</w:t>
      </w:r>
      <w:r>
        <w:rPr>
          <w:rFonts w:ascii="Times New Roman" w:hAnsi="Times New Roman"/>
          <w:snapToGrid w:val="0"/>
          <w:szCs w:val="20"/>
        </w:rPr>
        <w:t>*</w:t>
      </w:r>
      <w:r w:rsidR="00825909">
        <w:rPr>
          <w:rFonts w:ascii="Times New Roman" w:eastAsia="SimSun" w:hAnsi="Times New Roman"/>
          <w:snapToGrid w:val="0"/>
          <w:szCs w:val="20"/>
          <w:lang w:eastAsia="zh-CN"/>
        </w:rPr>
        <w:t xml:space="preserve">, </w:t>
      </w:r>
      <w:r>
        <w:rPr>
          <w:rFonts w:ascii="Times New Roman" w:eastAsia="SimSun" w:hAnsi="Times New Roman" w:hint="eastAsia"/>
          <w:snapToGrid w:val="0"/>
          <w:szCs w:val="20"/>
          <w:lang w:eastAsia="zh-CN"/>
        </w:rPr>
        <w:t xml:space="preserve">and </w:t>
      </w:r>
      <w:r>
        <w:rPr>
          <w:rFonts w:ascii="Times New Roman" w:hAnsi="Times New Roman"/>
          <w:snapToGrid w:val="0"/>
          <w:szCs w:val="20"/>
        </w:rPr>
        <w:t xml:space="preserve">Qian Shi </w:t>
      </w:r>
      <w:r>
        <w:rPr>
          <w:rFonts w:ascii="Times New Roman" w:hAnsi="Times New Roman"/>
          <w:snapToGrid w:val="0"/>
          <w:szCs w:val="16"/>
          <w:vertAlign w:val="superscript"/>
        </w:rPr>
        <w:t>1</w:t>
      </w:r>
      <w:r>
        <w:rPr>
          <w:rFonts w:ascii="Times New Roman" w:eastAsia="SimSun" w:hAnsi="Times New Roman" w:hint="eastAsia"/>
          <w:snapToGrid w:val="0"/>
          <w:szCs w:val="20"/>
          <w:lang w:eastAsia="zh-CN"/>
        </w:rPr>
        <w:t xml:space="preserve"> </w:t>
      </w:r>
      <w:r>
        <w:rPr>
          <w:rFonts w:ascii="Times New Roman" w:eastAsia="SimSun" w:hAnsi="Times New Roman"/>
          <w:snapToGrid w:val="0"/>
          <w:szCs w:val="16"/>
          <w:vertAlign w:val="superscript"/>
          <w:lang w:eastAsia="zh-CN"/>
        </w:rPr>
        <w:t xml:space="preserve"> </w:t>
      </w:r>
      <w:r>
        <w:rPr>
          <w:rFonts w:ascii="Times New Roman" w:hAnsi="Times New Roman"/>
          <w:snapToGrid w:val="0"/>
          <w:szCs w:val="20"/>
        </w:rPr>
        <w:t xml:space="preserve"> </w:t>
      </w:r>
    </w:p>
    <w:p w14:paraId="0D196258" w14:textId="77777777" w:rsidR="002D1DB0" w:rsidRDefault="002D1DB0" w:rsidP="002D1DB0">
      <w:pPr>
        <w:rPr>
          <w:rFonts w:asciiTheme="majorBidi" w:hAnsiTheme="majorBidi" w:cstheme="majorBidi"/>
          <w:snapToGrid w:val="0"/>
          <w:color w:val="000000" w:themeColor="text1"/>
          <w:sz w:val="20"/>
          <w:szCs w:val="20"/>
        </w:rPr>
      </w:pPr>
      <w:r w:rsidRPr="00F5621A">
        <w:rPr>
          <w:rFonts w:asciiTheme="majorBidi" w:hAnsiTheme="majorBidi" w:cstheme="majorBidi"/>
          <w:snapToGrid w:val="0"/>
          <w:color w:val="000000" w:themeColor="text1"/>
          <w:sz w:val="20"/>
          <w:szCs w:val="20"/>
          <w:vertAlign w:val="superscript"/>
        </w:rPr>
        <w:t>1</w:t>
      </w:r>
      <w:r w:rsidRPr="00F5621A">
        <w:rPr>
          <w:rFonts w:asciiTheme="majorBidi" w:hAnsiTheme="majorBidi" w:cstheme="majorBidi"/>
          <w:snapToGrid w:val="0"/>
          <w:color w:val="000000" w:themeColor="text1"/>
          <w:sz w:val="20"/>
          <w:szCs w:val="20"/>
        </w:rPr>
        <w:t>Department of Construction Management and Real Estate, School of Economics and Management, Tongji University, Shanghai 200092, China;</w:t>
      </w:r>
    </w:p>
    <w:p w14:paraId="21DE88B0" w14:textId="6CF25364" w:rsidR="002D1DB0" w:rsidRPr="00F5621A" w:rsidRDefault="002D1DB0" w:rsidP="002D1DB0">
      <w:pPr>
        <w:rPr>
          <w:rFonts w:asciiTheme="majorBidi" w:hAnsiTheme="majorBidi" w:cstheme="majorBidi"/>
          <w:b/>
          <w:snapToGrid w:val="0"/>
          <w:color w:val="000000" w:themeColor="text1"/>
          <w:sz w:val="20"/>
          <w:szCs w:val="20"/>
        </w:rPr>
      </w:pPr>
      <w:r w:rsidRPr="00F5621A">
        <w:rPr>
          <w:rFonts w:asciiTheme="majorBidi" w:hAnsiTheme="majorBidi" w:cstheme="majorBidi"/>
          <w:snapToGrid w:val="0"/>
          <w:color w:val="000000" w:themeColor="text1"/>
          <w:sz w:val="20"/>
          <w:szCs w:val="20"/>
          <w:vertAlign w:val="superscript"/>
        </w:rPr>
        <w:t>2</w:t>
      </w:r>
      <w:r w:rsidRPr="00F5621A">
        <w:rPr>
          <w:rFonts w:asciiTheme="majorBidi" w:hAnsiTheme="majorBidi" w:cstheme="majorBidi"/>
          <w:snapToGrid w:val="0"/>
          <w:color w:val="000000" w:themeColor="text1"/>
          <w:sz w:val="20"/>
          <w:szCs w:val="20"/>
        </w:rPr>
        <w:t>Architectural Engineering Faculty, Kunming Metallurgy College, No. 388, Xuefu Road, Kunming 650033 China</w:t>
      </w:r>
      <w:r>
        <w:rPr>
          <w:rFonts w:asciiTheme="majorBidi" w:hAnsiTheme="majorBidi" w:cstheme="majorBidi"/>
          <w:snapToGrid w:val="0"/>
          <w:color w:val="000000" w:themeColor="text1"/>
          <w:sz w:val="20"/>
          <w:szCs w:val="20"/>
        </w:rPr>
        <w:t>.</w:t>
      </w:r>
    </w:p>
    <w:p w14:paraId="6D64A466" w14:textId="0A9054B7" w:rsidR="002D1DB0" w:rsidRPr="002D1DB0" w:rsidRDefault="002D1DB0" w:rsidP="002D1DB0">
      <w:pPr>
        <w:pStyle w:val="Heading1"/>
        <w:spacing w:beforeAutospacing="0" w:afterAutospacing="0"/>
        <w:jc w:val="both"/>
        <w:rPr>
          <w:rFonts w:asciiTheme="majorBidi" w:hAnsiTheme="majorBidi" w:cstheme="majorBidi" w:hint="default"/>
          <w:color w:val="000000" w:themeColor="text1"/>
          <w:sz w:val="20"/>
          <w:szCs w:val="20"/>
        </w:rPr>
      </w:pPr>
      <w:r w:rsidRPr="00F5621A">
        <w:rPr>
          <w:rFonts w:asciiTheme="majorBidi" w:hAnsiTheme="majorBidi" w:cstheme="majorBidi" w:hint="default"/>
          <w:color w:val="000000" w:themeColor="text1"/>
          <w:sz w:val="20"/>
          <w:szCs w:val="20"/>
        </w:rPr>
        <w:t>*</w:t>
      </w:r>
      <w:r w:rsidRPr="00E425AA">
        <w:rPr>
          <w:rFonts w:asciiTheme="majorBidi" w:hAnsiTheme="majorBidi" w:cstheme="majorBidi" w:hint="default"/>
          <w:b w:val="0"/>
          <w:bCs w:val="0"/>
          <w:color w:val="000000" w:themeColor="text1"/>
          <w:sz w:val="20"/>
          <w:szCs w:val="20"/>
        </w:rPr>
        <w:t xml:space="preserve">Correspondence: 1910474@tongji.edu.cn, </w:t>
      </w:r>
      <w:r w:rsidRPr="00E425AA">
        <w:rPr>
          <w:rFonts w:asciiTheme="majorBidi" w:hAnsiTheme="majorBidi" w:cstheme="majorBidi" w:hint="default"/>
          <w:b w:val="0"/>
          <w:bCs w:val="0"/>
          <w:snapToGrid w:val="0"/>
          <w:color w:val="000000" w:themeColor="text1"/>
          <w:sz w:val="20"/>
          <w:szCs w:val="20"/>
        </w:rPr>
        <w:t>alqershy@tongji.edu.cn</w:t>
      </w:r>
    </w:p>
    <w:p w14:paraId="3CBB01CC" w14:textId="05F6F012" w:rsidR="001546E9" w:rsidRPr="002D1DB0" w:rsidRDefault="00000000">
      <w:pPr>
        <w:pStyle w:val="Heading2"/>
        <w:widowControl/>
        <w:rPr>
          <w:rFonts w:ascii="Times New Roman" w:hAnsi="Times New Roman" w:hint="default"/>
          <w:sz w:val="24"/>
          <w:szCs w:val="24"/>
        </w:rPr>
      </w:pPr>
      <w:r w:rsidRPr="002D1DB0">
        <w:rPr>
          <w:rFonts w:ascii="Times New Roman" w:hAnsi="Times New Roman" w:hint="default"/>
          <w:sz w:val="24"/>
          <w:szCs w:val="24"/>
        </w:rPr>
        <w:t>1. Research Problem Statement and Purpose</w:t>
      </w:r>
    </w:p>
    <w:p w14:paraId="6D40CD24"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 xml:space="preserve">Inter-organizational projects, especially in construction and infrastructure, are marked by temporariness and high interdependence across organizational boundaries, which makes them particularly vulnerable to trust deficits and collaboration difficulties. Although prior research has widely recognized trust as a key antecedent of inter-organizational collaboration, there is still limited mechanistic understanding of how blockchain technology reshapes the formation of trust and collaboration and the pathways through which such effects unfold (Lumineau et al., 2021). This study therefore does not seek to restate the established proposition that trust facilitates collaboration. Instead, it examines how blockchain technology reconfigures inter-organizational trust by reshaping the information environment and, in turn, influences inter-organizational relationships. </w:t>
      </w:r>
    </w:p>
    <w:p w14:paraId="6A0ADCB4"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Drawing on McLuhan’s (1994) media theory, the paper conceptualizes blockchain as an information medium that reconfigures the governance environment and develops an explanatory framework based on the sequence of technological characteristics–informational attributes–trust structure–collaborative outcomes. Specifically, it examines how blockchain-generated informational attributes—security, authenticity, transparency, and fairness—shape interpersonal trust and inter-organizational trust, and how these two layers of trust further influence inter-organizational coordination and cooperation.</w:t>
      </w:r>
    </w:p>
    <w:p w14:paraId="3DC1E48B"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 xml:space="preserve">The study does not assume that blockchain’s effects on inter-organizational relationships are self-evident. Rather, it focuses on perceptible and reportable trust-formation mechanisms in project settings and develops an exploratory explanatory model to capture how blockchain-generated informational attributes influence inter-organizational collaboration. The central argument is that the value of blockchain lies not in the abstract notion of “trustlessness” (Beck, 2018), but in its capacity to create a </w:t>
      </w:r>
      <w:r>
        <w:rPr>
          <w:rFonts w:ascii="Times New Roman" w:hAnsi="Times New Roman"/>
        </w:rPr>
        <w:lastRenderedPageBreak/>
        <w:t>verifiable information environment that fosters verifiable trust and progressively enables collaboration.</w:t>
      </w:r>
    </w:p>
    <w:p w14:paraId="52698BB3" w14:textId="77777777" w:rsidR="001546E9" w:rsidRPr="002D1DB0" w:rsidRDefault="00000000">
      <w:pPr>
        <w:pStyle w:val="Heading2"/>
        <w:widowControl/>
        <w:rPr>
          <w:rFonts w:ascii="Times New Roman" w:hAnsi="Times New Roman" w:hint="default"/>
          <w:sz w:val="24"/>
          <w:szCs w:val="24"/>
        </w:rPr>
      </w:pPr>
      <w:r w:rsidRPr="002D1DB0">
        <w:rPr>
          <w:rFonts w:ascii="Times New Roman" w:hAnsi="Times New Roman" w:hint="default"/>
          <w:sz w:val="24"/>
          <w:szCs w:val="24"/>
        </w:rPr>
        <w:t>2. Research Methodology and Approach</w:t>
      </w:r>
    </w:p>
    <w:p w14:paraId="36213EC0"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This paper proposes the integrative conceptual model shown in Figure 1 to explain how blockchain technology influences inter-organizational collaboration through a dual-level trust mechanism. Because some constructs pertain to discriminant validity testing at the measurement-model level and therefore do not appear directly in Figure 1, this extended abstract does not discuss each hypothesis individually. Instead, it focuses on the core structural paths and their theoretical logic in order to enhance coherence and readability.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1546E9" w14:paraId="7135209F" w14:textId="77777777">
        <w:tc>
          <w:tcPr>
            <w:tcW w:w="8522" w:type="dxa"/>
          </w:tcPr>
          <w:p w14:paraId="347114BB" w14:textId="77777777" w:rsidR="001546E9" w:rsidRDefault="005F3724">
            <w:pPr>
              <w:rPr>
                <w:rFonts w:ascii="Times New Roman" w:eastAsia="DengXian" w:hAnsi="Times New Roman" w:cs="Times New Roman"/>
                <w:sz w:val="22"/>
                <w:szCs w:val="22"/>
              </w:rPr>
            </w:pPr>
            <w:r>
              <w:rPr>
                <w:rFonts w:ascii="Times New Roman" w:eastAsia="DengXian" w:hAnsi="Times New Roman" w:cs="Times New Roman"/>
                <w:noProof/>
                <w:sz w:val="22"/>
                <w:szCs w:val="22"/>
              </w:rPr>
              <w:object w:dxaOrig="8299" w:dyaOrig="3668" w14:anchorId="43ACB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9.4pt;height:183.4pt;mso-width-percent:0;mso-height-percent:0;mso-width-percent:0;mso-height-percent:0" o:ole="">
                  <v:imagedata r:id="rId7" o:title=""/>
                  <o:lock v:ext="edit" aspectratio="f"/>
                </v:shape>
                <o:OLEObject Type="Embed" ProgID="Visio.Drawing.15" ShapeID="_x0000_i1025" DrawAspect="Content" ObjectID="_1840769720" r:id="rId8"/>
              </w:object>
            </w:r>
          </w:p>
        </w:tc>
      </w:tr>
      <w:tr w:rsidR="001546E9" w14:paraId="49D675F3" w14:textId="77777777">
        <w:tc>
          <w:tcPr>
            <w:tcW w:w="8522" w:type="dxa"/>
          </w:tcPr>
          <w:p w14:paraId="1E317A09" w14:textId="77777777" w:rsidR="001546E9" w:rsidRDefault="00000000">
            <w:pPr>
              <w:pStyle w:val="NormalWeb"/>
              <w:widowControl/>
              <w:spacing w:beforeAutospacing="0" w:afterAutospacing="0"/>
              <w:jc w:val="center"/>
              <w:rPr>
                <w:rFonts w:ascii="Times New Roman" w:eastAsia="DengXian" w:hAnsi="Times New Roman"/>
                <w:color w:val="000000" w:themeColor="text1"/>
                <w:kern w:val="2"/>
                <w:sz w:val="20"/>
                <w:szCs w:val="20"/>
              </w:rPr>
            </w:pPr>
            <w:r>
              <w:rPr>
                <w:rFonts w:ascii="Times New Roman" w:eastAsia="DengXian" w:hAnsi="Times New Roman"/>
                <w:color w:val="000000" w:themeColor="text1"/>
                <w:kern w:val="2"/>
                <w:sz w:val="20"/>
                <w:szCs w:val="20"/>
              </w:rPr>
              <w:t xml:space="preserve">Figure </w:t>
            </w:r>
            <w:r>
              <w:rPr>
                <w:rFonts w:ascii="Times New Roman" w:eastAsia="DengXian" w:hAnsi="Times New Roman" w:hint="eastAsia"/>
                <w:color w:val="000000" w:themeColor="text1"/>
                <w:kern w:val="2"/>
                <w:sz w:val="20"/>
                <w:szCs w:val="20"/>
              </w:rPr>
              <w:t>1</w:t>
            </w:r>
            <w:r>
              <w:rPr>
                <w:rFonts w:ascii="Times New Roman" w:eastAsia="DengXian" w:hAnsi="Times New Roman"/>
                <w:color w:val="000000" w:themeColor="text1"/>
                <w:kern w:val="2"/>
                <w:sz w:val="20"/>
                <w:szCs w:val="20"/>
              </w:rPr>
              <w:t>. Conceptual framework for the impact of blockchain informational attributes on inter-organizational collaboration</w:t>
            </w:r>
          </w:p>
          <w:p w14:paraId="6B2371ED" w14:textId="77777777" w:rsidR="001546E9" w:rsidRDefault="00000000">
            <w:pPr>
              <w:pStyle w:val="NormalWeb"/>
              <w:widowControl/>
              <w:spacing w:beforeAutospacing="0" w:afterAutospacing="0"/>
              <w:rPr>
                <w:rFonts w:ascii="Times New Roman" w:eastAsia="DengXian" w:hAnsi="Times New Roman"/>
                <w:color w:val="000000" w:themeColor="text1"/>
                <w:kern w:val="2"/>
                <w:sz w:val="20"/>
                <w:szCs w:val="20"/>
              </w:rPr>
            </w:pPr>
            <w:r>
              <w:rPr>
                <w:rFonts w:ascii="Times New Roman" w:eastAsia="DengXian" w:hAnsi="Times New Roman"/>
                <w:color w:val="000000" w:themeColor="text1"/>
                <w:kern w:val="2"/>
                <w:sz w:val="20"/>
                <w:szCs w:val="20"/>
              </w:rPr>
              <w:t>(Note: These information attributes are shaped by blockchain technological features through system-level mechanisms. H1 (the two-dimensional structure of IOC) and H3 (the discriminant validity of dual-layer trust) are measurement-model hypotheses to be tested in the CFA and are therefore not displayed in the structural path diagram. IT = Interpersonal Trust; IoT = Inter-organizational Trust; IOC = Inter-organizational Collaboration.)</w:t>
            </w:r>
          </w:p>
        </w:tc>
      </w:tr>
    </w:tbl>
    <w:p w14:paraId="4377D7D9" w14:textId="77777777" w:rsidR="001546E9" w:rsidRDefault="001546E9">
      <w:pPr>
        <w:pStyle w:val="NormalWeb"/>
        <w:widowControl/>
        <w:spacing w:beforeAutospacing="0" w:after="120" w:afterAutospacing="0"/>
        <w:jc w:val="both"/>
        <w:rPr>
          <w:rFonts w:ascii="Times New Roman" w:hAnsi="Times New Roman"/>
          <w:sz w:val="20"/>
          <w:szCs w:val="20"/>
        </w:rPr>
      </w:pPr>
    </w:p>
    <w:p w14:paraId="67A0813D" w14:textId="77777777" w:rsidR="001546E9" w:rsidRDefault="00000000">
      <w:pPr>
        <w:pStyle w:val="Heading3"/>
        <w:widowControl/>
        <w:rPr>
          <w:rFonts w:ascii="Times New Roman" w:hAnsi="Times New Roman" w:hint="default"/>
          <w:sz w:val="20"/>
          <w:szCs w:val="20"/>
        </w:rPr>
      </w:pPr>
      <w:r>
        <w:rPr>
          <w:rFonts w:ascii="Times New Roman" w:hAnsi="Times New Roman" w:hint="default"/>
          <w:sz w:val="20"/>
          <w:szCs w:val="20"/>
        </w:rPr>
        <w:t>2.1 Theoretical Lens: Blockchain as a Medium</w:t>
      </w:r>
    </w:p>
    <w:p w14:paraId="138AE019"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 xml:space="preserve">Drawing on McLuhan’s (1994) theory, the effects of blockchain technology are not realized through its content per se, but through the informational attributes that blockchain technology confers on transactional information. We argue that the technological characteristics of blockchain—decentralization, consensus mechanisms, and cryptography—jointly generate four distinctive informational attributes, which </w:t>
      </w:r>
      <w:r>
        <w:rPr>
          <w:rFonts w:ascii="Times New Roman" w:hAnsi="Times New Roman"/>
        </w:rPr>
        <w:lastRenderedPageBreak/>
        <w:t>constitute the perceptible evidentiary basis upon which boundary spanners form trust judgments:</w:t>
      </w:r>
    </w:p>
    <w:p w14:paraId="51C3D7E0" w14:textId="77777777" w:rsidR="001546E9" w:rsidRDefault="00000000">
      <w:pPr>
        <w:numPr>
          <w:ilvl w:val="0"/>
          <w:numId w:val="1"/>
        </w:numPr>
        <w:spacing w:line="400" w:lineRule="exact"/>
        <w:ind w:left="780"/>
        <w:rPr>
          <w:rFonts w:ascii="Times New Roman" w:hAnsi="Times New Roman" w:cs="Times New Roman"/>
          <w:sz w:val="24"/>
        </w:rPr>
      </w:pPr>
      <w:r>
        <w:rPr>
          <w:rFonts w:ascii="Times New Roman" w:hAnsi="Times New Roman" w:cs="Times New Roman"/>
          <w:sz w:val="24"/>
        </w:rPr>
        <w:t>Security: the capacity to resist tampering and preserve data integrity.</w:t>
      </w:r>
    </w:p>
    <w:p w14:paraId="613DA070" w14:textId="77777777" w:rsidR="001546E9" w:rsidRDefault="00000000">
      <w:pPr>
        <w:numPr>
          <w:ilvl w:val="0"/>
          <w:numId w:val="1"/>
        </w:numPr>
        <w:spacing w:line="400" w:lineRule="exact"/>
        <w:ind w:left="780"/>
        <w:rPr>
          <w:rFonts w:ascii="Times New Roman" w:hAnsi="Times New Roman" w:cs="Times New Roman"/>
          <w:sz w:val="24"/>
        </w:rPr>
      </w:pPr>
      <w:r>
        <w:rPr>
          <w:rFonts w:ascii="Times New Roman" w:hAnsi="Times New Roman" w:cs="Times New Roman"/>
          <w:sz w:val="24"/>
        </w:rPr>
        <w:t>Fidelity/Authenticity: the verifiability of a “single source of truth.”</w:t>
      </w:r>
    </w:p>
    <w:p w14:paraId="1440D064" w14:textId="77777777" w:rsidR="001546E9" w:rsidRDefault="00000000">
      <w:pPr>
        <w:numPr>
          <w:ilvl w:val="0"/>
          <w:numId w:val="1"/>
        </w:numPr>
        <w:spacing w:line="400" w:lineRule="exact"/>
        <w:ind w:left="780"/>
        <w:rPr>
          <w:rFonts w:ascii="Times New Roman" w:hAnsi="Times New Roman" w:cs="Times New Roman"/>
          <w:sz w:val="24"/>
        </w:rPr>
      </w:pPr>
      <w:r>
        <w:rPr>
          <w:rFonts w:ascii="Times New Roman" w:hAnsi="Times New Roman" w:cs="Times New Roman"/>
          <w:sz w:val="24"/>
        </w:rPr>
        <w:t>Transparency: the visibility of processes and actions to relevant counterparts.</w:t>
      </w:r>
    </w:p>
    <w:p w14:paraId="15874ECB" w14:textId="77777777" w:rsidR="001546E9" w:rsidRDefault="00000000">
      <w:pPr>
        <w:numPr>
          <w:ilvl w:val="0"/>
          <w:numId w:val="1"/>
        </w:numPr>
        <w:spacing w:line="400" w:lineRule="exact"/>
        <w:ind w:left="780"/>
        <w:rPr>
          <w:rFonts w:ascii="Times New Roman" w:hAnsi="Times New Roman" w:cs="Times New Roman"/>
        </w:rPr>
      </w:pPr>
      <w:r>
        <w:rPr>
          <w:rFonts w:ascii="Times New Roman" w:hAnsi="Times New Roman" w:cs="Times New Roman"/>
          <w:sz w:val="24"/>
        </w:rPr>
        <w:t>Fairness: procedural justice ensured through automated execution or consensus-based enforcement.</w:t>
      </w:r>
    </w:p>
    <w:p w14:paraId="02E679A6" w14:textId="77777777" w:rsidR="001546E9" w:rsidRDefault="00000000">
      <w:pPr>
        <w:pStyle w:val="Heading3"/>
        <w:widowControl/>
        <w:rPr>
          <w:rFonts w:ascii="Times New Roman" w:hAnsi="Times New Roman" w:hint="default"/>
          <w:sz w:val="20"/>
          <w:szCs w:val="20"/>
        </w:rPr>
      </w:pPr>
      <w:r>
        <w:rPr>
          <w:rFonts w:ascii="Times New Roman" w:hAnsi="Times New Roman" w:hint="default"/>
          <w:sz w:val="20"/>
          <w:szCs w:val="20"/>
        </w:rPr>
        <w:t>2.2 Analytical Framework: Dual-Level Trust &amp; Processual Collaboration</w:t>
      </w:r>
    </w:p>
    <w:p w14:paraId="5ED575BF"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To address the problem of “level confusion” in existing trust research, this study develops a Dual-Level Trust Framework based on Zaheer et al. (1998). Within this framework, interpersonal trust refers to the trust judgments that boundary spanners form about their counterparts through interaction, whereas inter-organizational trust refers to boundary spanners’ overall assessment of another organization’s reliability and predictability. Boundary spanners are organizational representatives who act on behalf of their organizations and connect them to internal and external actors, such as project managers</w:t>
      </w:r>
      <w:r>
        <w:rPr>
          <w:rFonts w:ascii="Times New Roman" w:hAnsi="Times New Roman" w:hint="eastAsia"/>
        </w:rPr>
        <w:t>(</w:t>
      </w:r>
      <w:r>
        <w:rPr>
          <w:rFonts w:ascii="Times New Roman" w:hAnsi="Times New Roman"/>
        </w:rPr>
        <w:t xml:space="preserve">Zaheer et al. </w:t>
      </w:r>
      <w:r>
        <w:rPr>
          <w:rFonts w:ascii="Times New Roman" w:hAnsi="Times New Roman" w:hint="eastAsia"/>
        </w:rPr>
        <w:t>,</w:t>
      </w:r>
      <w:r>
        <w:rPr>
          <w:rFonts w:ascii="Times New Roman" w:hAnsi="Times New Roman"/>
        </w:rPr>
        <w:t>1998</w:t>
      </w:r>
      <w:r>
        <w:rPr>
          <w:rFonts w:ascii="Times New Roman" w:hAnsi="Times New Roman" w:hint="eastAsia"/>
        </w:rPr>
        <w:t>)</w:t>
      </w:r>
      <w:r>
        <w:rPr>
          <w:rFonts w:ascii="Times New Roman" w:hAnsi="Times New Roman"/>
        </w:rPr>
        <w:t>.</w:t>
      </w:r>
    </w:p>
    <w:p w14:paraId="3E13132E"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In addition, this study argues that inter-organizational collaboration (IOC) should not be treated as a static outcome. Following Gulati et al. (2012), it is conceptualized as a processual construct composed of two dimensions. Inter-organizational coordination refers to the deliberate and orderly alignment or adjustment of partners’ actions to achieve jointly determined goals. It emphasizes the alignment of actions, processes, and organizational interfaces, and serves as an enabling condition for collaboration. Inter-organizational cooperation, by contrast, is defined as the process through which two parties jointly pursue shared goals on the basis of a common understanding of contributions and returns. It emphasizes shared goals, commitment of resources, and collective problem-solving, and thus represents a deeper state of joint effort between the parties.</w:t>
      </w:r>
    </w:p>
    <w:p w14:paraId="7CD3A0AD" w14:textId="77777777" w:rsidR="001546E9" w:rsidRDefault="00000000">
      <w:pPr>
        <w:pStyle w:val="Heading3"/>
        <w:widowControl/>
        <w:rPr>
          <w:rFonts w:ascii="Times New Roman" w:hAnsi="Times New Roman" w:hint="default"/>
          <w:sz w:val="20"/>
          <w:szCs w:val="20"/>
        </w:rPr>
      </w:pPr>
      <w:r>
        <w:rPr>
          <w:rFonts w:ascii="Times New Roman" w:hAnsi="Times New Roman" w:hint="default"/>
          <w:sz w:val="20"/>
          <w:szCs w:val="20"/>
        </w:rPr>
        <w:t>2.3 Proposed Empirical Design</w:t>
      </w:r>
    </w:p>
    <w:p w14:paraId="5DC80C4D"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 xml:space="preserve">This study is positioned as an exploratory inquiry primarily aimed at theory building, supplemented by an initial empirical design. Its purpose is to explore and identify the key mechanisms through which blockchain influences trust and </w:t>
      </w:r>
      <w:r>
        <w:rPr>
          <w:rFonts w:ascii="Times New Roman" w:hAnsi="Times New Roman"/>
        </w:rPr>
        <w:lastRenderedPageBreak/>
        <w:t>collaboration, thereby laying the foundation for subsequent large-scale confirmatory research.</w:t>
      </w:r>
    </w:p>
    <w:p w14:paraId="5E8CBEC3"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Although empirical testing of the model is not the primary purpose of this paper, the framework presented in Figure 1 has been developed with empirical examinability in mind. A subsequent study may adopt an exploratory sequential mixed methods design to examine the model. Specifically, using inter-organizational projects in the construction industry as the research context, focus groups may first be conducted to develop a blockchain application scenario. Project managers and other boundary spanners would then discuss the scenario and complete a questionnaire survey, through which data could be collected to test the proposed model.</w:t>
      </w:r>
    </w:p>
    <w:p w14:paraId="587F220B" w14:textId="77777777" w:rsidR="001546E9" w:rsidRPr="002D1DB0" w:rsidRDefault="00000000">
      <w:pPr>
        <w:pStyle w:val="Heading2"/>
        <w:widowControl/>
        <w:rPr>
          <w:rFonts w:ascii="Times New Roman" w:hAnsi="Times New Roman" w:hint="default"/>
          <w:sz w:val="24"/>
          <w:szCs w:val="24"/>
        </w:rPr>
      </w:pPr>
      <w:r w:rsidRPr="002D1DB0">
        <w:rPr>
          <w:rFonts w:ascii="Times New Roman" w:hAnsi="Times New Roman" w:hint="default"/>
          <w:sz w:val="24"/>
          <w:szCs w:val="24"/>
        </w:rPr>
        <w:t>3. Key Findings and Theoretical Mechanisms</w:t>
      </w:r>
    </w:p>
    <w:p w14:paraId="2049ECB8"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Figure 1 concentrates the analysis on a single core logic. It illustrates how blockchain technology shapes dual-level trust through its informational attributes and, through trust mechanisms, promotes inter-organizational collaboration. Rather than advancing multiple parallel mechanisms simultaneously, the paper emphasizes the theoretical clarity and analytical focus of this core explanatory chain. This logic can be decomposed into three main mechanisms.</w:t>
      </w:r>
    </w:p>
    <w:p w14:paraId="4F0B17D3" w14:textId="77777777" w:rsidR="001546E9" w:rsidRDefault="00000000">
      <w:pPr>
        <w:pStyle w:val="Heading3"/>
        <w:widowControl/>
        <w:rPr>
          <w:rFonts w:ascii="Times New Roman" w:hAnsi="Times New Roman" w:hint="default"/>
          <w:sz w:val="20"/>
          <w:szCs w:val="20"/>
        </w:rPr>
      </w:pPr>
      <w:r>
        <w:rPr>
          <w:rFonts w:ascii="Times New Roman" w:hAnsi="Times New Roman" w:hint="default"/>
          <w:sz w:val="20"/>
          <w:szCs w:val="20"/>
        </w:rPr>
        <w:t>3.1 Mechanism 1: From Technical Features to Trust-Inducing Attributes</w:t>
      </w:r>
    </w:p>
    <w:p w14:paraId="779DD057"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The first mechanism shows that blockchain does not replace trust; rather, it reconfigures the conditions under which trust is formed. Transparency and security operate as risk-mitigating mechanisms: by reducing information asymmetry and lowering the cost of verifying information reliability, they facilitate the formation of interpersonal trust. Fairness and authenticity, by contrast, provide the basis for institutional assurance. These attributes create a sense of procedural justice and signal that counterparties are operating within a predictable, rule-governed system in which constraints are embedded in the system itself rather than dependent solely on interpersonal relationships. This logic is especially important for inter-organizational trust.</w:t>
      </w:r>
    </w:p>
    <w:p w14:paraId="7C4E9FE0" w14:textId="77777777" w:rsidR="001546E9" w:rsidRDefault="00000000">
      <w:pPr>
        <w:pStyle w:val="Heading3"/>
        <w:widowControl/>
        <w:rPr>
          <w:rFonts w:ascii="Times New Roman" w:hAnsi="Times New Roman" w:hint="default"/>
          <w:sz w:val="20"/>
          <w:szCs w:val="20"/>
        </w:rPr>
      </w:pPr>
      <w:r>
        <w:rPr>
          <w:rFonts w:ascii="Times New Roman" w:hAnsi="Times New Roman" w:hint="default"/>
          <w:sz w:val="20"/>
          <w:szCs w:val="20"/>
        </w:rPr>
        <w:t>3.2 Mechanism 2: Cross-Level Trust Transmission</w:t>
      </w:r>
    </w:p>
    <w:p w14:paraId="6F584165"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 xml:space="preserve">The second mechanism reveals a bottom-up transmission logic between interpersonal trust (IT) and inter-organizational trust (IoT). Specifically, positive and </w:t>
      </w:r>
      <w:r>
        <w:rPr>
          <w:rFonts w:ascii="Times New Roman" w:hAnsi="Times New Roman"/>
        </w:rPr>
        <w:lastRenderedPageBreak/>
        <w:t>verifiable interactions between boundary spanners accumulate over time and gradually become institutionalized into broader organizational expectations. This suggests that blockchain technology can generate a form of swift trust at the interpersonal level, and that such trust constitutes a necessary precondition for the development of stable and enduring inter-organizational trust.</w:t>
      </w:r>
    </w:p>
    <w:p w14:paraId="27D1A49F" w14:textId="77777777" w:rsidR="001546E9" w:rsidRPr="002D1DB0" w:rsidRDefault="00000000">
      <w:pPr>
        <w:pStyle w:val="Heading3"/>
        <w:widowControl/>
        <w:rPr>
          <w:rFonts w:ascii="Times New Roman" w:hAnsi="Times New Roman" w:hint="default"/>
          <w:sz w:val="20"/>
          <w:szCs w:val="20"/>
        </w:rPr>
      </w:pPr>
      <w:r w:rsidRPr="002D1DB0">
        <w:rPr>
          <w:rFonts w:ascii="Times New Roman" w:hAnsi="Times New Roman" w:hint="default"/>
          <w:sz w:val="20"/>
          <w:szCs w:val="20"/>
        </w:rPr>
        <w:t>3.3 Mechanism 3: The Coordination–Cooperation Linkage</w:t>
      </w:r>
    </w:p>
    <w:p w14:paraId="30A53504"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The third mechanism concerns the coordination–cooperation linkage. The model advances a stage-based logic in which coordination precedes cooperation. Informational attributes such as traceability and the availability of a single source of truth can directly enhance coordination by improving the alignment of shared schedules, logistics interfaces, and design interfaces. Mediated by higher levels of trust, improvements in coordination and reductions in friction further create the psychological safety and process stability required for cooperation, thereby facilitating resource sharing and joint problem-solving. In short, blockchain contributes to deeper forms of cooperation because it first addresses those seemingly mundane yet fundamentally important problems of coordination and trust verification.</w:t>
      </w:r>
    </w:p>
    <w:p w14:paraId="4CEF9858" w14:textId="77777777" w:rsidR="001546E9" w:rsidRDefault="00000000">
      <w:pPr>
        <w:pStyle w:val="NormalWeb"/>
        <w:widowControl/>
        <w:spacing w:beforeAutospacing="0" w:afterAutospacing="0" w:line="400" w:lineRule="exact"/>
        <w:ind w:firstLineChars="200" w:firstLine="480"/>
        <w:rPr>
          <w:rFonts w:ascii="Times New Roman" w:hAnsi="Times New Roman"/>
        </w:rPr>
      </w:pPr>
      <w:r>
        <w:rPr>
          <w:rFonts w:ascii="Times New Roman" w:hAnsi="Times New Roman"/>
        </w:rPr>
        <w:t>Taken together, these mechanisms suggest that blockchain-enabled governance transformation in inter-organizational relationships begins not with the elimination of trust, but with the redesign of the informational conditions under which trust can be formed, verified, and extended across levels.</w:t>
      </w:r>
    </w:p>
    <w:p w14:paraId="1EB44329" w14:textId="77777777" w:rsidR="001546E9" w:rsidRPr="002D1DB0" w:rsidRDefault="00000000">
      <w:pPr>
        <w:pStyle w:val="Heading2"/>
        <w:widowControl/>
        <w:rPr>
          <w:rFonts w:ascii="Times New Roman" w:hAnsi="Times New Roman" w:hint="default"/>
          <w:sz w:val="24"/>
          <w:szCs w:val="24"/>
        </w:rPr>
      </w:pPr>
      <w:r w:rsidRPr="002D1DB0">
        <w:rPr>
          <w:rFonts w:ascii="Times New Roman" w:hAnsi="Times New Roman" w:hint="default"/>
          <w:sz w:val="24"/>
          <w:szCs w:val="24"/>
        </w:rPr>
        <w:t>4. Research Implications</w:t>
      </w:r>
    </w:p>
    <w:p w14:paraId="0481318C" w14:textId="77777777" w:rsidR="001546E9" w:rsidRDefault="00000000">
      <w:pPr>
        <w:pStyle w:val="NormalWeb"/>
        <w:spacing w:beforeAutospacing="0" w:afterAutospacing="0" w:line="400" w:lineRule="exact"/>
        <w:ind w:firstLineChars="200" w:firstLine="480"/>
        <w:jc w:val="both"/>
        <w:rPr>
          <w:rFonts w:ascii="Times New Roman" w:hAnsi="Times New Roman"/>
        </w:rPr>
      </w:pPr>
      <w:r>
        <w:rPr>
          <w:rFonts w:ascii="Times New Roman" w:hAnsi="Times New Roman"/>
        </w:rPr>
        <w:t>The paper makes two primary theoretical contributions. First, it shifts the analytical focus from blockchain as a technical tool to blockchain as an information medium, thereby offering a distinctive lens for understanding how blockchain becomes socially embedded in inter-organizational settings. Second, it develops a layered analytical framework that distinguishes between interpersonal trust and inter-organizational trust, as well as between coordination and cooperation. By doing so, it helps resolve the paradox of blockchain as a “trustless” technology. What blockchain reinforces is not the absence of trust, but the formation of verifiable trust across organizational boundaries. Blockchain is therefore not a substitute for interpersonal relationships; rather, it serves as a scaffold through which such relationships can be formed and stabilized.</w:t>
      </w:r>
    </w:p>
    <w:p w14:paraId="6B567D6E"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lastRenderedPageBreak/>
        <w:t>The paper also offers practical implications for blockchain-enabled governance in inter-organizational projects. Managers need to focus less on blockchain adoption per se and more on whether blockchain systems actually activate perceivable informational attributes for users. If a system remains opaque to participants, its trust-mediating function is unlikely to materialize. The findings also support a coordination-first strategy: managers should initially deploy blockchain to address immediate coordination frictions, such as document tracking and payment automation, so as to accumulate small wins and build interpersonal trust before pursuing deeper forms of cooperation. Finally, the framework highlights a changing role for boundary spanners. In blockchain-enabled environments, project managers no longer act merely as coordinators; they increasingly function as verifiers and trust enablers, using on-chain evidence to create the conditions for effective collaboration.</w:t>
      </w:r>
    </w:p>
    <w:p w14:paraId="7016E04A" w14:textId="77777777" w:rsidR="001546E9" w:rsidRDefault="00000000">
      <w:pPr>
        <w:pStyle w:val="NormalWeb"/>
        <w:widowControl/>
        <w:spacing w:beforeAutospacing="0" w:afterAutospacing="0" w:line="400" w:lineRule="exact"/>
        <w:ind w:firstLineChars="200" w:firstLine="480"/>
        <w:jc w:val="both"/>
        <w:rPr>
          <w:rFonts w:ascii="Times New Roman" w:hAnsi="Times New Roman"/>
        </w:rPr>
      </w:pPr>
      <w:r>
        <w:rPr>
          <w:rFonts w:ascii="Times New Roman" w:hAnsi="Times New Roman"/>
        </w:rPr>
        <w:t>Overall, the paper argues that blockchain matters not because it removes trust from collaboration, but because it reorganizes the informational conditions under which trust can be verified, extended, and converted into more robust inter-organizational collaboration.</w:t>
      </w:r>
    </w:p>
    <w:p w14:paraId="38A77656" w14:textId="77777777" w:rsidR="001546E9" w:rsidRPr="002D1DB0" w:rsidRDefault="00000000">
      <w:pPr>
        <w:pStyle w:val="Heading3"/>
        <w:rPr>
          <w:rFonts w:ascii="Times New Roman" w:hAnsi="Times New Roman" w:hint="default"/>
          <w:sz w:val="24"/>
          <w:szCs w:val="24"/>
        </w:rPr>
      </w:pPr>
      <w:r w:rsidRPr="002D1DB0">
        <w:rPr>
          <w:rFonts w:ascii="Times New Roman" w:hAnsi="Times New Roman" w:hint="default"/>
          <w:sz w:val="24"/>
          <w:szCs w:val="24"/>
        </w:rPr>
        <w:t>References</w:t>
      </w:r>
    </w:p>
    <w:p w14:paraId="0B739A09" w14:textId="77777777" w:rsidR="001546E9" w:rsidRPr="002D1DB0" w:rsidRDefault="00000000">
      <w:pPr>
        <w:pStyle w:val="NormalWeb"/>
        <w:widowControl/>
        <w:spacing w:beforeAutospacing="0" w:after="120" w:afterAutospacing="0"/>
        <w:jc w:val="both"/>
        <w:rPr>
          <w:rFonts w:ascii="Times New Roman" w:hAnsi="Times New Roman"/>
        </w:rPr>
      </w:pPr>
      <w:r w:rsidRPr="002D1DB0">
        <w:rPr>
          <w:rFonts w:ascii="Times New Roman" w:hAnsi="Times New Roman"/>
        </w:rPr>
        <w:t>Beck, R. (2018). Beyond Bitcoin: The rise of blockchain world. Computer, 51(2), 54–58.</w:t>
      </w:r>
    </w:p>
    <w:p w14:paraId="6CE9081C" w14:textId="77777777" w:rsidR="001546E9" w:rsidRPr="002D1DB0" w:rsidRDefault="00000000">
      <w:pPr>
        <w:pStyle w:val="NormalWeb"/>
        <w:widowControl/>
        <w:spacing w:beforeAutospacing="0" w:after="120" w:afterAutospacing="0"/>
        <w:jc w:val="both"/>
        <w:rPr>
          <w:rFonts w:ascii="Times New Roman" w:hAnsi="Times New Roman"/>
        </w:rPr>
      </w:pPr>
      <w:r w:rsidRPr="002D1DB0">
        <w:rPr>
          <w:rFonts w:ascii="Times New Roman" w:hAnsi="Times New Roman"/>
        </w:rPr>
        <w:t>Gulati R, Wohlgezogen F, Zhelyazkov P (2012) The two facets of collaboration: Cooperation and coordination in strategic alliances. Acad. Management Ann. 6(1):531–583.</w:t>
      </w:r>
    </w:p>
    <w:p w14:paraId="42E906E5" w14:textId="77777777" w:rsidR="001546E9" w:rsidRPr="002D1DB0" w:rsidRDefault="00000000">
      <w:pPr>
        <w:pStyle w:val="NormalWeb"/>
        <w:widowControl/>
        <w:spacing w:beforeAutospacing="0" w:after="120" w:afterAutospacing="0"/>
        <w:jc w:val="both"/>
        <w:rPr>
          <w:rFonts w:ascii="Times New Roman" w:hAnsi="Times New Roman"/>
        </w:rPr>
      </w:pPr>
      <w:r w:rsidRPr="002D1DB0">
        <w:rPr>
          <w:rFonts w:ascii="Times New Roman" w:hAnsi="Times New Roman"/>
        </w:rPr>
        <w:t>Lumineau, F., Wang, W., &amp; Schilke, O. (2021). Blockchain governance—A new way of organizing collaborations? Organization Science.</w:t>
      </w:r>
    </w:p>
    <w:p w14:paraId="00BA4840" w14:textId="77777777" w:rsidR="001546E9" w:rsidRPr="002D1DB0" w:rsidRDefault="00000000">
      <w:pPr>
        <w:pStyle w:val="NormalWeb"/>
        <w:widowControl/>
        <w:spacing w:beforeAutospacing="0" w:after="120" w:afterAutospacing="0"/>
        <w:jc w:val="both"/>
        <w:rPr>
          <w:rFonts w:ascii="Times New Roman" w:hAnsi="Times New Roman"/>
        </w:rPr>
      </w:pPr>
      <w:r w:rsidRPr="002D1DB0">
        <w:rPr>
          <w:rFonts w:ascii="Times New Roman" w:hAnsi="Times New Roman"/>
        </w:rPr>
        <w:t>McLuhan, M. (1994). Understanding media: The extensions of man. MIT Press.</w:t>
      </w:r>
    </w:p>
    <w:p w14:paraId="0572768D" w14:textId="77777777" w:rsidR="001546E9" w:rsidRPr="002D1DB0" w:rsidRDefault="00000000">
      <w:pPr>
        <w:pStyle w:val="NormalWeb"/>
        <w:widowControl/>
        <w:spacing w:beforeAutospacing="0" w:after="120" w:afterAutospacing="0"/>
        <w:jc w:val="both"/>
        <w:rPr>
          <w:rFonts w:ascii="Times New Roman" w:hAnsi="Times New Roman"/>
        </w:rPr>
      </w:pPr>
      <w:r w:rsidRPr="002D1DB0">
        <w:rPr>
          <w:rFonts w:ascii="Times New Roman" w:hAnsi="Times New Roman"/>
        </w:rPr>
        <w:t>Zaheer, A., McEvily, B., &amp; Perrone, V. (1998). Does trust matter? Organization Science.</w:t>
      </w:r>
    </w:p>
    <w:p w14:paraId="133AB4A7" w14:textId="77777777" w:rsidR="001546E9" w:rsidRDefault="001546E9">
      <w:pPr>
        <w:pStyle w:val="NormalWeb"/>
        <w:widowControl/>
        <w:spacing w:beforeAutospacing="0" w:after="120" w:afterAutospacing="0"/>
        <w:jc w:val="both"/>
        <w:rPr>
          <w:rFonts w:ascii="Times New Roman" w:hAnsi="Times New Roman"/>
          <w:sz w:val="20"/>
          <w:szCs w:val="20"/>
        </w:rPr>
      </w:pPr>
    </w:p>
    <w:p w14:paraId="4E3116D6" w14:textId="77777777" w:rsidR="001546E9" w:rsidRDefault="001546E9">
      <w:pPr>
        <w:rPr>
          <w:rFonts w:ascii="Times New Roman" w:hAnsi="Times New Roman" w:cs="Times New Roman"/>
          <w:sz w:val="20"/>
          <w:szCs w:val="20"/>
        </w:rPr>
      </w:pPr>
    </w:p>
    <w:sectPr w:rsidR="001546E9">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E2AF" w14:textId="77777777" w:rsidR="005F3724" w:rsidRDefault="005F3724" w:rsidP="00825909">
      <w:r>
        <w:separator/>
      </w:r>
    </w:p>
  </w:endnote>
  <w:endnote w:type="continuationSeparator" w:id="0">
    <w:p w14:paraId="561838A2" w14:textId="77777777" w:rsidR="005F3724" w:rsidRDefault="005F3724" w:rsidP="008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910399"/>
      <w:docPartObj>
        <w:docPartGallery w:val="Page Numbers (Bottom of Page)"/>
        <w:docPartUnique/>
      </w:docPartObj>
    </w:sdtPr>
    <w:sdtContent>
      <w:p w14:paraId="57765807" w14:textId="325D2535" w:rsidR="00825909" w:rsidRDefault="00825909" w:rsidP="009D21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6DDAF8" w14:textId="77777777" w:rsidR="00825909" w:rsidRDefault="0082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9057433"/>
      <w:docPartObj>
        <w:docPartGallery w:val="Page Numbers (Bottom of Page)"/>
        <w:docPartUnique/>
      </w:docPartObj>
    </w:sdtPr>
    <w:sdtContent>
      <w:p w14:paraId="47744228" w14:textId="4631D29E" w:rsidR="00825909" w:rsidRDefault="00825909" w:rsidP="009D214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78FC50" w14:textId="77777777" w:rsidR="00825909" w:rsidRDefault="0082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94CA" w14:textId="77777777" w:rsidR="005F3724" w:rsidRDefault="005F3724" w:rsidP="00825909">
      <w:r>
        <w:separator/>
      </w:r>
    </w:p>
  </w:footnote>
  <w:footnote w:type="continuationSeparator" w:id="0">
    <w:p w14:paraId="2A445E3E" w14:textId="77777777" w:rsidR="005F3724" w:rsidRDefault="005F3724" w:rsidP="0082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4308"/>
    <w:multiLevelType w:val="multilevel"/>
    <w:tmpl w:val="03A94308"/>
    <w:lvl w:ilvl="0">
      <w:start w:val="1"/>
      <w:numFmt w:val="bullet"/>
      <w:lvlText w:val=""/>
      <w:lvlJc w:val="left"/>
      <w:pPr>
        <w:tabs>
          <w:tab w:val="left" w:pos="720"/>
        </w:tabs>
        <w:ind w:left="6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0111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B129A2"/>
    <w:rsid w:val="001546E9"/>
    <w:rsid w:val="002D1DB0"/>
    <w:rsid w:val="00415C2D"/>
    <w:rsid w:val="005F3724"/>
    <w:rsid w:val="00663F77"/>
    <w:rsid w:val="00825909"/>
    <w:rsid w:val="00CF08C3"/>
    <w:rsid w:val="00D871A9"/>
    <w:rsid w:val="0360600E"/>
    <w:rsid w:val="04300416"/>
    <w:rsid w:val="051607AF"/>
    <w:rsid w:val="0541243E"/>
    <w:rsid w:val="056E785D"/>
    <w:rsid w:val="07A31495"/>
    <w:rsid w:val="090221EB"/>
    <w:rsid w:val="090C66CA"/>
    <w:rsid w:val="09932EAE"/>
    <w:rsid w:val="099B786A"/>
    <w:rsid w:val="0A6E69DC"/>
    <w:rsid w:val="0BC47C2C"/>
    <w:rsid w:val="0C6C47E1"/>
    <w:rsid w:val="0D420ECC"/>
    <w:rsid w:val="0D63594E"/>
    <w:rsid w:val="0DCA1D87"/>
    <w:rsid w:val="0E306F56"/>
    <w:rsid w:val="102858E0"/>
    <w:rsid w:val="12590EE9"/>
    <w:rsid w:val="13A4524B"/>
    <w:rsid w:val="158C1357"/>
    <w:rsid w:val="18AE1A76"/>
    <w:rsid w:val="1A2C3E87"/>
    <w:rsid w:val="1B1D6504"/>
    <w:rsid w:val="1C7038A3"/>
    <w:rsid w:val="1C9E6B83"/>
    <w:rsid w:val="1D293D92"/>
    <w:rsid w:val="1D914CF4"/>
    <w:rsid w:val="1DB37BCA"/>
    <w:rsid w:val="1FCD24BE"/>
    <w:rsid w:val="2063134C"/>
    <w:rsid w:val="210E493A"/>
    <w:rsid w:val="21597F8F"/>
    <w:rsid w:val="21FF399E"/>
    <w:rsid w:val="229C0BCE"/>
    <w:rsid w:val="24F05B22"/>
    <w:rsid w:val="25706A02"/>
    <w:rsid w:val="26247AE2"/>
    <w:rsid w:val="27D81A02"/>
    <w:rsid w:val="28723935"/>
    <w:rsid w:val="28AE1D2D"/>
    <w:rsid w:val="28EF7C3E"/>
    <w:rsid w:val="298C5A63"/>
    <w:rsid w:val="2A406D77"/>
    <w:rsid w:val="2ACC6789"/>
    <w:rsid w:val="2BEB6DE3"/>
    <w:rsid w:val="2BF00B4E"/>
    <w:rsid w:val="2D371BB4"/>
    <w:rsid w:val="2DDE7C3A"/>
    <w:rsid w:val="2DEE751D"/>
    <w:rsid w:val="2ECF5835"/>
    <w:rsid w:val="2EEE038E"/>
    <w:rsid w:val="2F827A5E"/>
    <w:rsid w:val="30933F4E"/>
    <w:rsid w:val="325F4087"/>
    <w:rsid w:val="32E7407C"/>
    <w:rsid w:val="333A0650"/>
    <w:rsid w:val="33F3499B"/>
    <w:rsid w:val="34D56EA9"/>
    <w:rsid w:val="358C7686"/>
    <w:rsid w:val="3634482E"/>
    <w:rsid w:val="371340CB"/>
    <w:rsid w:val="37923C81"/>
    <w:rsid w:val="38391DE6"/>
    <w:rsid w:val="390C4095"/>
    <w:rsid w:val="398A32F4"/>
    <w:rsid w:val="39EE588E"/>
    <w:rsid w:val="3A6C6BA3"/>
    <w:rsid w:val="3DB129A2"/>
    <w:rsid w:val="3F393CF4"/>
    <w:rsid w:val="3FCE3382"/>
    <w:rsid w:val="40210ECA"/>
    <w:rsid w:val="410A340F"/>
    <w:rsid w:val="41270465"/>
    <w:rsid w:val="435B5862"/>
    <w:rsid w:val="446D28BC"/>
    <w:rsid w:val="452B429C"/>
    <w:rsid w:val="457B705D"/>
    <w:rsid w:val="4618488A"/>
    <w:rsid w:val="47955AA5"/>
    <w:rsid w:val="48164DEF"/>
    <w:rsid w:val="49CF14E6"/>
    <w:rsid w:val="49EC13F4"/>
    <w:rsid w:val="4A001D4C"/>
    <w:rsid w:val="4DA43DCC"/>
    <w:rsid w:val="4E08517B"/>
    <w:rsid w:val="507A7F17"/>
    <w:rsid w:val="517777B8"/>
    <w:rsid w:val="54237CF8"/>
    <w:rsid w:val="55A176B9"/>
    <w:rsid w:val="55C4407D"/>
    <w:rsid w:val="55DE5E28"/>
    <w:rsid w:val="572B1EDA"/>
    <w:rsid w:val="58474AF1"/>
    <w:rsid w:val="587C3671"/>
    <w:rsid w:val="5A6951F3"/>
    <w:rsid w:val="5A851E2B"/>
    <w:rsid w:val="5AA579DB"/>
    <w:rsid w:val="5D3D18CE"/>
    <w:rsid w:val="60016290"/>
    <w:rsid w:val="6054479E"/>
    <w:rsid w:val="60CA6112"/>
    <w:rsid w:val="612F2452"/>
    <w:rsid w:val="61B81558"/>
    <w:rsid w:val="61F5435F"/>
    <w:rsid w:val="62215569"/>
    <w:rsid w:val="63796007"/>
    <w:rsid w:val="654F2EC9"/>
    <w:rsid w:val="66434B4A"/>
    <w:rsid w:val="66BF4375"/>
    <w:rsid w:val="68B505AF"/>
    <w:rsid w:val="68DE31CA"/>
    <w:rsid w:val="695B03FD"/>
    <w:rsid w:val="69AA4468"/>
    <w:rsid w:val="6AEF7BA8"/>
    <w:rsid w:val="6B785296"/>
    <w:rsid w:val="6B9512C7"/>
    <w:rsid w:val="6BB30A4F"/>
    <w:rsid w:val="6BF554A5"/>
    <w:rsid w:val="6C121FCD"/>
    <w:rsid w:val="6F624C36"/>
    <w:rsid w:val="70C8390D"/>
    <w:rsid w:val="71BB5EDC"/>
    <w:rsid w:val="722A1C84"/>
    <w:rsid w:val="724C0952"/>
    <w:rsid w:val="72B16DE5"/>
    <w:rsid w:val="735D5D97"/>
    <w:rsid w:val="74412868"/>
    <w:rsid w:val="77664B3C"/>
    <w:rsid w:val="78CC1CD6"/>
    <w:rsid w:val="79C26822"/>
    <w:rsid w:val="7A103B48"/>
    <w:rsid w:val="7AC878BC"/>
    <w:rsid w:val="7B117F35"/>
    <w:rsid w:val="7B1C4E34"/>
    <w:rsid w:val="7D3C0CBC"/>
    <w:rsid w:val="7D425704"/>
    <w:rsid w:val="7D9228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B5AB9"/>
  <w15:docId w15:val="{6CE803F7-2BEA-D344-9311-DC9DC927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link w:val="Heading1Char"/>
    <w:qFormat/>
    <w:pPr>
      <w:spacing w:beforeAutospacing="1"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b/>
      <w:color w:val="000000"/>
      <w:szCs w:val="22"/>
      <w:lang w:val="en-US" w:eastAsia="de-DE" w:bidi="en-US"/>
      <w14:ligatures w14:val="standardContextual"/>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14:ligatures w14:val="standardContextual"/>
    </w:rPr>
  </w:style>
  <w:style w:type="paragraph" w:styleId="Revision">
    <w:name w:val="Revision"/>
    <w:hidden/>
    <w:uiPriority w:val="99"/>
    <w:unhideWhenUsed/>
    <w:rsid w:val="002D1DB0"/>
    <w:rPr>
      <w:rFonts w:asciiTheme="minorHAnsi" w:eastAsiaTheme="minorEastAsia" w:hAnsiTheme="minorHAnsi" w:cstheme="minorBidi"/>
      <w:kern w:val="2"/>
      <w:sz w:val="21"/>
      <w:szCs w:val="24"/>
      <w:lang w:val="en-US"/>
    </w:rPr>
  </w:style>
  <w:style w:type="character" w:customStyle="1" w:styleId="Heading1Char">
    <w:name w:val="Heading 1 Char"/>
    <w:basedOn w:val="DefaultParagraphFont"/>
    <w:link w:val="Heading1"/>
    <w:rsid w:val="002D1DB0"/>
    <w:rPr>
      <w:rFonts w:ascii="SimSun" w:hAnsi="SimSun"/>
      <w:b/>
      <w:bCs/>
      <w:kern w:val="44"/>
      <w:sz w:val="48"/>
      <w:szCs w:val="48"/>
      <w:lang w:val="en-US"/>
    </w:rPr>
  </w:style>
  <w:style w:type="paragraph" w:styleId="Footer">
    <w:name w:val="footer"/>
    <w:basedOn w:val="Normal"/>
    <w:link w:val="FooterChar"/>
    <w:rsid w:val="00825909"/>
    <w:pPr>
      <w:tabs>
        <w:tab w:val="center" w:pos="4680"/>
        <w:tab w:val="right" w:pos="9360"/>
      </w:tabs>
    </w:pPr>
  </w:style>
  <w:style w:type="character" w:customStyle="1" w:styleId="FooterChar">
    <w:name w:val="Footer Char"/>
    <w:basedOn w:val="DefaultParagraphFont"/>
    <w:link w:val="Footer"/>
    <w:rsid w:val="00825909"/>
    <w:rPr>
      <w:rFonts w:asciiTheme="minorHAnsi" w:eastAsiaTheme="minorEastAsia" w:hAnsiTheme="minorHAnsi" w:cstheme="minorBidi"/>
      <w:kern w:val="2"/>
      <w:sz w:val="21"/>
      <w:szCs w:val="24"/>
      <w:lang w:val="en-US"/>
    </w:rPr>
  </w:style>
  <w:style w:type="character" w:styleId="PageNumber">
    <w:name w:val="page number"/>
    <w:basedOn w:val="DefaultParagraphFont"/>
    <w:rsid w:val="0082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Mohammed Taha</cp:lastModifiedBy>
  <cp:revision>2</cp:revision>
  <dcterms:created xsi:type="dcterms:W3CDTF">2026-05-20T00:08:00Z</dcterms:created>
  <dcterms:modified xsi:type="dcterms:W3CDTF">2026-05-20T00:08:00Z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5E10AB0738A44322A5C350120EE910D8_13</vt:lpwstr>
  </property>
  <property fmtid="{D5CDD505-2E9C-101B-9397-08002B2CF9AE}" pid="4" name="KSOTemplateDocerSaveRecord">
    <vt:lpwstr>eyJoZGlkIjoiNzhhNWY4ZDUyZDk1MjE0NWU1YWVhZTc3NWM4YWU1Y2UiLCJ1c2VySWQiOiI4OTE0NDI0NDgifQ==</vt:lpwstr>
  </property>
</Properties>
</file>