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46C43" w14:textId="41B27E92" w:rsidR="003B5956" w:rsidRDefault="003B5956" w:rsidP="00CA7C6A">
      <w:pPr>
        <w:pStyle w:val="Heading1"/>
      </w:pPr>
      <w:r w:rsidRPr="003B5956">
        <w:t xml:space="preserve">Ill-Begun is Half Undone: The </w:t>
      </w:r>
      <w:r w:rsidR="00493841">
        <w:t xml:space="preserve">Challenges </w:t>
      </w:r>
      <w:r w:rsidRPr="003B5956">
        <w:t xml:space="preserve">of Temporary </w:t>
      </w:r>
      <w:r w:rsidRPr="00CA7C6A">
        <w:t>Governance</w:t>
      </w:r>
      <w:r w:rsidRPr="003B5956">
        <w:t xml:space="preserve"> in the Danish Super-Hospital Program</w:t>
      </w:r>
    </w:p>
    <w:p w14:paraId="1C72F27F" w14:textId="73443EA8" w:rsidR="008745C0" w:rsidRDefault="001D01FF" w:rsidP="001D01FF">
      <w:pPr>
        <w:rPr>
          <w:vertAlign w:val="superscript"/>
          <w:lang w:val="en-US"/>
        </w:rPr>
      </w:pPr>
      <w:r>
        <w:rPr>
          <w:lang w:val="en-US"/>
        </w:rPr>
        <w:t xml:space="preserve">Christian </w:t>
      </w:r>
      <w:proofErr w:type="gramStart"/>
      <w:r w:rsidR="00DF6AA4">
        <w:rPr>
          <w:lang w:val="en-US"/>
        </w:rPr>
        <w:t>Thuesen</w:t>
      </w:r>
      <w:r w:rsidR="00925175" w:rsidRPr="00925175">
        <w:rPr>
          <w:vertAlign w:val="superscript"/>
          <w:lang w:val="en-US"/>
        </w:rPr>
        <w:t>(</w:t>
      </w:r>
      <w:proofErr w:type="gramEnd"/>
      <w:r w:rsidR="00925175" w:rsidRPr="00925175">
        <w:rPr>
          <w:vertAlign w:val="superscript"/>
          <w:lang w:val="en-US"/>
        </w:rPr>
        <w:t>1)</w:t>
      </w:r>
      <w:r w:rsidR="00DF6AA4">
        <w:rPr>
          <w:lang w:val="en-US"/>
        </w:rPr>
        <w:t xml:space="preserve"> </w:t>
      </w:r>
      <w:r w:rsidR="008745C0">
        <w:rPr>
          <w:lang w:val="en-US"/>
        </w:rPr>
        <w:t xml:space="preserve">&amp; Martin </w:t>
      </w:r>
      <w:proofErr w:type="gramStart"/>
      <w:r w:rsidR="008745C0">
        <w:rPr>
          <w:lang w:val="en-US"/>
        </w:rPr>
        <w:t>Kjær</w:t>
      </w:r>
      <w:r w:rsidR="00925175" w:rsidRPr="00925175">
        <w:rPr>
          <w:vertAlign w:val="superscript"/>
          <w:lang w:val="en-US"/>
        </w:rPr>
        <w:t>(</w:t>
      </w:r>
      <w:proofErr w:type="gramEnd"/>
      <w:r w:rsidR="00925175" w:rsidRPr="00925175">
        <w:rPr>
          <w:vertAlign w:val="superscript"/>
          <w:lang w:val="en-US"/>
        </w:rPr>
        <w:t>2)</w:t>
      </w:r>
    </w:p>
    <w:p w14:paraId="0C712174" w14:textId="043112A6" w:rsidR="00925175" w:rsidRPr="00925175" w:rsidRDefault="00925175" w:rsidP="00D26B29">
      <w:pPr>
        <w:tabs>
          <w:tab w:val="left" w:pos="284"/>
        </w:tabs>
        <w:ind w:left="284" w:hanging="284"/>
        <w:rPr>
          <w:lang w:val="en-US"/>
        </w:rPr>
      </w:pPr>
      <w:r>
        <w:rPr>
          <w:vertAlign w:val="superscript"/>
          <w:lang w:val="en-US"/>
        </w:rPr>
        <w:t>1)</w:t>
      </w:r>
      <w:r>
        <w:rPr>
          <w:lang w:val="en-US"/>
        </w:rPr>
        <w:t xml:space="preserve"> </w:t>
      </w:r>
      <w:r w:rsidR="00D26B29">
        <w:rPr>
          <w:lang w:val="en-US"/>
        </w:rPr>
        <w:tab/>
        <w:t xml:space="preserve">Associate professor, </w:t>
      </w:r>
      <w:r w:rsidRPr="00925175">
        <w:rPr>
          <w:lang w:val="en-US"/>
        </w:rPr>
        <w:t>Technical University of Denmark</w:t>
      </w:r>
      <w:r w:rsidR="005A5840">
        <w:rPr>
          <w:lang w:val="en-US"/>
        </w:rPr>
        <w:t>, Department for Engineering Technology</w:t>
      </w:r>
      <w:r w:rsidR="0069268E">
        <w:rPr>
          <w:lang w:val="en-US"/>
        </w:rPr>
        <w:t>,</w:t>
      </w:r>
      <w:r w:rsidR="005A5840">
        <w:rPr>
          <w:lang w:val="en-US"/>
        </w:rPr>
        <w:t xml:space="preserve"> </w:t>
      </w:r>
      <w:hyperlink r:id="rId5" w:history="1">
        <w:r w:rsidR="0069268E" w:rsidRPr="002A1412">
          <w:rPr>
            <w:rStyle w:val="Hyperlink"/>
            <w:lang w:val="en-US"/>
          </w:rPr>
          <w:t>chth@dtu.dk</w:t>
        </w:r>
      </w:hyperlink>
      <w:r w:rsidR="0069268E">
        <w:rPr>
          <w:lang w:val="en-US"/>
        </w:rPr>
        <w:t>, Denmark</w:t>
      </w:r>
    </w:p>
    <w:p w14:paraId="4F87803C" w14:textId="69A519CF" w:rsidR="00925175" w:rsidRPr="00925175" w:rsidRDefault="00925175" w:rsidP="00D26B29">
      <w:pPr>
        <w:tabs>
          <w:tab w:val="left" w:pos="284"/>
        </w:tabs>
        <w:ind w:left="284" w:hanging="284"/>
        <w:rPr>
          <w:lang w:val="en-US"/>
        </w:rPr>
      </w:pPr>
      <w:r>
        <w:rPr>
          <w:vertAlign w:val="superscript"/>
          <w:lang w:val="en-US"/>
        </w:rPr>
        <w:t>2)</w:t>
      </w:r>
      <w:r>
        <w:rPr>
          <w:lang w:val="en-US"/>
        </w:rPr>
        <w:t xml:space="preserve"> </w:t>
      </w:r>
      <w:r w:rsidR="00D26B29">
        <w:rPr>
          <w:lang w:val="en-US"/>
        </w:rPr>
        <w:tab/>
      </w:r>
      <w:r w:rsidR="0069268E">
        <w:rPr>
          <w:lang w:val="en-US"/>
        </w:rPr>
        <w:t>Independent consultant</w:t>
      </w:r>
      <w:r w:rsidR="0069268E">
        <w:rPr>
          <w:lang w:val="en-US"/>
        </w:rPr>
        <w:t xml:space="preserve">, </w:t>
      </w:r>
      <w:r>
        <w:rPr>
          <w:lang w:val="en-US"/>
        </w:rPr>
        <w:t>VTM</w:t>
      </w:r>
      <w:r w:rsidR="0069268E">
        <w:rPr>
          <w:lang w:val="en-US"/>
        </w:rPr>
        <w:t xml:space="preserve">, Denmark </w:t>
      </w:r>
    </w:p>
    <w:p w14:paraId="029EBDA9" w14:textId="77777777" w:rsidR="00590D3D" w:rsidRPr="00CF6D10" w:rsidRDefault="006E133D" w:rsidP="00EF62D0">
      <w:pPr>
        <w:pStyle w:val="Heading2"/>
      </w:pPr>
      <w:bookmarkStart w:id="0" w:name="_hcla18n9z6" w:colFirst="0" w:colLast="0"/>
      <w:bookmarkEnd w:id="0"/>
      <w:r w:rsidRPr="00CF6D10">
        <w:t xml:space="preserve">1. Research </w:t>
      </w:r>
      <w:r w:rsidRPr="00CA7C6A">
        <w:t>Problem</w:t>
      </w:r>
      <w:r w:rsidRPr="00CF6D10">
        <w:t xml:space="preserve"> Statement and Purpose</w:t>
      </w:r>
    </w:p>
    <w:p w14:paraId="07879DE7" w14:textId="77777777" w:rsidR="00535A61" w:rsidRPr="00535A61" w:rsidRDefault="00535A61" w:rsidP="00535A61">
      <w:pPr>
        <w:spacing w:after="160" w:line="278" w:lineRule="auto"/>
        <w:rPr>
          <w:lang w:val="en-US"/>
        </w:rPr>
      </w:pPr>
      <w:r w:rsidRPr="00535A61">
        <w:rPr>
          <w:lang w:val="en-US"/>
        </w:rPr>
        <w:t>The proverb “well begun is half done” highlights the critical importance of a project’s inception. In the case of the Danish super</w:t>
      </w:r>
      <w:r w:rsidRPr="00535A61">
        <w:rPr>
          <w:rFonts w:ascii="Cambria Math" w:hAnsi="Cambria Math" w:cs="Cambria Math"/>
          <w:lang w:val="en-US"/>
        </w:rPr>
        <w:t>‑</w:t>
      </w:r>
      <w:r w:rsidRPr="00535A61">
        <w:rPr>
          <w:lang w:val="en-US"/>
        </w:rPr>
        <w:t>hospital program, the opposite proved true: the projects did not merely go wrong during execution; they were fundamentally flawed from the outset.</w:t>
      </w:r>
    </w:p>
    <w:p w14:paraId="78C1609C" w14:textId="77777777" w:rsidR="00535A61" w:rsidRPr="00535A61" w:rsidRDefault="00535A61" w:rsidP="00535A61">
      <w:pPr>
        <w:spacing w:after="160" w:line="278" w:lineRule="auto"/>
        <w:rPr>
          <w:lang w:val="en-US"/>
        </w:rPr>
      </w:pPr>
      <w:r w:rsidRPr="00535A61">
        <w:rPr>
          <w:lang w:val="en-US"/>
        </w:rPr>
        <w:t>In 2007, Denmark embarked on one of the largest public infrastructure programs in its history: the Quality Fund (</w:t>
      </w:r>
      <w:proofErr w:type="spellStart"/>
      <w:r w:rsidRPr="00535A61">
        <w:rPr>
          <w:lang w:val="en-US"/>
        </w:rPr>
        <w:t>Kvalitetsfonden</w:t>
      </w:r>
      <w:proofErr w:type="spellEnd"/>
      <w:r w:rsidRPr="00535A61">
        <w:rPr>
          <w:lang w:val="en-US"/>
        </w:rPr>
        <w:t>). Following a structural reform that consolidated 14 counties into five regions, the government allocated a total financial framework of approximately EUR 8 billion (2024 prices) to modernize the national hospital structure. The program comprised 16 projects, ranging from major renovations to the construction of entirely new “super</w:t>
      </w:r>
      <w:r w:rsidRPr="00535A61">
        <w:rPr>
          <w:rFonts w:ascii="Cambria Math" w:hAnsi="Cambria Math" w:cs="Cambria Math"/>
          <w:lang w:val="en-US"/>
        </w:rPr>
        <w:t>‑</w:t>
      </w:r>
      <w:r w:rsidRPr="00535A61">
        <w:rPr>
          <w:lang w:val="en-US"/>
        </w:rPr>
        <w:t>hospitals” intended to centralize specialized treatment and acute care.</w:t>
      </w:r>
    </w:p>
    <w:p w14:paraId="2DA43BA1" w14:textId="77777777" w:rsidR="00535A61" w:rsidRPr="00535A61" w:rsidRDefault="00535A61" w:rsidP="00535A61">
      <w:pPr>
        <w:spacing w:after="160" w:line="278" w:lineRule="auto"/>
        <w:rPr>
          <w:lang w:val="en-US"/>
        </w:rPr>
      </w:pPr>
      <w:r w:rsidRPr="00535A61">
        <w:rPr>
          <w:lang w:val="en-US"/>
        </w:rPr>
        <w:t>The governance model chosen for this massive investment was a temporary, ad hoc structure operated by the Ministry of Health. A temporary “Expert Panel” was established to screen and approve regional applications, while execution was decentralized to the five newly formed regions. Although the central government enforced a strict financial cap and a requirement for “fully functional hospitals,” it effectively delegated both risk and implementation to regional organizations that had to be built from scratch.</w:t>
      </w:r>
    </w:p>
    <w:p w14:paraId="10906C2E" w14:textId="60D69AB6" w:rsidR="00535A61" w:rsidRPr="00535A61" w:rsidRDefault="00535A61" w:rsidP="00535A61">
      <w:pPr>
        <w:spacing w:after="160" w:line="278" w:lineRule="auto"/>
        <w:rPr>
          <w:lang w:val="en-US"/>
        </w:rPr>
      </w:pPr>
      <w:r w:rsidRPr="00535A61">
        <w:rPr>
          <w:lang w:val="en-US"/>
        </w:rPr>
        <w:t>As of 2025, the results are mixed. While smaller</w:t>
      </w:r>
      <w:r w:rsidR="00DA31E6">
        <w:rPr>
          <w:lang w:val="en-US"/>
        </w:rPr>
        <w:t xml:space="preserve"> and initial </w:t>
      </w:r>
      <w:r w:rsidRPr="00535A61">
        <w:rPr>
          <w:lang w:val="en-US"/>
        </w:rPr>
        <w:t xml:space="preserve">projects have been completed, </w:t>
      </w:r>
      <w:r w:rsidR="00DA31E6">
        <w:rPr>
          <w:lang w:val="en-US"/>
        </w:rPr>
        <w:t xml:space="preserve">most of </w:t>
      </w:r>
      <w:r w:rsidRPr="00535A61">
        <w:rPr>
          <w:lang w:val="en-US"/>
        </w:rPr>
        <w:t>the largest and complex super</w:t>
      </w:r>
      <w:r w:rsidRPr="00535A61">
        <w:rPr>
          <w:rFonts w:ascii="Cambria Math" w:hAnsi="Cambria Math" w:cs="Cambria Math"/>
          <w:lang w:val="en-US"/>
        </w:rPr>
        <w:t>‑</w:t>
      </w:r>
      <w:r w:rsidRPr="00535A61">
        <w:rPr>
          <w:lang w:val="en-US"/>
        </w:rPr>
        <w:t xml:space="preserve">hospital projects remain in crisis. Six major projects are still under construction, facing budget overruns of approximately EUR 1 billion and schedule delays ranging from three to six years. Critical evaluations suggest that these failures are not merely accidental but structural. The projects suffered from a “governance gap,” in which the </w:t>
      </w:r>
      <w:proofErr w:type="gramStart"/>
      <w:r w:rsidRPr="00535A61">
        <w:rPr>
          <w:lang w:val="en-US"/>
        </w:rPr>
        <w:t>state controlled</w:t>
      </w:r>
      <w:proofErr w:type="gramEnd"/>
      <w:r w:rsidRPr="00535A61">
        <w:rPr>
          <w:lang w:val="en-US"/>
        </w:rPr>
        <w:t xml:space="preserve"> funding but lacked the technical capacity to supervise the projects, while the regional owners lacked the experience required to manage megaprojects.</w:t>
      </w:r>
    </w:p>
    <w:p w14:paraId="029EBDAE" w14:textId="0F92C847" w:rsidR="00590D3D" w:rsidRPr="00CF6D10" w:rsidRDefault="00535A61" w:rsidP="00535A61">
      <w:pPr>
        <w:spacing w:after="160" w:line="278" w:lineRule="auto"/>
        <w:rPr>
          <w:lang w:val="en-US"/>
        </w:rPr>
      </w:pPr>
      <w:r w:rsidRPr="00535A61">
        <w:rPr>
          <w:lang w:val="en-US"/>
        </w:rPr>
        <w:t>This policy essay engages directly with the “responsibility turn” in project management research (</w:t>
      </w:r>
      <w:proofErr w:type="spellStart"/>
      <w:r w:rsidRPr="00535A61">
        <w:rPr>
          <w:lang w:val="en-US"/>
        </w:rPr>
        <w:t>Unterhitzenberger</w:t>
      </w:r>
      <w:proofErr w:type="spellEnd"/>
      <w:r w:rsidRPr="00535A61">
        <w:rPr>
          <w:lang w:val="en-US"/>
        </w:rPr>
        <w:t xml:space="preserve"> et al., 2024), responding to calls for project scholars to address societal challenges and bridge the rigor–relevance gap. Building on literature concerning the causes of megaproject failure (Denicol et al., 2020) and project governance (Klakegg et al., 2008), the paper evaluates both the governance and the broader institutional framework of the Danish hospital program. It demonstrates that temporary, ad hoc governance structures </w:t>
      </w:r>
      <w:proofErr w:type="gramStart"/>
      <w:r w:rsidRPr="00535A61">
        <w:rPr>
          <w:lang w:val="en-US"/>
        </w:rPr>
        <w:t>are ill</w:t>
      </w:r>
      <w:r w:rsidRPr="00535A61">
        <w:rPr>
          <w:rFonts w:ascii="Cambria Math" w:hAnsi="Cambria Math" w:cs="Cambria Math"/>
          <w:lang w:val="en-US"/>
        </w:rPr>
        <w:t>‑</w:t>
      </w:r>
      <w:r w:rsidRPr="00535A61">
        <w:rPr>
          <w:lang w:val="en-US"/>
        </w:rPr>
        <w:t>suited</w:t>
      </w:r>
      <w:proofErr w:type="gramEnd"/>
      <w:r w:rsidRPr="00535A61">
        <w:rPr>
          <w:lang w:val="en-US"/>
        </w:rPr>
        <w:t xml:space="preserve"> to managing megaprojects. By contrasting the Quality Fund’s temporary model with more permanent governance approaches (such as the Norwegian State Project Model), the paper argues that governments must adopt both program and portfolio perspectives, establishing permanent central governance structures to ensure standardization, realistic business cases, transparent project control, and institutional learning.</w:t>
      </w:r>
    </w:p>
    <w:p w14:paraId="029EBDAF" w14:textId="77777777" w:rsidR="00590D3D" w:rsidRPr="00EF62D0" w:rsidRDefault="006E133D" w:rsidP="00EF62D0">
      <w:pPr>
        <w:pStyle w:val="Heading2"/>
      </w:pPr>
      <w:r w:rsidRPr="00EF62D0">
        <w:lastRenderedPageBreak/>
        <w:t>2. Research Methodology and Approach</w:t>
      </w:r>
    </w:p>
    <w:p w14:paraId="029EBDB0" w14:textId="77777777" w:rsidR="00590D3D" w:rsidRPr="00CF6D10" w:rsidRDefault="006E133D">
      <w:pPr>
        <w:spacing w:before="240" w:after="240"/>
        <w:rPr>
          <w:lang w:val="en-US"/>
        </w:rPr>
      </w:pPr>
      <w:r w:rsidRPr="00CF6D10">
        <w:rPr>
          <w:lang w:val="en-US"/>
        </w:rPr>
        <w:t>This extended abstract draws upon a comprehensive evaluation report titled "</w:t>
      </w:r>
      <w:proofErr w:type="spellStart"/>
      <w:r w:rsidRPr="00CF6D10">
        <w:rPr>
          <w:lang w:val="en-US"/>
        </w:rPr>
        <w:t>Evaluering</w:t>
      </w:r>
      <w:proofErr w:type="spellEnd"/>
      <w:r w:rsidRPr="00CF6D10">
        <w:rPr>
          <w:lang w:val="en-US"/>
        </w:rPr>
        <w:t xml:space="preserve"> af </w:t>
      </w:r>
      <w:proofErr w:type="spellStart"/>
      <w:r w:rsidRPr="00CF6D10">
        <w:rPr>
          <w:lang w:val="en-US"/>
        </w:rPr>
        <w:t>rammevilkår</w:t>
      </w:r>
      <w:proofErr w:type="spellEnd"/>
      <w:r w:rsidRPr="00CF6D10">
        <w:rPr>
          <w:lang w:val="en-US"/>
        </w:rPr>
        <w:t xml:space="preserve"> for </w:t>
      </w:r>
      <w:proofErr w:type="spellStart"/>
      <w:r w:rsidRPr="00CF6D10">
        <w:rPr>
          <w:lang w:val="en-US"/>
        </w:rPr>
        <w:t>kvalitetsfondsprojekterne</w:t>
      </w:r>
      <w:proofErr w:type="spellEnd"/>
      <w:r w:rsidRPr="00CF6D10">
        <w:rPr>
          <w:lang w:val="en-US"/>
        </w:rPr>
        <w:t>" (Evaluation of Framework Conditions for Quality Fund Projects), commissioned by the Danish Ministry of the Interior and Health and published in June 2024 (Kjær &amp; Thuesen, 2024).</w:t>
      </w:r>
    </w:p>
    <w:p w14:paraId="78125530" w14:textId="77777777" w:rsidR="00CA7C6A" w:rsidRPr="00EF62D0" w:rsidRDefault="006E133D" w:rsidP="00EF62D0">
      <w:pPr>
        <w:pStyle w:val="Heading3"/>
      </w:pPr>
      <w:r w:rsidRPr="00EF62D0">
        <w:t>Data Collection</w:t>
      </w:r>
    </w:p>
    <w:p w14:paraId="029EBDB1" w14:textId="37D817B5" w:rsidR="00590D3D" w:rsidRPr="00925175" w:rsidRDefault="006E133D" w:rsidP="00CA7C6A">
      <w:pPr>
        <w:rPr>
          <w:lang w:val="en-US"/>
        </w:rPr>
      </w:pPr>
      <w:r w:rsidRPr="00925175">
        <w:rPr>
          <w:lang w:val="en-US"/>
        </w:rPr>
        <w:t xml:space="preserve">The research approach utilizes a </w:t>
      </w:r>
      <w:proofErr w:type="gramStart"/>
      <w:r w:rsidRPr="00925175">
        <w:rPr>
          <w:lang w:val="en-US"/>
        </w:rPr>
        <w:t>mixed-methods</w:t>
      </w:r>
      <w:proofErr w:type="gramEnd"/>
      <w:r w:rsidRPr="00925175">
        <w:rPr>
          <w:lang w:val="en-US"/>
        </w:rPr>
        <w:t xml:space="preserve"> design to ensure triangulation of data and perspectives:</w:t>
      </w:r>
    </w:p>
    <w:p w14:paraId="029EBDB2" w14:textId="77777777" w:rsidR="00590D3D" w:rsidRPr="00CF6D10" w:rsidRDefault="006E133D">
      <w:pPr>
        <w:numPr>
          <w:ilvl w:val="0"/>
          <w:numId w:val="3"/>
        </w:numPr>
        <w:spacing w:before="240"/>
        <w:rPr>
          <w:lang w:val="en-US"/>
        </w:rPr>
      </w:pPr>
      <w:r w:rsidRPr="00CF6D10">
        <w:rPr>
          <w:lang w:val="en-US"/>
        </w:rPr>
        <w:t>Document Analysis: A review of extensive historical material, including the Expert Panel’s screening reports (2008–2010), regional applications, accounting instructions, and external audit reports from "The Third Eye" (DTØ).</w:t>
      </w:r>
    </w:p>
    <w:p w14:paraId="029EBDB3" w14:textId="77777777" w:rsidR="00590D3D" w:rsidRPr="00CF6D10" w:rsidRDefault="006E133D">
      <w:pPr>
        <w:numPr>
          <w:ilvl w:val="0"/>
          <w:numId w:val="3"/>
        </w:numPr>
        <w:rPr>
          <w:lang w:val="en-US"/>
        </w:rPr>
      </w:pPr>
      <w:r w:rsidRPr="00CF6D10">
        <w:rPr>
          <w:lang w:val="en-US"/>
        </w:rPr>
        <w:t>Stakeholder Workshops: A facilitated workshop involving current and former key figures from the construction projects, documenting discussions on central and exogenous framework conditions.</w:t>
      </w:r>
    </w:p>
    <w:p w14:paraId="029EBDB4" w14:textId="77777777" w:rsidR="00590D3D" w:rsidRPr="00CF6D10" w:rsidRDefault="006E133D">
      <w:pPr>
        <w:numPr>
          <w:ilvl w:val="0"/>
          <w:numId w:val="3"/>
        </w:numPr>
        <w:spacing w:after="240"/>
        <w:rPr>
          <w:lang w:val="en-US"/>
        </w:rPr>
      </w:pPr>
      <w:r w:rsidRPr="00CF6D10">
        <w:rPr>
          <w:lang w:val="en-US"/>
        </w:rPr>
        <w:t>Qualitative Interviews: Anonymous dialogues with key personnel across the various hospital projects to uncover "off-the-record" realities regarding political pressure and project culture.</w:t>
      </w:r>
    </w:p>
    <w:p w14:paraId="67288ED6" w14:textId="77777777" w:rsidR="00EF62D0" w:rsidRPr="00EF62D0" w:rsidRDefault="006E133D" w:rsidP="00EF62D0">
      <w:pPr>
        <w:pStyle w:val="Heading3"/>
      </w:pPr>
      <w:r w:rsidRPr="00EF62D0">
        <w:t>Analytical Framework</w:t>
      </w:r>
    </w:p>
    <w:p w14:paraId="029EBDB5" w14:textId="0581FF37" w:rsidR="00590D3D" w:rsidRPr="00EF62D0" w:rsidRDefault="006E133D" w:rsidP="00EF62D0">
      <w:r w:rsidRPr="00925175">
        <w:rPr>
          <w:lang w:val="en-US"/>
        </w:rPr>
        <w:t xml:space="preserve">The evaluation distinguishes between central framework conditions (defined by the Ministry) and exogenous conditions (market and industry factors). </w:t>
      </w:r>
      <w:proofErr w:type="spellStart"/>
      <w:r w:rsidRPr="00EF62D0">
        <w:t>These</w:t>
      </w:r>
      <w:proofErr w:type="spellEnd"/>
      <w:r w:rsidRPr="00EF62D0">
        <w:t xml:space="preserve"> </w:t>
      </w:r>
      <w:proofErr w:type="spellStart"/>
      <w:r w:rsidRPr="00EF62D0">
        <w:t>conditions</w:t>
      </w:r>
      <w:proofErr w:type="spellEnd"/>
      <w:r w:rsidRPr="00EF62D0">
        <w:t xml:space="preserve"> </w:t>
      </w:r>
      <w:proofErr w:type="spellStart"/>
      <w:r w:rsidRPr="00EF62D0">
        <w:t>were</w:t>
      </w:r>
      <w:proofErr w:type="spellEnd"/>
      <w:r w:rsidRPr="00EF62D0">
        <w:t xml:space="preserve"> </w:t>
      </w:r>
      <w:proofErr w:type="spellStart"/>
      <w:r w:rsidRPr="00EF62D0">
        <w:t>assessed</w:t>
      </w:r>
      <w:proofErr w:type="spellEnd"/>
      <w:r w:rsidRPr="00EF62D0">
        <w:t xml:space="preserve"> </w:t>
      </w:r>
      <w:proofErr w:type="spellStart"/>
      <w:r w:rsidRPr="00EF62D0">
        <w:t>through</w:t>
      </w:r>
      <w:proofErr w:type="spellEnd"/>
      <w:r w:rsidRPr="00EF62D0">
        <w:t xml:space="preserve"> </w:t>
      </w:r>
      <w:proofErr w:type="spellStart"/>
      <w:r w:rsidRPr="00EF62D0">
        <w:t>four</w:t>
      </w:r>
      <w:proofErr w:type="spellEnd"/>
      <w:r w:rsidRPr="00EF62D0">
        <w:t xml:space="preserve"> </w:t>
      </w:r>
      <w:proofErr w:type="spellStart"/>
      <w:r w:rsidRPr="00EF62D0">
        <w:t>distinct</w:t>
      </w:r>
      <w:proofErr w:type="spellEnd"/>
      <w:r w:rsidRPr="00EF62D0">
        <w:t xml:space="preserve"> </w:t>
      </w:r>
      <w:proofErr w:type="spellStart"/>
      <w:r w:rsidRPr="00EF62D0">
        <w:t>perspectives</w:t>
      </w:r>
      <w:proofErr w:type="spellEnd"/>
      <w:r w:rsidRPr="00EF62D0">
        <w:t>:</w:t>
      </w:r>
    </w:p>
    <w:p w14:paraId="029EBDB6" w14:textId="77777777" w:rsidR="00590D3D" w:rsidRPr="00CF6D10" w:rsidRDefault="006E133D">
      <w:pPr>
        <w:numPr>
          <w:ilvl w:val="0"/>
          <w:numId w:val="1"/>
        </w:numPr>
        <w:spacing w:before="240"/>
        <w:rPr>
          <w:lang w:val="en-US"/>
        </w:rPr>
      </w:pPr>
      <w:r w:rsidRPr="00CF6D10">
        <w:rPr>
          <w:lang w:val="en-US"/>
        </w:rPr>
        <w:t>Public Administration: Appropriateness of roles and responsibilities.</w:t>
      </w:r>
    </w:p>
    <w:p w14:paraId="029EBDB7" w14:textId="77777777" w:rsidR="00590D3D" w:rsidRPr="00CF6D10" w:rsidRDefault="006E133D">
      <w:pPr>
        <w:numPr>
          <w:ilvl w:val="0"/>
          <w:numId w:val="1"/>
        </w:numPr>
        <w:rPr>
          <w:lang w:val="en-US"/>
        </w:rPr>
      </w:pPr>
      <w:r w:rsidRPr="00CF6D10">
        <w:rPr>
          <w:lang w:val="en-US"/>
        </w:rPr>
        <w:t>Project Management: Organizational competence and execution.</w:t>
      </w:r>
    </w:p>
    <w:p w14:paraId="029EBDB8" w14:textId="77777777" w:rsidR="00590D3D" w:rsidRPr="00CF6D10" w:rsidRDefault="006E133D">
      <w:pPr>
        <w:numPr>
          <w:ilvl w:val="0"/>
          <w:numId w:val="1"/>
        </w:numPr>
        <w:rPr>
          <w:lang w:val="en-US"/>
        </w:rPr>
      </w:pPr>
      <w:r w:rsidRPr="00CF6D10">
        <w:rPr>
          <w:lang w:val="en-US"/>
        </w:rPr>
        <w:t>Construction Expertise: Buildability and technical realism.</w:t>
      </w:r>
    </w:p>
    <w:p w14:paraId="029EBDB9" w14:textId="77777777" w:rsidR="00590D3D" w:rsidRPr="00CF6D10" w:rsidRDefault="006E133D">
      <w:pPr>
        <w:numPr>
          <w:ilvl w:val="0"/>
          <w:numId w:val="1"/>
        </w:numPr>
        <w:spacing w:after="240"/>
        <w:rPr>
          <w:lang w:val="en-US"/>
        </w:rPr>
      </w:pPr>
      <w:r w:rsidRPr="00CF6D10">
        <w:rPr>
          <w:lang w:val="en-US"/>
        </w:rPr>
        <w:t>Benefits Realization: The ability to deliver the intended clinical and operational efficiencies.</w:t>
      </w:r>
    </w:p>
    <w:p w14:paraId="029EBDBA" w14:textId="77777777" w:rsidR="00590D3D" w:rsidRPr="00CF6D10" w:rsidRDefault="006E133D">
      <w:pPr>
        <w:spacing w:before="240" w:after="240"/>
        <w:rPr>
          <w:lang w:val="en-US"/>
        </w:rPr>
      </w:pPr>
      <w:r w:rsidRPr="00CF6D10">
        <w:rPr>
          <w:lang w:val="en-US"/>
        </w:rPr>
        <w:t xml:space="preserve">The analysis further employs a comparative lens, benchmarking the </w:t>
      </w:r>
      <w:r w:rsidRPr="00CF6D10">
        <w:rPr>
          <w:i/>
          <w:iCs/>
          <w:lang w:val="en-US"/>
        </w:rPr>
        <w:t>Quality Fund</w:t>
      </w:r>
      <w:r w:rsidRPr="00CF6D10">
        <w:rPr>
          <w:lang w:val="en-US"/>
        </w:rPr>
        <w:t xml:space="preserve"> model against established permanent governance models, specifically the "New Construction Budgeting" (Ny </w:t>
      </w:r>
      <w:proofErr w:type="spellStart"/>
      <w:r w:rsidRPr="00CF6D10">
        <w:rPr>
          <w:lang w:val="en-US"/>
        </w:rPr>
        <w:t>Anlægsbudgettering</w:t>
      </w:r>
      <w:proofErr w:type="spellEnd"/>
      <w:r w:rsidRPr="00CF6D10">
        <w:rPr>
          <w:lang w:val="en-US"/>
        </w:rPr>
        <w:t>) used by the Danish Ministry of Transport and the Norwegian State Project Model (Concept Program).</w:t>
      </w:r>
    </w:p>
    <w:p w14:paraId="029EBDBB" w14:textId="77777777" w:rsidR="00590D3D" w:rsidRPr="00CF6D10" w:rsidRDefault="006E133D" w:rsidP="00EF62D0">
      <w:pPr>
        <w:pStyle w:val="Heading2"/>
      </w:pPr>
      <w:bookmarkStart w:id="1" w:name="_9lmk84xfufws" w:colFirst="0" w:colLast="0"/>
      <w:bookmarkEnd w:id="1"/>
      <w:r w:rsidRPr="00CF6D10">
        <w:t>3. Key Findings</w:t>
      </w:r>
    </w:p>
    <w:p w14:paraId="7BC3483D" w14:textId="575654EB" w:rsidR="00841F43" w:rsidRPr="00925175" w:rsidRDefault="00841F43" w:rsidP="00EF62D0">
      <w:pPr>
        <w:rPr>
          <w:lang w:val="en-US"/>
        </w:rPr>
      </w:pPr>
      <w:bookmarkStart w:id="2" w:name="_6dy4xt2nbpe" w:colFirst="0" w:colLast="0"/>
      <w:bookmarkEnd w:id="2"/>
      <w:r w:rsidRPr="00732D9D">
        <w:rPr>
          <w:lang w:val="en-US"/>
        </w:rPr>
        <w:t xml:space="preserve">A critical question raised in relation to ad hoc governance is why the Danish failures could not simply have been resolved by improving performance within the temporary setup. </w:t>
      </w:r>
      <w:r w:rsidRPr="00925175">
        <w:rPr>
          <w:lang w:val="en-US"/>
        </w:rPr>
        <w:t>The evaluation suggests that the temporary nature of the governance structure did not</w:t>
      </w:r>
      <w:proofErr w:type="gramStart"/>
      <w:r w:rsidRPr="00925175">
        <w:rPr>
          <w:lang w:val="en-US"/>
        </w:rPr>
        <w:t>, in itself, determine</w:t>
      </w:r>
      <w:proofErr w:type="gramEnd"/>
      <w:r w:rsidRPr="00925175">
        <w:rPr>
          <w:lang w:val="en-US"/>
        </w:rPr>
        <w:t xml:space="preserve"> project success or failure; rather, the framework was too weak. In other words, governance mechanisms did not ensure either a strong project start or effective control of projects once they encountered difficulties.</w:t>
      </w:r>
    </w:p>
    <w:p w14:paraId="0DB753DC" w14:textId="77777777" w:rsidR="00841F43" w:rsidRPr="00841F43" w:rsidRDefault="00841F43" w:rsidP="00EF62D0">
      <w:pPr>
        <w:pStyle w:val="Heading3"/>
      </w:pPr>
      <w:r w:rsidRPr="00841F43">
        <w:t>3.1 Missing competencies at the start</w:t>
      </w:r>
    </w:p>
    <w:p w14:paraId="4D18D099" w14:textId="77777777" w:rsidR="00841F43" w:rsidRPr="00925175" w:rsidRDefault="00841F43" w:rsidP="00EF62D0">
      <w:pPr>
        <w:rPr>
          <w:lang w:val="en-US"/>
        </w:rPr>
      </w:pPr>
      <w:r w:rsidRPr="00925175">
        <w:rPr>
          <w:lang w:val="en-US"/>
        </w:rPr>
        <w:t xml:space="preserve">The projects were “ill-begun” because the temporary Expert Panel responsible for approval lacked deep technical expertise in construction and facility management. As a result, </w:t>
      </w:r>
      <w:r w:rsidRPr="00925175">
        <w:rPr>
          <w:lang w:val="en-US"/>
        </w:rPr>
        <w:lastRenderedPageBreak/>
        <w:t xml:space="preserve">projects were approved </w:t>
      </w:r>
      <w:proofErr w:type="gramStart"/>
      <w:r w:rsidRPr="00925175">
        <w:rPr>
          <w:lang w:val="en-US"/>
        </w:rPr>
        <w:t>on the basis of</w:t>
      </w:r>
      <w:proofErr w:type="gramEnd"/>
      <w:r w:rsidRPr="00925175">
        <w:rPr>
          <w:lang w:val="en-US"/>
        </w:rPr>
        <w:t xml:space="preserve"> political ambition and medical needs without sufficient verification of their technical feasibility or assessment of the competencies required within project teams. Furthermore, the absence of institutional experience and standardized systems meant that neither common project models nor historical cost data were available. Consequently, projects were highly susceptible to severe “optimism bias” from their inception (Flyvbjerg, 2006).</w:t>
      </w:r>
    </w:p>
    <w:p w14:paraId="4C0767D4" w14:textId="77777777" w:rsidR="00841F43" w:rsidRPr="00841F43" w:rsidRDefault="00841F43" w:rsidP="00EF62D0">
      <w:pPr>
        <w:pStyle w:val="Heading3"/>
      </w:pPr>
      <w:r w:rsidRPr="00841F43">
        <w:t>3.2 Reinvention of hospitals</w:t>
      </w:r>
    </w:p>
    <w:p w14:paraId="53271F95" w14:textId="1B893514" w:rsidR="00841F43" w:rsidRPr="00925175" w:rsidRDefault="00841F43" w:rsidP="00EF62D0">
      <w:pPr>
        <w:rPr>
          <w:lang w:val="en-US"/>
        </w:rPr>
      </w:pPr>
      <w:r w:rsidRPr="00732D9D">
        <w:rPr>
          <w:lang w:val="en-US"/>
        </w:rPr>
        <w:t xml:space="preserve">By requiring regions to submit healthcare construction plans to the temporary </w:t>
      </w:r>
      <w:r w:rsidR="00732D9D" w:rsidRPr="00732D9D">
        <w:rPr>
          <w:lang w:val="en-US"/>
        </w:rPr>
        <w:t>Ex</w:t>
      </w:r>
      <w:r w:rsidR="00732D9D">
        <w:rPr>
          <w:lang w:val="en-US"/>
        </w:rPr>
        <w:t>pert</w:t>
      </w:r>
      <w:r w:rsidRPr="00732D9D">
        <w:rPr>
          <w:lang w:val="en-US"/>
        </w:rPr>
        <w:t xml:space="preserve"> </w:t>
      </w:r>
      <w:r w:rsidR="00732D9D">
        <w:rPr>
          <w:lang w:val="en-US"/>
        </w:rPr>
        <w:t>P</w:t>
      </w:r>
      <w:r w:rsidRPr="00732D9D">
        <w:rPr>
          <w:lang w:val="en-US"/>
        </w:rPr>
        <w:t xml:space="preserve">anel, all regions unintentionally began developing their projects simultaneously. </w:t>
      </w:r>
      <w:r w:rsidRPr="00925175">
        <w:rPr>
          <w:lang w:val="en-US"/>
        </w:rPr>
        <w:t>The launch of 16 highly complex megaprojects within a short timeframe overwhelmed the newly established regional authorities, as well as consultancies, contractors, and the limited pool of experts.</w:t>
      </w:r>
    </w:p>
    <w:p w14:paraId="1EF382BA" w14:textId="77777777" w:rsidR="00841F43" w:rsidRPr="00925175" w:rsidRDefault="00841F43" w:rsidP="00EF62D0">
      <w:pPr>
        <w:rPr>
          <w:lang w:val="en-US"/>
        </w:rPr>
      </w:pPr>
      <w:r w:rsidRPr="00925175">
        <w:rPr>
          <w:lang w:val="en-US"/>
        </w:rPr>
        <w:t>The regions were forced to build project organizations from scratch, largely drawing on former county operational departments with no experience in megaproject management. As all actors were navigating steep learning curves simultaneously, the result was fragmentation</w:t>
      </w:r>
      <w:proofErr w:type="gramStart"/>
      <w:r w:rsidRPr="00925175">
        <w:rPr>
          <w:lang w:val="en-US"/>
        </w:rPr>
        <w:t>—“</w:t>
      </w:r>
      <w:proofErr w:type="gramEnd"/>
      <w:r w:rsidRPr="00925175">
        <w:rPr>
          <w:lang w:val="en-US"/>
        </w:rPr>
        <w:t xml:space="preserve">many practiced a little, but practice makes perfect.” </w:t>
      </w:r>
      <w:r w:rsidRPr="00F1036B">
        <w:rPr>
          <w:lang w:val="en-US"/>
        </w:rPr>
        <w:t xml:space="preserve">Each project team effectively reinvented the hospital within its regional context, producing unique solutions and, consequently, unique problems. </w:t>
      </w:r>
      <w:r w:rsidRPr="00925175">
        <w:rPr>
          <w:lang w:val="en-US"/>
        </w:rPr>
        <w:t>No team achieved mastery, and critical lessons were learned too late to benefit other projects.</w:t>
      </w:r>
    </w:p>
    <w:p w14:paraId="7EEAED1D" w14:textId="77777777" w:rsidR="00841F43" w:rsidRPr="00841F43" w:rsidRDefault="00841F43" w:rsidP="00EF62D0">
      <w:pPr>
        <w:pStyle w:val="Heading3"/>
      </w:pPr>
      <w:r w:rsidRPr="00841F43">
        <w:t>3.3 Strategic misrepresentation in reporting</w:t>
      </w:r>
    </w:p>
    <w:p w14:paraId="6B3E70A6" w14:textId="535EC2D0" w:rsidR="00841F43" w:rsidRPr="00925175" w:rsidRDefault="00841F43" w:rsidP="00EF62D0">
      <w:pPr>
        <w:rPr>
          <w:lang w:val="en-US"/>
        </w:rPr>
      </w:pPr>
      <w:r w:rsidRPr="00925175">
        <w:rPr>
          <w:lang w:val="en-US"/>
        </w:rPr>
        <w:t>The auditing mechanisms intended to ensure appropriate responses to failing projects were also flawed. The governance framework required regions to appoint an external controller, known as “The Third Eye” (DTØ), to provide independent reporting. However, DTØ lacked deep technical construction expertise and, crucially, was contracted and paid by the regional project owners.</w:t>
      </w:r>
      <w:r w:rsidR="000C30F1">
        <w:rPr>
          <w:lang w:val="en-US"/>
        </w:rPr>
        <w:t xml:space="preserve"> </w:t>
      </w:r>
      <w:r w:rsidRPr="00925175">
        <w:rPr>
          <w:lang w:val="en-US"/>
        </w:rPr>
        <w:t>This arrangement compromised independence and encouraged strategic misrepresentation. Project owners were able to revise or soften critical assessments to conceal problems and avoid negative publicity. Moreover, the ad hoc governance structure meant that no permanent central technical authority existed with the capacity to conduct proactive, independent audits of construction progress on site.</w:t>
      </w:r>
    </w:p>
    <w:p w14:paraId="5574735C" w14:textId="77777777" w:rsidR="00841F43" w:rsidRPr="00925175" w:rsidRDefault="00841F43" w:rsidP="00EF62D0">
      <w:pPr>
        <w:rPr>
          <w:lang w:val="en-US"/>
        </w:rPr>
      </w:pPr>
    </w:p>
    <w:p w14:paraId="6F7A6F5A" w14:textId="77777777" w:rsidR="00841F43" w:rsidRPr="00925175" w:rsidRDefault="00841F43" w:rsidP="00EF62D0">
      <w:pPr>
        <w:rPr>
          <w:lang w:val="en-US"/>
        </w:rPr>
      </w:pPr>
      <w:r w:rsidRPr="00925175">
        <w:rPr>
          <w:lang w:val="en-US"/>
        </w:rPr>
        <w:t xml:space="preserve">The combination of missing competencies, limited institutional learning, and inadequate auditing created a “vicious cycle.” Problems were obscured by optimism bias, and the temporary governance structure lacked </w:t>
      </w:r>
      <w:proofErr w:type="gramStart"/>
      <w:r w:rsidRPr="00925175">
        <w:rPr>
          <w:lang w:val="en-US"/>
        </w:rPr>
        <w:t>a central</w:t>
      </w:r>
      <w:proofErr w:type="gramEnd"/>
      <w:r w:rsidRPr="00925175">
        <w:rPr>
          <w:lang w:val="en-US"/>
        </w:rPr>
        <w:t xml:space="preserve"> authority with both the mandate and expertise to intervene at an early stage. By the time the central government recognized the scale of delays (three to six years), recovery costs had escalated significantly.</w:t>
      </w:r>
    </w:p>
    <w:p w14:paraId="470ED538" w14:textId="77777777" w:rsidR="00841F43" w:rsidRPr="00841F43" w:rsidRDefault="00841F43" w:rsidP="00EF62D0">
      <w:pPr>
        <w:pStyle w:val="Heading2"/>
      </w:pPr>
      <w:r w:rsidRPr="00841F43">
        <w:t>4. Implications for policy</w:t>
      </w:r>
    </w:p>
    <w:p w14:paraId="1F169332" w14:textId="77777777" w:rsidR="00841F43" w:rsidRPr="00925175" w:rsidRDefault="00841F43" w:rsidP="00EF62D0">
      <w:pPr>
        <w:rPr>
          <w:lang w:val="en-US"/>
        </w:rPr>
      </w:pPr>
      <w:r w:rsidRPr="00925175">
        <w:rPr>
          <w:lang w:val="en-US"/>
        </w:rPr>
        <w:t xml:space="preserve">The Danish Quality Fund demonstrates that temporary governance structures risk undermining megaprojects from their inception. The observed failures correspond closely to the structural solutions offered by permanent governance models, such as the Norwegian State Project Model or the Danish Ministry of Transport’s Ny </w:t>
      </w:r>
      <w:proofErr w:type="spellStart"/>
      <w:r w:rsidRPr="00925175">
        <w:rPr>
          <w:lang w:val="en-US"/>
        </w:rPr>
        <w:t>Anlægsbudgettering</w:t>
      </w:r>
      <w:proofErr w:type="spellEnd"/>
      <w:r w:rsidRPr="00925175">
        <w:rPr>
          <w:lang w:val="en-US"/>
        </w:rPr>
        <w:t>.</w:t>
      </w:r>
    </w:p>
    <w:p w14:paraId="7605EF13" w14:textId="77777777" w:rsidR="00841F43" w:rsidRPr="00515CDB" w:rsidRDefault="00841F43" w:rsidP="00515CDB">
      <w:pPr>
        <w:pStyle w:val="Heading3"/>
      </w:pPr>
      <w:r w:rsidRPr="00515CDB">
        <w:t>From isolated projects to a portfolio focus:</w:t>
      </w:r>
    </w:p>
    <w:p w14:paraId="5CB19207" w14:textId="77777777" w:rsidR="00841F43" w:rsidRPr="00925175" w:rsidRDefault="00841F43" w:rsidP="00EF62D0">
      <w:pPr>
        <w:rPr>
          <w:lang w:val="en-US"/>
        </w:rPr>
      </w:pPr>
      <w:r w:rsidRPr="00925175">
        <w:rPr>
          <w:lang w:val="en-US"/>
        </w:rPr>
        <w:t xml:space="preserve">The temporary model treated the 16 hospitals as parallel and largely independent projects, contributing to market overheating. In contrast, a permanent governance framework enables a program and portfolio perspective, allowing projects to be sequenced more effectively. A </w:t>
      </w:r>
      <w:r w:rsidRPr="00925175">
        <w:rPr>
          <w:lang w:val="en-US"/>
        </w:rPr>
        <w:lastRenderedPageBreak/>
        <w:t>more serial approach can reduce pressure on the market and facilitate learning between projects.</w:t>
      </w:r>
    </w:p>
    <w:p w14:paraId="04E51376" w14:textId="77777777" w:rsidR="00841F43" w:rsidRPr="00841F43" w:rsidRDefault="00841F43" w:rsidP="00515CDB">
      <w:pPr>
        <w:pStyle w:val="Heading3"/>
      </w:pPr>
      <w:r w:rsidRPr="00841F43">
        <w:t>Improving external quality assurance:</w:t>
      </w:r>
    </w:p>
    <w:p w14:paraId="63283988" w14:textId="77777777" w:rsidR="00841F43" w:rsidRPr="00925175" w:rsidRDefault="00841F43" w:rsidP="00EF62D0">
      <w:pPr>
        <w:rPr>
          <w:lang w:val="en-US"/>
        </w:rPr>
      </w:pPr>
      <w:r w:rsidRPr="00925175">
        <w:rPr>
          <w:lang w:val="en-US"/>
        </w:rPr>
        <w:t>The shortcomings of DTØ illustrate that oversight cannot be effectively decentralized within a temporary structure. Permanent governance models address this by anchoring independent External Quality Assurance (QA1 and QA2) centrally within the financing ministry. This ensures access to specialized technical expertise and safeguards independence from local political pressures.</w:t>
      </w:r>
    </w:p>
    <w:p w14:paraId="1AE54F8A" w14:textId="77777777" w:rsidR="00841F43" w:rsidRPr="00841F43" w:rsidRDefault="00841F43" w:rsidP="00515CDB">
      <w:pPr>
        <w:pStyle w:val="Heading3"/>
      </w:pPr>
      <w:r w:rsidRPr="00841F43">
        <w:t>Enforcing standardized project models:</w:t>
      </w:r>
    </w:p>
    <w:p w14:paraId="6A2914C2" w14:textId="77777777" w:rsidR="00841F43" w:rsidRPr="00925175" w:rsidRDefault="00841F43" w:rsidP="00EF62D0">
      <w:pPr>
        <w:rPr>
          <w:lang w:val="en-US"/>
        </w:rPr>
      </w:pPr>
      <w:r w:rsidRPr="00925175">
        <w:rPr>
          <w:lang w:val="en-US"/>
        </w:rPr>
        <w:t>Temporary organizations lack the authority and continuity required to enforce standardization. A permanent institution can mandate a “Standard Project Model,” including standardized technical solutions (e.g., operating theatres) and centralized historical cost data. Such standardization reduces the risk of developing “unique projects with unique problems.”</w:t>
      </w:r>
    </w:p>
    <w:p w14:paraId="5441230D" w14:textId="77777777" w:rsidR="00841F43" w:rsidRPr="00841F43" w:rsidRDefault="00841F43" w:rsidP="00515CDB">
      <w:pPr>
        <w:pStyle w:val="Heading2"/>
      </w:pPr>
      <w:r w:rsidRPr="00841F43">
        <w:t>5. Discussion</w:t>
      </w:r>
    </w:p>
    <w:p w14:paraId="61EA94CB" w14:textId="7171E609" w:rsidR="00841F43" w:rsidRDefault="00841F43" w:rsidP="00EF62D0">
      <w:pPr>
        <w:rPr>
          <w:lang w:val="en-US"/>
        </w:rPr>
      </w:pPr>
      <w:r w:rsidRPr="00925175">
        <w:rPr>
          <w:lang w:val="en-US"/>
        </w:rPr>
        <w:t>While the Danish case provides strong arguments for permanent central governance, this conclusion requires nuance. Over-centralization introduces risks, as it is practically impossible to develop a single standardized model capable of accommodating all hospital types across varying geographies and levels of complexity.</w:t>
      </w:r>
    </w:p>
    <w:p w14:paraId="27E3924F" w14:textId="77777777" w:rsidR="000C30F1" w:rsidRPr="00925175" w:rsidRDefault="000C30F1" w:rsidP="00EF62D0">
      <w:pPr>
        <w:rPr>
          <w:lang w:val="en-US"/>
        </w:rPr>
      </w:pPr>
    </w:p>
    <w:p w14:paraId="7F5B1F3C" w14:textId="77777777" w:rsidR="00841F43" w:rsidRPr="00925175" w:rsidRDefault="00841F43" w:rsidP="00EF62D0">
      <w:pPr>
        <w:rPr>
          <w:lang w:val="en-US"/>
        </w:rPr>
      </w:pPr>
      <w:r w:rsidRPr="00925175">
        <w:rPr>
          <w:lang w:val="en-US"/>
        </w:rPr>
        <w:t>Moreover, strict central governance may conflict with the need for local flexibility. A key tension in the Danish projects involved balancing the state’s rigid financial constraints with the requirement to deliver “fully functional hospitals.” Regional actors needed clinical adaptability to respond to evolving patient needs and technological advancements during a 10–</w:t>
      </w:r>
      <w:proofErr w:type="gramStart"/>
      <w:r w:rsidRPr="00925175">
        <w:rPr>
          <w:lang w:val="en-US"/>
        </w:rPr>
        <w:t>15 year</w:t>
      </w:r>
      <w:proofErr w:type="gramEnd"/>
      <w:r w:rsidRPr="00925175">
        <w:rPr>
          <w:lang w:val="en-US"/>
        </w:rPr>
        <w:t xml:space="preserve"> construction period. This often led to project changes and conflicts between project directors (focused on time and budget) and hospital directors (focused on clinical functionality).</w:t>
      </w:r>
    </w:p>
    <w:p w14:paraId="5CCB732B" w14:textId="77777777" w:rsidR="000C30F1" w:rsidRDefault="000C30F1" w:rsidP="00EF62D0">
      <w:pPr>
        <w:rPr>
          <w:lang w:val="en-US"/>
        </w:rPr>
      </w:pPr>
    </w:p>
    <w:p w14:paraId="65CA4BC9" w14:textId="6070A735" w:rsidR="00841F43" w:rsidRPr="00925175" w:rsidRDefault="00841F43" w:rsidP="00EF62D0">
      <w:pPr>
        <w:rPr>
          <w:lang w:val="en-US"/>
        </w:rPr>
      </w:pPr>
      <w:r w:rsidRPr="00925175">
        <w:rPr>
          <w:lang w:val="en-US"/>
        </w:rPr>
        <w:t>A successful permanent governance model must therefore strike a balance between centralized financial discipline and decentralized clinical adaptability.</w:t>
      </w:r>
    </w:p>
    <w:p w14:paraId="1CCA5C20" w14:textId="77777777" w:rsidR="00841F43" w:rsidRPr="00841F43" w:rsidRDefault="00841F43" w:rsidP="00515CDB">
      <w:pPr>
        <w:pStyle w:val="Heading2"/>
      </w:pPr>
      <w:r w:rsidRPr="00841F43">
        <w:t>6. Conclusion</w:t>
      </w:r>
    </w:p>
    <w:p w14:paraId="1A3D0601" w14:textId="77777777" w:rsidR="00841F43" w:rsidRPr="00925175" w:rsidRDefault="00841F43" w:rsidP="00EF62D0">
      <w:pPr>
        <w:rPr>
          <w:lang w:val="en-US"/>
        </w:rPr>
      </w:pPr>
      <w:r w:rsidRPr="00925175">
        <w:rPr>
          <w:lang w:val="en-US"/>
        </w:rPr>
        <w:t>The Danish super-hospital program highlights the risks of decoupling substantial public investment from permanent institutional competence. Governed by a temporary ad hoc structure lacking sufficient technical expertise and independent oversight, the projects were fundamentally ill-conceived from the outset. As a result, they became “half undone,” characterized by significant cost overruns, systemic delays, and unrealized benefits.</w:t>
      </w:r>
    </w:p>
    <w:p w14:paraId="4A9A0A43" w14:textId="77777777" w:rsidR="00EF62D0" w:rsidRDefault="00841F43" w:rsidP="00EF62D0">
      <w:pPr>
        <w:rPr>
          <w:lang w:val="en-US"/>
        </w:rPr>
      </w:pPr>
      <w:r w:rsidRPr="00925175">
        <w:rPr>
          <w:lang w:val="en-US"/>
        </w:rPr>
        <w:t>Future success in addressing large-scale societal challenges requires a shift away from temporary governance arrangements toward professionalized, permanent, and standardized governance structures capable of ensuring rigorous project inception, effective oversight, and sustained institutional learning.</w:t>
      </w:r>
    </w:p>
    <w:p w14:paraId="5691A4D6" w14:textId="77777777" w:rsidR="00562BE3" w:rsidRDefault="00562BE3" w:rsidP="00EF62D0">
      <w:pPr>
        <w:rPr>
          <w:lang w:val="en-US"/>
        </w:rPr>
      </w:pPr>
    </w:p>
    <w:p w14:paraId="01035A73" w14:textId="77777777" w:rsidR="00562BE3" w:rsidRDefault="00562BE3" w:rsidP="00EF62D0">
      <w:pPr>
        <w:rPr>
          <w:lang w:val="en-US"/>
        </w:rPr>
      </w:pPr>
    </w:p>
    <w:p w14:paraId="51E2E805" w14:textId="77777777" w:rsidR="00562BE3" w:rsidRPr="00925175" w:rsidRDefault="00562BE3" w:rsidP="00EF62D0">
      <w:pPr>
        <w:rPr>
          <w:lang w:val="en-US"/>
        </w:rPr>
      </w:pPr>
    </w:p>
    <w:p w14:paraId="2853FAE5" w14:textId="77777777" w:rsidR="000C30F1" w:rsidRDefault="000C30F1">
      <w:pPr>
        <w:rPr>
          <w:b/>
          <w:bCs/>
          <w:color w:val="000000"/>
          <w:sz w:val="26"/>
          <w:szCs w:val="26"/>
          <w:lang w:val="en-US"/>
        </w:rPr>
      </w:pPr>
      <w:r>
        <w:lastRenderedPageBreak/>
        <w:br w:type="page"/>
      </w:r>
    </w:p>
    <w:p w14:paraId="029EBDCF" w14:textId="2A3E0509" w:rsidR="00590D3D" w:rsidRPr="00CF6D10" w:rsidRDefault="006E133D" w:rsidP="00515CDB">
      <w:pPr>
        <w:pStyle w:val="Heading2"/>
      </w:pPr>
      <w:r w:rsidRPr="00CF6D10">
        <w:lastRenderedPageBreak/>
        <w:t>References:</w:t>
      </w:r>
    </w:p>
    <w:p w14:paraId="41F3E9E9" w14:textId="77777777" w:rsidR="003D2EAF" w:rsidRDefault="003D2EAF" w:rsidP="006B77E5">
      <w:pPr>
        <w:spacing w:before="180" w:after="180"/>
        <w:ind w:left="992" w:hanging="992"/>
        <w:rPr>
          <w:lang w:val="en-US"/>
        </w:rPr>
      </w:pPr>
      <w:r w:rsidRPr="00325ACA">
        <w:rPr>
          <w:lang w:val="en-US"/>
        </w:rPr>
        <w:t xml:space="preserve">Denicol, J., Davies, A. and </w:t>
      </w:r>
      <w:proofErr w:type="spellStart"/>
      <w:r w:rsidRPr="00325ACA">
        <w:rPr>
          <w:lang w:val="en-US"/>
        </w:rPr>
        <w:t>Krystallis</w:t>
      </w:r>
      <w:proofErr w:type="spellEnd"/>
      <w:r w:rsidRPr="00325ACA">
        <w:rPr>
          <w:lang w:val="en-US"/>
        </w:rPr>
        <w:t xml:space="preserve">, I. (2020). What Are the Causes and Cures of Poor Megaproject Performance? A Systematic Literature Review and Research Agenda. </w:t>
      </w:r>
      <w:r w:rsidRPr="00325ACA">
        <w:rPr>
          <w:i/>
          <w:iCs/>
          <w:lang w:val="en-US"/>
        </w:rPr>
        <w:t>Project Management Journal</w:t>
      </w:r>
      <w:r w:rsidRPr="00325ACA">
        <w:rPr>
          <w:lang w:val="en-US"/>
        </w:rPr>
        <w:t>, 51(3), 328-345.</w:t>
      </w:r>
    </w:p>
    <w:p w14:paraId="7C171805" w14:textId="1D016C68" w:rsidR="003D2EAF" w:rsidRPr="00925175" w:rsidRDefault="003D2EAF" w:rsidP="006B77E5">
      <w:pPr>
        <w:spacing w:before="180" w:after="180"/>
        <w:ind w:left="992" w:hanging="992"/>
        <w:rPr>
          <w:lang w:val="da-DK"/>
        </w:rPr>
      </w:pPr>
      <w:r w:rsidRPr="00CF6D10">
        <w:rPr>
          <w:lang w:val="en-US"/>
        </w:rPr>
        <w:t xml:space="preserve">Flyvbjerg, B. (2006). From Nobel Prize to Project Management: Getting Risks Right. </w:t>
      </w:r>
      <w:r w:rsidRPr="00925175">
        <w:rPr>
          <w:i/>
          <w:iCs/>
          <w:lang w:val="da-DK"/>
        </w:rPr>
        <w:t>Project Management Journal</w:t>
      </w:r>
      <w:r w:rsidRPr="00925175">
        <w:rPr>
          <w:lang w:val="da-DK"/>
        </w:rPr>
        <w:t>, 37(3), 5-12.</w:t>
      </w:r>
    </w:p>
    <w:p w14:paraId="029EBDD1" w14:textId="4941CB0A" w:rsidR="00590D3D" w:rsidRPr="006B77E5" w:rsidRDefault="006E133D" w:rsidP="006B77E5">
      <w:pPr>
        <w:spacing w:before="180" w:after="180"/>
        <w:ind w:left="992" w:hanging="992"/>
      </w:pPr>
      <w:r w:rsidRPr="00925175">
        <w:rPr>
          <w:lang w:val="da-DK"/>
        </w:rPr>
        <w:t xml:space="preserve">Kjær, M., &amp; Thuesen, C. L. (2024). </w:t>
      </w:r>
      <w:r>
        <w:rPr>
          <w:i/>
          <w:iCs/>
        </w:rPr>
        <w:t>Evaluering af rammevilkår for kvalitetsfondsprojekterne</w:t>
      </w:r>
      <w:r>
        <w:t xml:space="preserve">. </w:t>
      </w:r>
      <w:r w:rsidRPr="00925175">
        <w:rPr>
          <w:lang w:val="da-DK"/>
        </w:rPr>
        <w:t>Sundhedsudvalget.</w:t>
      </w:r>
    </w:p>
    <w:p w14:paraId="42A9FB24" w14:textId="77777777" w:rsidR="00355612" w:rsidRPr="00355612" w:rsidRDefault="00355612" w:rsidP="00355612">
      <w:pPr>
        <w:spacing w:before="180" w:after="180"/>
        <w:ind w:left="992" w:hanging="992"/>
        <w:rPr>
          <w:color w:val="0A0A0A"/>
          <w:lang w:val="en-US"/>
        </w:rPr>
      </w:pPr>
      <w:r w:rsidRPr="00925175">
        <w:rPr>
          <w:color w:val="0A0A0A"/>
          <w:lang w:val="da-DK"/>
        </w:rPr>
        <w:t xml:space="preserve">Klakegg, O. J., Williams, T., Magnussen, O. M., &amp; Glasspool, H. (2008). </w:t>
      </w:r>
      <w:r w:rsidRPr="00355612">
        <w:rPr>
          <w:color w:val="0A0A0A"/>
          <w:lang w:val="en-US"/>
        </w:rPr>
        <w:t>Governance frameworks for public project development and estimation. </w:t>
      </w:r>
      <w:r w:rsidRPr="00355612">
        <w:rPr>
          <w:i/>
          <w:iCs/>
          <w:color w:val="0A0A0A"/>
          <w:lang w:val="en-US"/>
        </w:rPr>
        <w:t>Project Management Journal</w:t>
      </w:r>
      <w:r w:rsidRPr="00355612">
        <w:rPr>
          <w:color w:val="0A0A0A"/>
          <w:lang w:val="en-US"/>
        </w:rPr>
        <w:t>, </w:t>
      </w:r>
      <w:r w:rsidRPr="00355612">
        <w:rPr>
          <w:i/>
          <w:iCs/>
          <w:color w:val="0A0A0A"/>
          <w:lang w:val="en-US"/>
        </w:rPr>
        <w:t>39</w:t>
      </w:r>
      <w:r w:rsidRPr="00355612">
        <w:rPr>
          <w:color w:val="0A0A0A"/>
          <w:lang w:val="en-US"/>
        </w:rPr>
        <w:t>(1_suppl), S27-S42.</w:t>
      </w:r>
    </w:p>
    <w:p w14:paraId="029EBDD2" w14:textId="77777777" w:rsidR="00590D3D" w:rsidRDefault="006E133D">
      <w:pPr>
        <w:spacing w:before="180" w:after="180"/>
        <w:ind w:left="992" w:hanging="992"/>
        <w:rPr>
          <w:lang w:val="en-US"/>
        </w:rPr>
      </w:pPr>
      <w:proofErr w:type="spellStart"/>
      <w:r w:rsidRPr="00CF6D10">
        <w:rPr>
          <w:lang w:val="en-US"/>
        </w:rPr>
        <w:t>Unterhitzenberger</w:t>
      </w:r>
      <w:proofErr w:type="spellEnd"/>
      <w:r w:rsidRPr="00CF6D10">
        <w:rPr>
          <w:lang w:val="en-US"/>
        </w:rPr>
        <w:t xml:space="preserve">, C., McKiernan, P. and Huemann, M. (2024). The Relevance of Responsible Research for Project Scholars: Project Research as a Service to Society, </w:t>
      </w:r>
      <w:r w:rsidRPr="00CF6D10">
        <w:rPr>
          <w:i/>
          <w:iCs/>
          <w:lang w:val="en-US"/>
        </w:rPr>
        <w:t xml:space="preserve">International Journal of Project Management </w:t>
      </w:r>
      <w:r w:rsidRPr="00CF6D10">
        <w:rPr>
          <w:lang w:val="en-US"/>
        </w:rPr>
        <w:t>42 (8), 102665.</w:t>
      </w:r>
    </w:p>
    <w:p w14:paraId="029EBDD3" w14:textId="77777777" w:rsidR="00590D3D" w:rsidRPr="00CF6D10" w:rsidRDefault="00590D3D">
      <w:pPr>
        <w:spacing w:before="180" w:after="180"/>
        <w:rPr>
          <w:color w:val="1F1F1F"/>
          <w:sz w:val="24"/>
          <w:szCs w:val="24"/>
          <w:lang w:val="en-US"/>
        </w:rPr>
      </w:pPr>
    </w:p>
    <w:p w14:paraId="029EBDD4" w14:textId="77777777" w:rsidR="00590D3D" w:rsidRPr="00CF6D10" w:rsidRDefault="00590D3D">
      <w:pPr>
        <w:rPr>
          <w:lang w:val="en-US"/>
        </w:rPr>
      </w:pPr>
    </w:p>
    <w:p w14:paraId="029EBDD5" w14:textId="77777777" w:rsidR="00590D3D" w:rsidRPr="00CF6D10" w:rsidRDefault="00590D3D">
      <w:pPr>
        <w:rPr>
          <w:lang w:val="en-US"/>
        </w:rPr>
      </w:pPr>
    </w:p>
    <w:sectPr w:rsidR="00590D3D" w:rsidRPr="00CF6D1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670D0720-940C-465D-828B-AA7277BD2F51}"/>
  </w:font>
  <w:font w:name="Calibri">
    <w:panose1 w:val="020F0502020204030204"/>
    <w:charset w:val="00"/>
    <w:family w:val="swiss"/>
    <w:pitch w:val="variable"/>
    <w:sig w:usb0="E4002EFF" w:usb1="C200247B" w:usb2="00000009" w:usb3="00000000" w:csb0="000001FF" w:csb1="00000000"/>
    <w:embedRegular r:id="rId2" w:fontKey="{9CAEFF79-A476-483B-8883-8B89BB6FB0CD}"/>
  </w:font>
  <w:font w:name="Cambria">
    <w:panose1 w:val="02040503050406030204"/>
    <w:charset w:val="00"/>
    <w:family w:val="roman"/>
    <w:pitch w:val="variable"/>
    <w:sig w:usb0="E00006FF" w:usb1="420024FF" w:usb2="02000000" w:usb3="00000000" w:csb0="0000019F" w:csb1="00000000"/>
    <w:embedRegular r:id="rId3" w:fontKey="{507F2F28-9366-4383-81C9-0D117B3195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C1307"/>
    <w:multiLevelType w:val="multilevel"/>
    <w:tmpl w:val="2F542A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AE052BE"/>
    <w:multiLevelType w:val="multilevel"/>
    <w:tmpl w:val="25A20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DE5859"/>
    <w:multiLevelType w:val="multilevel"/>
    <w:tmpl w:val="186AF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C70D4C"/>
    <w:multiLevelType w:val="multilevel"/>
    <w:tmpl w:val="AC96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996F9A"/>
    <w:multiLevelType w:val="multilevel"/>
    <w:tmpl w:val="65E80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BC7213"/>
    <w:multiLevelType w:val="multilevel"/>
    <w:tmpl w:val="3F82C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C2577A"/>
    <w:multiLevelType w:val="multilevel"/>
    <w:tmpl w:val="3BAC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6329190">
    <w:abstractNumId w:val="2"/>
  </w:num>
  <w:num w:numId="2" w16cid:durableId="1247375414">
    <w:abstractNumId w:val="4"/>
  </w:num>
  <w:num w:numId="3" w16cid:durableId="1580627440">
    <w:abstractNumId w:val="0"/>
  </w:num>
  <w:num w:numId="4" w16cid:durableId="1739134924">
    <w:abstractNumId w:val="1"/>
  </w:num>
  <w:num w:numId="5" w16cid:durableId="1889299255">
    <w:abstractNumId w:val="5"/>
  </w:num>
  <w:num w:numId="6" w16cid:durableId="267395551">
    <w:abstractNumId w:val="3"/>
  </w:num>
  <w:num w:numId="7" w16cid:durableId="10154229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3D"/>
    <w:rsid w:val="000344B9"/>
    <w:rsid w:val="000C1C00"/>
    <w:rsid w:val="000C30F1"/>
    <w:rsid w:val="001156E4"/>
    <w:rsid w:val="0012796C"/>
    <w:rsid w:val="001472B0"/>
    <w:rsid w:val="00164AAA"/>
    <w:rsid w:val="001D01FF"/>
    <w:rsid w:val="001E304D"/>
    <w:rsid w:val="002104FC"/>
    <w:rsid w:val="00296387"/>
    <w:rsid w:val="003438D3"/>
    <w:rsid w:val="00355612"/>
    <w:rsid w:val="003B5956"/>
    <w:rsid w:val="003D2EAF"/>
    <w:rsid w:val="003D63CB"/>
    <w:rsid w:val="00492781"/>
    <w:rsid w:val="00493841"/>
    <w:rsid w:val="004A49FF"/>
    <w:rsid w:val="00515CDB"/>
    <w:rsid w:val="00535A61"/>
    <w:rsid w:val="00562BE3"/>
    <w:rsid w:val="00570F22"/>
    <w:rsid w:val="0057212C"/>
    <w:rsid w:val="00582E0B"/>
    <w:rsid w:val="00590D3D"/>
    <w:rsid w:val="005A5840"/>
    <w:rsid w:val="0069268E"/>
    <w:rsid w:val="006B77E5"/>
    <w:rsid w:val="006C7CAA"/>
    <w:rsid w:val="006D7374"/>
    <w:rsid w:val="00732D9D"/>
    <w:rsid w:val="00745862"/>
    <w:rsid w:val="007735EC"/>
    <w:rsid w:val="00815FFE"/>
    <w:rsid w:val="00841F43"/>
    <w:rsid w:val="008745C0"/>
    <w:rsid w:val="00925175"/>
    <w:rsid w:val="00970C0C"/>
    <w:rsid w:val="00973E4B"/>
    <w:rsid w:val="009849D1"/>
    <w:rsid w:val="009849E1"/>
    <w:rsid w:val="0099754E"/>
    <w:rsid w:val="009C59D8"/>
    <w:rsid w:val="00A32A8A"/>
    <w:rsid w:val="00A45615"/>
    <w:rsid w:val="00A66EA8"/>
    <w:rsid w:val="00B94474"/>
    <w:rsid w:val="00BE16FE"/>
    <w:rsid w:val="00C321B0"/>
    <w:rsid w:val="00C5045B"/>
    <w:rsid w:val="00CA7C6A"/>
    <w:rsid w:val="00CD1CB9"/>
    <w:rsid w:val="00CF6D10"/>
    <w:rsid w:val="00D26B29"/>
    <w:rsid w:val="00D44C32"/>
    <w:rsid w:val="00D95002"/>
    <w:rsid w:val="00DA31E6"/>
    <w:rsid w:val="00DC1596"/>
    <w:rsid w:val="00DE39A4"/>
    <w:rsid w:val="00DF6AA4"/>
    <w:rsid w:val="00E30BC6"/>
    <w:rsid w:val="00E6430B"/>
    <w:rsid w:val="00E86505"/>
    <w:rsid w:val="00EA60F1"/>
    <w:rsid w:val="00EF62D0"/>
    <w:rsid w:val="00F1036B"/>
    <w:rsid w:val="00FB47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EBDA8"/>
  <w15:docId w15:val="{A012530C-CE5D-4CE0-A694-3FB7EE1C1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A7C6A"/>
    <w:pPr>
      <w:spacing w:before="240" w:after="240"/>
      <w:outlineLvl w:val="0"/>
    </w:pPr>
    <w:rPr>
      <w:b/>
      <w:bCs/>
      <w:sz w:val="32"/>
      <w:szCs w:val="32"/>
      <w:lang w:val="en-US"/>
    </w:rPr>
  </w:style>
  <w:style w:type="paragraph" w:styleId="Heading2">
    <w:name w:val="heading 2"/>
    <w:basedOn w:val="Heading3"/>
    <w:next w:val="Normal"/>
    <w:uiPriority w:val="9"/>
    <w:unhideWhenUsed/>
    <w:qFormat/>
    <w:rsid w:val="00EF62D0"/>
    <w:pPr>
      <w:spacing w:before="280"/>
      <w:outlineLvl w:val="1"/>
    </w:pPr>
    <w:rPr>
      <w:color w:val="000000"/>
      <w:sz w:val="26"/>
      <w:szCs w:val="26"/>
    </w:rPr>
  </w:style>
  <w:style w:type="paragraph" w:styleId="Heading3">
    <w:name w:val="heading 3"/>
    <w:basedOn w:val="Normal"/>
    <w:next w:val="Normal"/>
    <w:uiPriority w:val="9"/>
    <w:unhideWhenUsed/>
    <w:qFormat/>
    <w:rsid w:val="00EF62D0"/>
    <w:pPr>
      <w:spacing w:before="240"/>
      <w:outlineLvl w:val="2"/>
    </w:pPr>
    <w:rPr>
      <w:b/>
      <w:bCs/>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9268E"/>
    <w:rPr>
      <w:color w:val="0000FF" w:themeColor="hyperlink"/>
      <w:u w:val="single"/>
    </w:rPr>
  </w:style>
  <w:style w:type="character" w:styleId="UnresolvedMention">
    <w:name w:val="Unresolved Mention"/>
    <w:basedOn w:val="DefaultParagraphFont"/>
    <w:uiPriority w:val="99"/>
    <w:semiHidden/>
    <w:unhideWhenUsed/>
    <w:rsid w:val="00692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chth@dtu.d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6</Pages>
  <Words>1818</Words>
  <Characters>11092</Characters>
  <Application>Microsoft Office Word</Application>
  <DocSecurity>0</DocSecurity>
  <Lines>92</Lines>
  <Paragraphs>25</Paragraphs>
  <ScaleCrop>false</ScaleCrop>
  <Company>Technical University of Denmark - DTU</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Langhoff Thuesen</cp:lastModifiedBy>
  <cp:revision>67</cp:revision>
  <cp:lastPrinted>2026-06-01T11:16:00Z</cp:lastPrinted>
  <dcterms:created xsi:type="dcterms:W3CDTF">2026-06-01T09:41:00Z</dcterms:created>
  <dcterms:modified xsi:type="dcterms:W3CDTF">2026-06-01T14:49:00Z</dcterms:modified>
</cp:coreProperties>
</file>