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2C3B" w14:textId="58AE5B34" w:rsidR="00432B24" w:rsidRPr="009D7734" w:rsidRDefault="0FFC58E8">
      <w:pPr>
        <w:rPr>
          <w:b/>
          <w:bCs/>
          <w:lang w:val="en-US"/>
        </w:rPr>
      </w:pPr>
      <w:r w:rsidRPr="3B07E28A">
        <w:rPr>
          <w:b/>
          <w:bCs/>
          <w:lang w:val="en-US"/>
        </w:rPr>
        <w:t>Platform Business Models as Enablers of Circular Construction: An International Comparative Case Study</w:t>
      </w:r>
    </w:p>
    <w:p w14:paraId="4D5AA0B5" w14:textId="70D6C840" w:rsidR="7B3474E1" w:rsidRDefault="7B3474E1" w:rsidP="3B07E28A">
      <w:pPr>
        <w:rPr>
          <w:vertAlign w:val="superscript"/>
          <w:lang w:val="en-US"/>
        </w:rPr>
      </w:pPr>
      <w:r w:rsidRPr="3B07E28A">
        <w:rPr>
          <w:lang w:val="en-US"/>
        </w:rPr>
        <w:t>Lu Ding</w:t>
      </w:r>
      <w:r w:rsidRPr="3B07E28A">
        <w:rPr>
          <w:vertAlign w:val="superscript"/>
          <w:lang w:val="en-US"/>
        </w:rPr>
        <w:t>1</w:t>
      </w:r>
      <w:r w:rsidRPr="3B07E28A">
        <w:rPr>
          <w:lang w:val="en-US"/>
        </w:rPr>
        <w:t>, Yimin Li</w:t>
      </w:r>
      <w:r w:rsidR="4D04C338" w:rsidRPr="3B07E28A">
        <w:rPr>
          <w:vertAlign w:val="superscript"/>
          <w:lang w:val="en-US"/>
        </w:rPr>
        <w:t>2</w:t>
      </w:r>
      <w:r w:rsidR="64FF0821" w:rsidRPr="3B07E28A">
        <w:rPr>
          <w:vertAlign w:val="superscript"/>
          <w:lang w:val="en-US"/>
        </w:rPr>
        <w:t>,5</w:t>
      </w:r>
      <w:r w:rsidRPr="3B07E28A">
        <w:rPr>
          <w:lang w:val="en-US"/>
        </w:rPr>
        <w:t>, Robert Moehler</w:t>
      </w:r>
      <w:r w:rsidR="6D4B7737" w:rsidRPr="3B07E28A">
        <w:rPr>
          <w:vertAlign w:val="superscript"/>
          <w:lang w:val="en-US"/>
        </w:rPr>
        <w:t>3</w:t>
      </w:r>
      <w:r w:rsidR="7D12843D" w:rsidRPr="3B07E28A">
        <w:rPr>
          <w:vertAlign w:val="superscript"/>
          <w:lang w:val="en-US"/>
        </w:rPr>
        <w:t>,5</w:t>
      </w:r>
      <w:r w:rsidRPr="3B07E28A">
        <w:rPr>
          <w:lang w:val="en-US"/>
        </w:rPr>
        <w:t>, Duncan W. Maxwell</w:t>
      </w:r>
      <w:r w:rsidR="7F0960A1" w:rsidRPr="3B07E28A">
        <w:rPr>
          <w:vertAlign w:val="superscript"/>
          <w:lang w:val="en-US"/>
        </w:rPr>
        <w:t>4</w:t>
      </w:r>
      <w:r w:rsidR="7DD7E84D" w:rsidRPr="3B07E28A">
        <w:rPr>
          <w:vertAlign w:val="superscript"/>
          <w:lang w:val="en-US"/>
        </w:rPr>
        <w:t>,5</w:t>
      </w:r>
      <w:r w:rsidRPr="3B07E28A">
        <w:rPr>
          <w:lang w:val="en-US"/>
        </w:rPr>
        <w:t>, Tong Wang</w:t>
      </w:r>
      <w:r w:rsidRPr="3B07E28A">
        <w:rPr>
          <w:vertAlign w:val="superscript"/>
          <w:lang w:val="en-US"/>
        </w:rPr>
        <w:t>1</w:t>
      </w:r>
      <w:r w:rsidRPr="3B07E28A">
        <w:rPr>
          <w:lang w:val="en-US"/>
        </w:rPr>
        <w:t>, Paul W. Chan</w:t>
      </w:r>
      <w:r w:rsidR="4CC759BC" w:rsidRPr="3B07E28A">
        <w:rPr>
          <w:vertAlign w:val="superscript"/>
          <w:lang w:val="en-US"/>
        </w:rPr>
        <w:t>1</w:t>
      </w:r>
    </w:p>
    <w:p w14:paraId="365F80E3" w14:textId="58C948A0" w:rsidR="006D3F9A" w:rsidRDefault="4CC759BC" w:rsidP="3B07E28A">
      <w:pPr>
        <w:pStyle w:val="ListParagraph"/>
        <w:numPr>
          <w:ilvl w:val="0"/>
          <w:numId w:val="2"/>
        </w:numPr>
        <w:rPr>
          <w:lang w:val="en-US"/>
        </w:rPr>
      </w:pPr>
      <w:r w:rsidRPr="3B07E28A">
        <w:rPr>
          <w:lang w:val="en-US"/>
        </w:rPr>
        <w:t>Management in the Built Environment, Architecture and Built Environment Faculty, Delft University of Technology, Delft, the Netherlands</w:t>
      </w:r>
    </w:p>
    <w:p w14:paraId="3B26CB71" w14:textId="77DAA5E2" w:rsidR="348AFF23" w:rsidRDefault="348AFF23" w:rsidP="3B07E28A">
      <w:pPr>
        <w:pStyle w:val="ListParagraph"/>
        <w:numPr>
          <w:ilvl w:val="0"/>
          <w:numId w:val="2"/>
        </w:numPr>
        <w:rPr>
          <w:lang w:val="en-US"/>
        </w:rPr>
      </w:pPr>
      <w:r w:rsidRPr="3B07E28A">
        <w:rPr>
          <w:lang w:val="en-US"/>
        </w:rPr>
        <w:t xml:space="preserve">Department of Civil and Environmental Engineering, Monash University, </w:t>
      </w:r>
      <w:r w:rsidR="1460F62D" w:rsidRPr="3B07E28A">
        <w:rPr>
          <w:lang w:val="en-US"/>
        </w:rPr>
        <w:t>Clayton</w:t>
      </w:r>
      <w:r w:rsidRPr="3B07E28A">
        <w:rPr>
          <w:lang w:val="en-US"/>
        </w:rPr>
        <w:t>, Australia</w:t>
      </w:r>
    </w:p>
    <w:p w14:paraId="08C04CD5" w14:textId="6E3951A6" w:rsidR="20CC9D3C" w:rsidRDefault="20CC9D3C" w:rsidP="3B07E28A">
      <w:pPr>
        <w:pStyle w:val="ListParagraph"/>
        <w:numPr>
          <w:ilvl w:val="0"/>
          <w:numId w:val="2"/>
        </w:numPr>
        <w:rPr>
          <w:lang w:val="en-US"/>
        </w:rPr>
      </w:pPr>
      <w:r w:rsidRPr="3B07E28A">
        <w:rPr>
          <w:lang w:val="en-US"/>
        </w:rPr>
        <w:t xml:space="preserve">Department of Infrastructure Engineering, the University of Melbourne, </w:t>
      </w:r>
      <w:r w:rsidR="5CC2FEC5" w:rsidRPr="3B07E28A">
        <w:rPr>
          <w:lang w:val="en-US"/>
        </w:rPr>
        <w:t>Carlton</w:t>
      </w:r>
      <w:r w:rsidRPr="3B07E28A">
        <w:rPr>
          <w:lang w:val="en-US"/>
        </w:rPr>
        <w:t>, Australia</w:t>
      </w:r>
    </w:p>
    <w:p w14:paraId="7C6B7F99" w14:textId="1CF90B2E" w:rsidR="599935E2" w:rsidRDefault="599935E2" w:rsidP="3B07E28A">
      <w:pPr>
        <w:pStyle w:val="ListParagraph"/>
        <w:numPr>
          <w:ilvl w:val="0"/>
          <w:numId w:val="2"/>
        </w:numPr>
        <w:rPr>
          <w:lang w:val="en-US"/>
        </w:rPr>
      </w:pPr>
      <w:r w:rsidRPr="3B07E28A">
        <w:rPr>
          <w:lang w:val="en-US"/>
        </w:rPr>
        <w:t>Faculty of Art,</w:t>
      </w:r>
      <w:r w:rsidR="013FE9D4" w:rsidRPr="3B07E28A">
        <w:rPr>
          <w:lang w:val="en-US"/>
        </w:rPr>
        <w:t xml:space="preserve"> </w:t>
      </w:r>
      <w:r w:rsidRPr="3B07E28A">
        <w:rPr>
          <w:lang w:val="en-US"/>
        </w:rPr>
        <w:t>Design &amp; Architecture, Monash University, Caulfield, Australia</w:t>
      </w:r>
    </w:p>
    <w:p w14:paraId="09376673" w14:textId="58251627" w:rsidR="64AC2B88" w:rsidRDefault="64AC2B88" w:rsidP="3B07E28A">
      <w:pPr>
        <w:pStyle w:val="ListParagraph"/>
        <w:numPr>
          <w:ilvl w:val="0"/>
          <w:numId w:val="2"/>
        </w:numPr>
        <w:rPr>
          <w:lang w:val="en-US"/>
        </w:rPr>
      </w:pPr>
      <w:r w:rsidRPr="3B07E28A">
        <w:rPr>
          <w:lang w:val="en-US"/>
        </w:rPr>
        <w:t>Building 4.0 CRC, Caulfield East, Australia</w:t>
      </w:r>
    </w:p>
    <w:p w14:paraId="2AED13B5" w14:textId="369A2FE1" w:rsidR="3B07E28A" w:rsidRDefault="3B07E28A" w:rsidP="3B07E28A">
      <w:pPr>
        <w:rPr>
          <w:lang w:val="en-US"/>
        </w:rPr>
      </w:pPr>
    </w:p>
    <w:p w14:paraId="206C8095" w14:textId="6E0C1A6D" w:rsidR="006D3F9A" w:rsidRPr="006D3F9A" w:rsidRDefault="006D3F9A">
      <w:pPr>
        <w:rPr>
          <w:b/>
          <w:bCs/>
          <w:lang w:val="en-US"/>
        </w:rPr>
      </w:pPr>
      <w:r w:rsidRPr="006D3F9A">
        <w:rPr>
          <w:b/>
          <w:bCs/>
          <w:lang w:val="en-US"/>
        </w:rPr>
        <w:t>Introduction</w:t>
      </w:r>
    </w:p>
    <w:p w14:paraId="4253B3A5" w14:textId="1A57F0DB" w:rsidR="00AA106C" w:rsidRPr="00AA106C" w:rsidRDefault="00AA106C" w:rsidP="006D3F9A">
      <w:pPr>
        <w:jc w:val="both"/>
        <w:rPr>
          <w:lang w:val="en-US"/>
        </w:rPr>
      </w:pPr>
      <w:r w:rsidRPr="001B2CAF">
        <w:rPr>
          <w:lang w:val="en-US"/>
        </w:rPr>
        <w:t>As a major consumer of resources and generator of waste, the construction industry faces growing pressure to transition towards more resource-efficient and low-carbon models</w:t>
      </w:r>
      <w:r>
        <w:rPr>
          <w:lang w:val="en-US"/>
        </w:rPr>
        <w:t xml:space="preserve"> </w:t>
      </w:r>
      <w:r w:rsidR="00F17C9D">
        <w:rPr>
          <w:lang w:val="en-US"/>
        </w:rPr>
        <w:fldChar w:fldCharType="begin"/>
      </w:r>
      <w:r w:rsidR="00F17C9D">
        <w:rPr>
          <w:lang w:val="en-US"/>
        </w:rPr>
        <w:instrText xml:space="preserve"> ADDIN ZOTERO_ITEM CSL_CITATION {"citationID":"I5N0xuS2","properties":{"unsorted":false,"formattedCitation":"(Jahan et al., 2022)","plainCitation":"(Jahan et al., 2022)","noteIndex":0},"citationItems":[{"id":9288,"uris":["http://zotero.org/users/9219121/items/4VHJT8WF"],"itemData":{"id":9288,"type":"article-journal","abstract":"Effective waste management has become a crucial factor in Australia because, from 1996 to 2015, the population increased by 28%, while Australia’s annual waste increased by 170%. In the period 2018–2019, Australia generated 27 Mt of construction demolition waste (44% of all waste). Although 76% of this waste is recycled, there has been a 61% increase in the rate of waste since 2006–2007. Therefore, minimising waste and prioritising waste management are necessary to build a circular economy. This study aims to identify the current waste minimisation perceptions in the Australian construction industry. A semi-structured interview was conducted with 50 industry experts focusing on four sectors (design/planning, building information modelling (BIM), material logistics, and prefabrication). The data were analysed qualitatively and quantitatively (Severity index). The result disclosed that the designers are the first contributor to waste minimisation, followed by the material suppliers/manufacturers. It is revealed that subjective attitude and the personal reluctance to exercise waste mitigation strategies are crucial. The outcome also indicated that BIM has the potential to minimise waste significantly. Overall, 15 key points were highlighted to consider for waste minimisation, and a conceptual framework was proposed. Therefore, identifying waste management’s current practices and the responsibility of industry personnel will help minimise waste and bring sustainable development. © 2022 by the authors.","archive":"B54O","container-title":"Sustainability (Switzerland)","DOI":"10.3390/su141811319","issue":"18","title":"Experts’ Perceptions of the Management and Minimisation of Waste in the Australian Construction Industry","URL":"https://www.scopus.com/inward/record.uri?eid=2-s2.0-85138598906&amp;doi=10.3390%2fsu141811319&amp;partnerID=40&amp;md5=2ec284c365d0d1e408fe2b6bedc0d416","volume":"14","author":[{"family":"Jahan","given":"I."},{"family":"Zhang","given":"G."},{"family":"Bhuiyan","given":"M."},{"family":"Navaratnam","given":"S."},{"family":"Shi","given":"L."}],"issued":{"date-parts":[["2022"]]}}}],"schema":"https://github.com/citation-style-language/schema/raw/master/csl-citation.json"} </w:instrText>
      </w:r>
      <w:r w:rsidR="00F17C9D">
        <w:rPr>
          <w:lang w:val="en-US"/>
        </w:rPr>
        <w:fldChar w:fldCharType="separate"/>
      </w:r>
      <w:r w:rsidR="00F17C9D" w:rsidRPr="00F17C9D">
        <w:rPr>
          <w:rFonts w:ascii="Aptos" w:hAnsi="Aptos"/>
          <w:lang w:val="en-US"/>
        </w:rPr>
        <w:t>(Jahan et al., 2022)</w:t>
      </w:r>
      <w:r w:rsidR="00F17C9D">
        <w:rPr>
          <w:lang w:val="en-US"/>
        </w:rPr>
        <w:fldChar w:fldCharType="end"/>
      </w:r>
      <w:r w:rsidRPr="001B2CAF">
        <w:rPr>
          <w:lang w:val="en-US"/>
        </w:rPr>
        <w:t xml:space="preserve">. This shift is especially relevant in high-income countries such as the Netherlands and Australia, where housing shortages, rising material and </w:t>
      </w:r>
      <w:proofErr w:type="spellStart"/>
      <w:r w:rsidRPr="001B2CAF">
        <w:rPr>
          <w:lang w:val="en-US"/>
        </w:rPr>
        <w:t>labour</w:t>
      </w:r>
      <w:proofErr w:type="spellEnd"/>
      <w:r w:rsidRPr="001B2CAF">
        <w:rPr>
          <w:lang w:val="en-US"/>
        </w:rPr>
        <w:t xml:space="preserve"> costs, and climate targets create strong incentives for circular construction</w:t>
      </w:r>
      <w:r w:rsidR="00D37BA8">
        <w:rPr>
          <w:lang w:val="en-US"/>
        </w:rPr>
        <w:t xml:space="preserve"> </w:t>
      </w:r>
      <w:r w:rsidR="00D37BA8">
        <w:rPr>
          <w:lang w:val="en-US"/>
        </w:rPr>
        <w:fldChar w:fldCharType="begin"/>
      </w:r>
      <w:r w:rsidR="00D37BA8">
        <w:rPr>
          <w:lang w:val="en-US"/>
        </w:rPr>
        <w:instrText xml:space="preserve"> ADDIN ZOTERO_ITEM CSL_CITATION {"citationID":"UYVGzMB7","properties":{"unsorted":false,"formattedCitation":"(Jahan et al., 2022)","plainCitation":"(Jahan et al., 2022)","noteIndex":0},"citationItems":[{"id":9288,"uris":["http://zotero.org/users/9219121/items/4VHJT8WF"],"itemData":{"id":9288,"type":"article-journal","abstract":"Effective waste management has become a crucial factor in Australia because, from 1996 to 2015, the population increased by 28%, while Australia’s annual waste increased by 170%. In the period 2018–2019, Australia generated 27 Mt of construction demolition waste (44% of all waste). Although 76% of this waste is recycled, there has been a 61% increase in the rate of waste since 2006–2007. Therefore, minimising waste and prioritising waste management are necessary to build a circular economy. This study aims to identify the current waste minimisation perceptions in the Australian construction industry. A semi-structured interview was conducted with 50 industry experts focusing on four sectors (design/planning, building information modelling (BIM), material logistics, and prefabrication). The data were analysed qualitatively and quantitatively (Severity index). The result disclosed that the designers are the first contributor to waste minimisation, followed by the material suppliers/manufacturers. It is revealed that subjective attitude and the personal reluctance to exercise waste mitigation strategies are crucial. The outcome also indicated that BIM has the potential to minimise waste significantly. Overall, 15 key points were highlighted to consider for waste minimisation, and a conceptual framework was proposed. Therefore, identifying waste management’s current practices and the responsibility of industry personnel will help minimise waste and bring sustainable development. © 2022 by the authors.","archive":"B54O","container-title":"Sustainability (Switzerland)","DOI":"10.3390/su141811319","issue":"18","title":"Experts’ Perceptions of the Management and Minimisation of Waste in the Australian Construction Industry","URL":"https://www.scopus.com/inward/record.uri?eid=2-s2.0-85138598906&amp;doi=10.3390%2fsu141811319&amp;partnerID=40&amp;md5=2ec284c365d0d1e408fe2b6bedc0d416","volume":"14","author":[{"family":"Jahan","given":"I."},{"family":"Zhang","given":"G."},{"family":"Bhuiyan","given":"M."},{"family":"Navaratnam","given":"S."},{"family":"Shi","given":"L."}],"issued":{"date-parts":[["2022"]]}}}],"schema":"https://github.com/citation-style-language/schema/raw/master/csl-citation.json"} </w:instrText>
      </w:r>
      <w:r w:rsidR="00D37BA8">
        <w:rPr>
          <w:lang w:val="en-US"/>
        </w:rPr>
        <w:fldChar w:fldCharType="separate"/>
      </w:r>
      <w:r w:rsidR="00D37BA8" w:rsidRPr="00D37BA8">
        <w:rPr>
          <w:rFonts w:ascii="Aptos" w:hAnsi="Aptos"/>
          <w:lang w:val="en-US"/>
        </w:rPr>
        <w:t>(Jahan et al., 2022)</w:t>
      </w:r>
      <w:r w:rsidR="00D37BA8">
        <w:rPr>
          <w:lang w:val="en-US"/>
        </w:rPr>
        <w:fldChar w:fldCharType="end"/>
      </w:r>
      <w:r w:rsidRPr="001B2CAF">
        <w:rPr>
          <w:lang w:val="en-US"/>
        </w:rPr>
        <w:t xml:space="preserve">. Circular economy principles support this transition by moving the industry away from a linear “take–make–waste” model towards closed-loop material flows </w:t>
      </w:r>
      <w:r w:rsidR="00D37BA8">
        <w:rPr>
          <w:lang w:val="en-US"/>
        </w:rPr>
        <w:t xml:space="preserve"> </w:t>
      </w:r>
      <w:r w:rsidR="00D37BA8">
        <w:rPr>
          <w:lang w:val="en-US"/>
        </w:rPr>
        <w:fldChar w:fldCharType="begin"/>
      </w:r>
      <w:r w:rsidR="00D37BA8">
        <w:rPr>
          <w:lang w:val="en-US"/>
        </w:rPr>
        <w:instrText xml:space="preserve"> ADDIN ZOTERO_ITEM CSL_CITATION {"citationID":"DszuNWKo","properties":{"unsorted":false,"formattedCitation":"(Abadi et al., 2023)","plainCitation":"(Abadi et al., 2023)","noteIndex":0},"citationItems":[{"id":9466,"uris":["http://zotero.org/users/9219121/items/JHK2MPM6"],"itemData":{"id":9466,"type":"article-journal","abstract":"Purpose: The development of circular construction supply chains (CCSCs) is impeded by various barriers, but the current literature overlooks the interrelationships among these barriers and the varying nature of associated countermeasures with the growth of circular economy (CE). This paper aims to develop new perspectives about the transition to CCSCs through the lens of supply-push (SP)/demand-pull (DP) strategies and related underpinning theories. Design/methodology/approach: A systematic literature review including 136 journal articles was undertaken to identify barriers to CCSCs and associated countermeasures that are analysed for their relevance to SP/DP. The interplay between SP/DP approaches was discussed using the “technology acceptance” and “innovation chain” models. Findings: (1) Thirty-five barriers were identified and organised into nine main barrier factors; (2) the predominant factors are knowledge and awareness, policy and regulations, technological capabilities, and incentives; (3) CCSCs transition is SP-configured primarily driven by actors above the project network; (4) “push” measures are devised to gradually create a “pull” environment and can be revoked when demand for circularity is created, suggesting a new “push-to-pull” perspective of CCSCs; and (5) a complex adaptative system is witnessed in relationships between barriers and countermeasures, and interactions among actors at all levels. Practical implications: The findings offer practitioners countermeasures to barriers encountered in CE initiatives. It also informs policymakers of adjusting policies to accommodate the SP-DP movement in steering the circular transition. Originality/value: This study uses theoretical models to interpret the dynamics in CCSCs transition and proposes a new definition of CCSCs highlighting their complex and dual transitional/transformational nature. © 2023, Emerald Publishing Limited.","archive":"B7A1","container-title":"Engineering, Construction and Architectural Management","DOI":"10.1108/ECAM-03-2023-0294","title":"Towards a complex push-to-pull dynamics in circular construction supply chains: a systematic literature review","URL":"https://www.scopus.com/inward/record.uri?eid=2-s2.0-85168881198&amp;doi=10.1108%2fECAM-03-2023-0294&amp;partnerID=40&amp;md5=38343507c65bccb5176ec48469c92a02","author":[{"family":"Abadi","given":"M."},{"family":"Huang","given":"J."},{"family":"Yeow","given":"J."},{"family":"Mohandes","given":"S.R."},{"family":"Zhang","given":"L."}],"issued":{"date-parts":[["2023"]]}}}],"schema":"https://github.com/citation-style-language/schema/raw/master/csl-citation.json"} </w:instrText>
      </w:r>
      <w:r w:rsidR="00D37BA8">
        <w:rPr>
          <w:lang w:val="en-US"/>
        </w:rPr>
        <w:fldChar w:fldCharType="separate"/>
      </w:r>
      <w:r w:rsidR="00D37BA8" w:rsidRPr="00D37BA8">
        <w:rPr>
          <w:rFonts w:ascii="Aptos" w:hAnsi="Aptos"/>
          <w:lang w:val="en-US"/>
        </w:rPr>
        <w:t>(Abadi et al., 2023)</w:t>
      </w:r>
      <w:r w:rsidR="00D37BA8">
        <w:rPr>
          <w:lang w:val="en-US"/>
        </w:rPr>
        <w:fldChar w:fldCharType="end"/>
      </w:r>
      <w:r w:rsidRPr="001B2CAF">
        <w:rPr>
          <w:lang w:val="en-US"/>
        </w:rPr>
        <w:t xml:space="preserve">. In practice, circular construction involves designing for disassembly and reuse, reducing waste, using bio-based or recovered materials, and developing business models that keep resources in circulation </w:t>
      </w:r>
      <w:r w:rsidR="00C72A70">
        <w:rPr>
          <w:lang w:val="en-US"/>
        </w:rPr>
        <w:fldChar w:fldCharType="begin"/>
      </w:r>
      <w:r w:rsidR="00C72A70">
        <w:rPr>
          <w:lang w:val="en-US"/>
        </w:rPr>
        <w:instrText xml:space="preserve"> ADDIN ZOTERO_ITEM CSL_CITATION {"citationID":"IZ3nlXjf","properties":{"unsorted":false,"formattedCitation":"(Benachio et al., 2020; Crielaard, 2015)","plainCitation":"(Benachio et al., 2020; Crielaard, 2015)","noteIndex":0},"citationItems":[{"id":7867,"uris":["http://zotero.org/users/9219121/items/UB62IAFT"],"itemData":{"id":7867,"type":"article-journal","abstract":"The Construction Industry is responsible for over 30% of the extraction of natural resources, as well as 25% of solid waste generated in the world. This happens because the construction sector mostly adopts a linear economic model of “take, make, dispose”, using materials to the construction of buildings and disposing them at the end of life, since they are assembled for one time use and don’t retain potential for reuse. Over the last decades, a paradigm shift has been occurring in the industry at large, with the adoption of a Circular Economy model, that aims at keeping the materials in a closed loop to retain their maximum value, therefore with a greater potential of reducing the waste generation and resources extraction for the Construction Industry. This article aims at finding the recent developments of how Circular Economy can be used inside the construction industry. To achieve this goal, a systematic literature review was conducted, including 45 articles that were divided into six areas of research: development of Circular Economy, reuse of materials, material stocks, Circular Economy in the built environment, LCA analysis and material passport. An analysis of the content of these articles was made and the knowledge gaps in this area were identified, as well as table with known Circular Economy practices for the Construction Industry was created divided by life cycle stages. Finally, a discussion of each area of research and their findings is made.","archive":"R056","container-title":"Journal of Cleaner Production","DOI":"10.1016/j.jclepro.2020.121046","ISSN":"0959-6526","journalAbbreviation":"Journal of Cleaner Production","language":"en","page":"121046","source":"ScienceDirect","title":"Circular economy in the construction industry: A systematic literature review","title-short":"Circular economy in the construction industry","volume":"260","author":[{"family":"Benachio","given":"Gabriel Luiz Fritz"},{"family":"Freitas","given":"Maria do Carmo Duarte"},{"family":"Tavares","given":"Sergio Fernando"}],"issued":{"date-parts":[["2020",7,1]]}}},{"id":9871,"uris":["http://zotero.org/users/9219121/items/BRIDM8QR"],"itemData":{"id":9871,"type":"report","archive":"NP02","language":"en","source":"Zotero","title":"Circular economy in the Dutch construction sector","author":[{"family":"Crielaard","given":"Machiel (WVL)"}],"issued":{"date-parts":[["2015"]]}}}],"schema":"https://github.com/citation-style-language/schema/raw/master/csl-citation.json"} </w:instrText>
      </w:r>
      <w:r w:rsidR="00C72A70">
        <w:rPr>
          <w:lang w:val="en-US"/>
        </w:rPr>
        <w:fldChar w:fldCharType="separate"/>
      </w:r>
      <w:r w:rsidR="00C72A70" w:rsidRPr="00C72A70">
        <w:rPr>
          <w:rFonts w:ascii="Aptos" w:hAnsi="Aptos"/>
          <w:lang w:val="en-US"/>
        </w:rPr>
        <w:t>(Benachio et al., 2020; Crielaard, 2015)</w:t>
      </w:r>
      <w:r w:rsidR="00C72A70">
        <w:rPr>
          <w:lang w:val="en-US"/>
        </w:rPr>
        <w:fldChar w:fldCharType="end"/>
      </w:r>
      <w:r w:rsidR="00C72A70">
        <w:rPr>
          <w:lang w:val="en-US"/>
        </w:rPr>
        <w:t>.</w:t>
      </w:r>
    </w:p>
    <w:p w14:paraId="009E7313" w14:textId="55E48C20" w:rsidR="00E04130" w:rsidRDefault="76C5DF52" w:rsidP="00E04130">
      <w:pPr>
        <w:jc w:val="both"/>
        <w:rPr>
          <w:lang w:val="en-US"/>
        </w:rPr>
      </w:pPr>
      <w:r w:rsidRPr="00E04130">
        <w:rPr>
          <w:lang w:val="en-US"/>
        </w:rPr>
        <w:t>One emerging approach to enable this transition is the use of platform business models in construction</w:t>
      </w:r>
      <w:r>
        <w:rPr>
          <w:lang w:val="en-US"/>
        </w:rPr>
        <w:t>:</w:t>
      </w:r>
      <w:r w:rsidRPr="00E04130">
        <w:rPr>
          <w:lang w:val="en-US"/>
        </w:rPr>
        <w:t xml:space="preserve"> such as digital marketplaces for reclaimed materials, </w:t>
      </w:r>
      <w:r>
        <w:rPr>
          <w:lang w:val="en-US"/>
        </w:rPr>
        <w:t xml:space="preserve">digital information platforms for </w:t>
      </w:r>
      <w:r w:rsidRPr="00E04130">
        <w:rPr>
          <w:lang w:val="en-US"/>
        </w:rPr>
        <w:t>lifecycle tracking (e.g. material passport databases), and sharing platforms</w:t>
      </w:r>
      <w:r>
        <w:rPr>
          <w:lang w:val="en-US"/>
        </w:rPr>
        <w:t xml:space="preserve"> or product-as-a service platforms</w:t>
      </w:r>
      <w:r w:rsidRPr="00E04130">
        <w:rPr>
          <w:lang w:val="en-US"/>
        </w:rPr>
        <w:t xml:space="preserve"> for construction resources</w:t>
      </w:r>
      <w:r>
        <w:rPr>
          <w:lang w:val="en-US"/>
        </w:rPr>
        <w:t xml:space="preserve"> </w:t>
      </w:r>
      <w:r w:rsidR="00E04130">
        <w:rPr>
          <w:lang w:val="en-US"/>
        </w:rPr>
        <w:fldChar w:fldCharType="begin"/>
      </w:r>
      <w:r w:rsidR="00F17C9D">
        <w:rPr>
          <w:lang w:val="en-US"/>
        </w:rPr>
        <w:instrText xml:space="preserve"> ADDIN ZOTERO_ITEM CSL_CITATION {"citationID":"FQ8GP8a2","properties":{"formattedCitation":"(Blackburn et al., 2023; Hijazi et al., 2025; Kedir et al., 2024; Li et al., 2025; Yu, 2024)","plainCitation":"(Blackburn et al., 2023; Hijazi et al., 2025; Kedir et al., 2024; Li et al., 2025; Yu, 2024)","noteIndex":0},"citationItems":[{"id":9632,"uris":["http://zotero.org/users/9219121/items/DGQGQUU7"],"itemData":{"id":9632,"type":"article-journal","abstract":"Digital platform technology enables circular business models that facilitate the reduction, reuse, and recycling of resources and materials across large ecosystems of platform actors. However, little is currently known about the inner workings of such platforms and how they are organized. Framing these platforms as meta-organizations, this study examines the orchestration mechanisms deployed by platform owners to facilitate economic value creation with a circular business model among a large group of actors. Building on an inductive analysis of 10 European platform organizations, this study identifies five meta-organizational orchestration mechanisms and develops an empirically grounded model that explains how the focal firm orchestrates value creation with a platform-based circular business model. This study advances the existing knowledge on orchestration mechanisms in platform-based meta-organizations in a circular economy context and highlights novel implications for theory and practice.","container-title":"Organization &amp; Environment","DOI":"10.1177/10860266221130717","ISSN":"1086-0266","issue":"2","language":"en","page":"253-281","publisher":"SAGE Publications Inc","source":"SAGE Journals","title":"Digital Platforms for the Circular Economy: Exploring Meta-Organizational Orchestration Mechanisms","title-short":"Digital Platforms for the Circular Economy","volume":"36","author":[{"family":"Blackburn","given":"Outi"},{"family":"Ritala","given":"Paavo"},{"family":"Keränen","given":"Joona"}],"issued":{"date-parts":[["2023",6,1]]}}},{"id":9854,"uris":["http://zotero.org/users/9219121/items/SFBC2TQE"],"itemData":{"id":9854,"type":"article-journal","archive":"D034","container-title":"Building Research &amp; Information","DOI":"10.1080/09613218.2025.2510270","ISSN":"0961-3218, 1466-4321","language":"en","license":"http://creativecommons.org/licenses/by/4.0/","page":"1-20","publisher":"Informa UK Limited","source":"Crossref","title":"A contingency approach to platform implementation: platform types, attributes, and value chain integration","title-short":"A contingency approach to platform implementation","author":[{"family":"Hijazi","given":"Amer A."},{"family":"Das","given":"Priyadarshini"},{"family":"Li","given":"Yimin"},{"family":"Moehler","given":"Robert C."},{"family":"Maxwell","given":"Duncan W."}],"issued":{"date-parts":[["2025",6,11]]}}},{"id":30,"uris":["http://zotero.org/users/9219121/items/VCF5N6PS"],"itemData":{"id":30,"type":"article-journal","abstract":"Purpose: This paper aims to conduct a qualitative assessment of synergies between information flows of a multifamily product platform used for industrialized housing and materials passports that can promote a circular economy in the construction industry. Design/methodology/approach: Using a single case study method, the research assesses the availability and accessibility of materials passport-relevant information generated by a leading Swedish industrialized housing construction firm. Data is collected using semistructured interviews, document analysis and an extended research visit. Findings: The research findings identify the functional layers of the product platform, map the information flow using a process diagram, assess the availability and accessibility of material passport relevant information by lifecycle stage and actor, and summarize the key points using a SWOT (strengths, weaknesses, opportunities and threats) analysis. Research limitations/implications: The three main implications are: the technical and process platforms used in industrialized construction allow for generating standardized, digital and reusable information; the vertical integration of trades and long-term relationships with suppliers improve transparency and reduce fragmentation in information flows; and the design-build-operate business model strategy incentivizes actors to manage information flows in the use phase. Practical implications: Industrialized construction firms can use this paper as an approach to understand and map their information flows to identify suitable approaches to generate and manage materials passports. Originality/value: The specific characteristics of product platforms and industrialized construction provide a unique opportunity for circular information flow across the building lifecycle, which can support material passport adoption to a degree not often found in the traditional construction industry. © 2023, Emerald Publishing Limited.","archive":"C725","container-title":"Construction Innovation","DOI":"10.1108/CI-08-2022-0199","issue":"5","page":"1354-1379","title":"Circular information flows in industrialized housing construction: the case of a multi-family housing product platform in Sweden","volume":"24","author":[{"family":"Kedir","given":"F."},{"family":"Hall","given":"D.M."},{"family":"Brantvall","given":"S."},{"family":"Lessing","given":"J."},{"family":"Hollberg","given":"A."},{"family":"Soman","given":"R.K."}],"issued":{"date-parts":[["2024"]]}}},{"id":9851,"uris":["http</w:instrText>
      </w:r>
      <w:r w:rsidR="00F17C9D" w:rsidRPr="001B2CAF">
        <w:instrText xml:space="preserve">://zotero.org/users/9219121/items/PHANB4FV"],"itemData":{"id":9851,"type":"article-journal","archive":"D037","citation-key":"liFacilitatingPlatformbasedBusiness2025","container-title":"Construction Management and Economics","DOI":"10.1080/01446193.2025.2528795","ISSN":"0144-6193, 1466-433X","language":"en","license":"http://creativecommons.org/licenses/by-nc-nd/4.0/","page":"1-18","publisher":"Informa UK Limited","source":"Crossref","title":"Facilitating platform-based business model innovation in construction start-ups: a dynamic capability perspective","title-short":"Facilitating platform-based business model innovation in construction start-ups","author":[{"family":"Li","given":"Yimin"},{"family":"Maxwell","given":"Duncan W."},{"family":"Moehler","given":"Robert"}],"issued":{"date-parts":[["2025",7,24]]}}},{"id":9920,"uris":["http://zotero.org/users/9219121/items/2SEXVE47"],"itemData":{"id":9920,"type":"thesis","archive":"S950","language":"English","source":"research.utwente.nl","title":"Circular Construction Ecosystems: Designing a Circularity Information Platform for the Built Environment","title-short":"Circular Construction Ecosystems","URL":"https://research.utwente.nl/en/publications/circular-construction-ecosystems-designing-a-circularity-informat","author":[{"family":"Yu","given":"Yifei"}],"accessed":{"date-parts":[["2025",6,19]]},"issued":{"date-parts":[["2024",12,13]]}}}],"schema":"https://github.com/citation-style-language/schema/raw/master/csl-citation.json"} </w:instrText>
      </w:r>
      <w:r w:rsidR="00E04130">
        <w:rPr>
          <w:lang w:val="en-US"/>
        </w:rPr>
        <w:fldChar w:fldCharType="separate"/>
      </w:r>
      <w:r w:rsidRPr="00E04130">
        <w:rPr>
          <w:rFonts w:ascii="Aptos" w:hAnsi="Aptos"/>
        </w:rPr>
        <w:t>(Blackburn et al., 2023; Hijazi et al., 2025; Kedir et al., 2024; Li et al., 2025; Yu, 2024)</w:t>
      </w:r>
      <w:r w:rsidR="00E04130">
        <w:rPr>
          <w:lang w:val="en-US"/>
        </w:rPr>
        <w:fldChar w:fldCharType="end"/>
      </w:r>
      <w:r w:rsidRPr="00E04130">
        <w:t>.</w:t>
      </w:r>
      <w:r>
        <w:t xml:space="preserve"> </w:t>
      </w:r>
      <w:r w:rsidRPr="00E04130">
        <w:rPr>
          <w:lang w:val="en-US"/>
        </w:rPr>
        <w:t>These platforms act as intermediaries linking stakeholders across the building life cycle, facilitating the exchange and reuse of components, and improving information flows about materials</w:t>
      </w:r>
      <w:r w:rsidR="002663AD">
        <w:rPr>
          <w:lang w:val="en-US"/>
        </w:rPr>
        <w:t xml:space="preserve"> </w:t>
      </w:r>
      <w:r w:rsidR="002663AD">
        <w:rPr>
          <w:lang w:val="en-US"/>
        </w:rPr>
        <w:fldChar w:fldCharType="begin"/>
      </w:r>
      <w:r w:rsidR="00C72A70">
        <w:rPr>
          <w:lang w:val="en-US"/>
        </w:rPr>
        <w:instrText xml:space="preserve"> ADDIN ZOTERO_ITEM CSL_CITATION {"citationID":"3vgk03ZF","properties":{"unsorted":false,"formattedCitation":"(Ding et al., 2023, 2026; Moglia et al., 2023)","plainCitation":"(Ding et al., 2023, 2026; Moglia et al., 2023)","noteIndex":0},"citationItems":[{"id":7482,"uris":["http://zotero.org/users/9219121/items/DW3TW858"],"itemData":{"id":7482,"type":"article-journal","abstract":"To close the loop for the circular economy (CE) transition in the construction industry, forward logistics (FL) and reverse logistics (RL), as enabling operations for CE, are important topics to be addressed. However, current research mainly focuses on either FL or RL, with a lack of synthesis that presents an overview of the bi-directional logistics system integrating FL and RL and related mechanisms to close the loop. This review, therefore, explores the current cases of FL and RL in the construction arena through a systematic literature review (SLR) process. A review framework to synthesize and compare both FL and RL operations in various phases of the construction project life cycle (CPLC) has been established for this purpose. The phases include - in FL: design, manufacturing, construction, and operations; and in RL: deconstruction, product reuse, waste distribution, and material reprocessing. The review concludes that while similar methods and CE strategies are used in FL and RL, RL operations require more integration between supply chain actors to close the loop for CE in construction. The findings also indicate that more lateral integration between FL and RL phases beyond the life cycle and industrial boundaries is necessary for CE-driven construction projects, instead of only direct vertical integration with up- and down-stream partners. This review proposes a new conceptual framework of circular logistics integration (CLI) that consists of channel creation, network integration, and inventory management to guide and inspire future research in tackling the systematic barriers that hinder materials and resource flow from RL to FL in construction life cycles.","archive":"S900","citation-key":"dingForwardReverseLogistics2023","container-title":"Journal of Cleaner Production","DOI":"10.1016/j.jclepro.2023.135981","ISSN":"0959-6526","journalAbbreviation":"Journal of Cleaner Production","language":"en","license":"All rights reserved","page":"135981","source":"ScienceDirect","title":"Forward and reverse logistics for circular economy in construction: A systematic literature review","title-short":"Forward and reverse logistics for circular economy in construction","volume":"388","author":[{"family":"Ding","given":"Lu"},{"family":"Wang","given":"Tong"},{"family":"Chan","given":"Paul W."}],"issued":{"date-parts":[["2023",2,15]]}}},{"id":20379,"uris":["http://zotero.org/users/9219121/items/TE4JY638"],"itemData":{"id":20379,"type":"article-journal","abstract":"Digital platforms are increasingly promoted as key enablers of circular construction, yet empirical insight remains limited into incumbent supply chain actors’ needs and experiences with these platforms as emerging intermediaries. Addressing this gap, this study examines the perceptions of supply chain actors operating within the Dutch construction sector, drawing on 18 semi-structured interviews, a focus group workshop, and observations from two national circular digital transition programs. Building on existing research, digital platforms are conceptualized not merely as technical infrastructures, but as intermediaries embedded within existing supply chain practices and coordination arrangements, forming triadic relationships between supply and demand actors. Accordingly, the analysis is structured according to different intermediation needs across material flows, support flows, and systemic coordination. The findings indicate that digital platforms are widely expected to enhance supply-demand visibility and matchmaking, support compliance with evolving circularity-related KPIs, and facilitate cross-sector coordination. However, their adoption and perceived value vary substantially across actors, product types, and supply chain configurations, with persistent challenges in coordinating material logistics, accounting for environmental and social externalities and managing evolving platform power dynamics. The study contributes to construction management and circular supply chain research by advancing the concept of intermediaries for examining how digital platforms shape circular transitions. It further highlights the importance of more context-sensitive platform design and governance arrangements that respond to diverse intermediation needs and underlying platform dynamics in the transition to circular construction.","archive":"S903","citation-key":"dingDigitalPlatformsCircular2026","container-title":"Construction Management and Economics","DOI":"10.1080/01446193.2026.2666549","ISSN":"0144-6193","issue":"0","note":"_eprint: https://doi.org/10.1080/01446193.2026.2666549","page":"1-20","publisher":"Routledge","source":"Taylor and Francis+NEJM","title":"Digital platforms for circular construction: incumbent supply chain actors’ perceptions of emerging intermediaries in the Dutch context","title-short":"Digital platforms for circular construction","volume":"0","author":[{"family":"Ding","given":"Lu"},{"family":"Wang","given":"Tong"},{"family":"Chan","given":"Paul W."}],"issued":{"date-parts":[["2026",5,9]]}}},{"id":9740,"uris":["http://zotero.org/users/9219121/items/25PTNRFH"],"itemData":{"id":9740,"type":"chapter","abstract":"This chapter provides a conceptualisation of how virtual intermediaries can help facilitate the transitioning of a business ecology to a circular economy (CE). This conceptualisation is based on recent research in Victoria, Australia. We argue that the transformation towards a CE occurs across three transformation arenas: market creation, the enabling environment, and organisational change. These transformation arenas were identified using a theory of change methodology, drawing on interviews and a literature review. The chapter examines the roles that a virtual intermediary can play in the key transformation arenas or systemically across all transformation arenas, to either reduce transaction costs, overcome inertia, streamline and standardise, or facilitate systemic learning. This provides a novel contribution to the conceptualisation and roles that a virtual intermediary can play on the path toward a CE, and the systemic re-alignment that is required for a transition to take place.","archive":"C609","container-title":"The Routledge Handbook of Catalysts for a Sustainable Circular Economy","ISBN":"978-1-003-26749-2","note":"number-of-pages: 22","publisher":"Routledge","title":"Roles of Virtual Intermediaries in the Transition to a Circular Economy","author":[{"family":"Moglia","given":"Magnus"},{"family":"Nygaard","given":"Christian A."},{"family":"Shittu","given":"Olamide"},{"family":"Halefom","given":"Tmnit H."},{"family":"Trewick","given":"Sean"}],"issued":{"date-parts":[["2023"]]}}}],"schema":"https://github.com/citation-style-language/schema/raw/master/csl-citation.json"} </w:instrText>
      </w:r>
      <w:r w:rsidR="002663AD">
        <w:rPr>
          <w:lang w:val="en-US"/>
        </w:rPr>
        <w:fldChar w:fldCharType="separate"/>
      </w:r>
      <w:r w:rsidR="00C72A70" w:rsidRPr="00C72A70">
        <w:rPr>
          <w:rFonts w:ascii="Aptos" w:hAnsi="Aptos"/>
          <w:lang w:val="en-US"/>
        </w:rPr>
        <w:t>(Ding et al., 2023, 2026; Moglia et al., 2023)</w:t>
      </w:r>
      <w:r w:rsidR="002663AD">
        <w:rPr>
          <w:lang w:val="en-US"/>
        </w:rPr>
        <w:fldChar w:fldCharType="end"/>
      </w:r>
      <w:r w:rsidRPr="00E04130">
        <w:rPr>
          <w:lang w:val="en-US"/>
        </w:rPr>
        <w:t xml:space="preserve">. For example, digital platforms can serve as virtual marketplaces connecting demolition firms, suppliers, and builders to trade salvaged materials, effectively supporting product-service systems and circular supply chains </w:t>
      </w:r>
      <w:r w:rsidR="00E04130">
        <w:rPr>
          <w:lang w:val="en-US"/>
        </w:rPr>
        <w:fldChar w:fldCharType="begin"/>
      </w:r>
      <w:r w:rsidR="008335EC">
        <w:rPr>
          <w:lang w:val="en-US"/>
        </w:rPr>
        <w:instrText xml:space="preserve"> ADDIN ZOTERO_ITEM CSL_CITATION {"citationID":"UZ80qWgL","properties":{"unsorted":false,"formattedCitation":"(\\uc0\\u199{}etin, 2023; Ding et al., 2026; Keles et al., 2025)","plainCitation":"(Çetin, 2023; Ding et al., 2026; Keles et al., 2025)","noteIndex":0},"citationItems":[{"id":9919,"uris":["http://zotero.org/users/9219121/items/JNHZKRGB"],"itemData":{"id":9919,"type":"thesis","abstract":"The concept of Circular Economy (CE) has emerged as a promising alternative to the current linear economy, decoupling economic activity from the depletion of natural resources and promoting a restorative and regenerative system. The transition of the building industry to a circular one can be achieved through four core resource principles: Narrow (minimising the use of primary resources), slow (extending the lifetime of buildings and products), close (regaining post-use and construction waste through reuse or recycling), and regenerate (minimising toxic substances and maximising the use of renewable resources). These principles provide a framework for exploring the role of digitalisation in the transition of social housing organisations (SHOs) toward circular housing practices, with a focus on European SHOs, particularly those in the Netherlands. This thesis follows a structured format comprising six chapters, with four of them encapsulating the author’s published articles. Chapter 1 serves as the introduction, providing a contextual foundation for the research. It outlines the overarching theme of the thesis, which revolves around the intersection of CE, digitalisation, and the built environment, with a specific focus on SHOs. The chapter sets the stage by identifying the gaps in existing literature, emphasising the need for a comprehensive conceptualisation of this emerging research field. It further delves into essential methodological aspects, the problem statement, and the broader significance of the research. In Chapter 2, the research delves into an exploration of the current state of CE implementation in Dutch SHOs and provides insights into the pressing barriers, and potential enablers. A Delphi study conducted with 21 social housing professionals reveals that, as of 2020, SHOs were in an experimental phase, incorporating circular construction techniques in pilot projects. Barriers encompass organisational priorities, operating within a linear system, and a lack of awareness. Also, financial challenges related to the costs of circular materials also emerge as significant hurdles. Chapter 3 develops a framework, the Circular Digital Built Environment Framework, in an exploratory qualitative research approach. This conceptual model integrates CE principles with digital technologies to provide an understanding of their potential applications within the built environment. The framework is constructed through expert workshops, literature reviews, and evaluations of current research and practices, resulting in the identification of over ten key digital technologies. These technologies encompass a broad spectrum, including big data analytics, blockchain technology, and material passports. The framework not only informs subsequent empirical studies but also serves as a valuable guide for scholars and industry practitioners navigating the intersection of digitalisation and circularity in the building industry. Chapter 4 presents an analysis of how enabling digital technologies, identified in Chapter 3, are practically employed in real-life practices, specifically within circular new build, renovation, maintenance, and demolition projects of forerunner Dutch SHOs. Employing a multiple-case study approach, the chapter gathers empirical evidence from three large-scale SHOs through semi-structured interviews, desk research, and extensive data analysis. The within-case and cross-case analyses reveal insights into the types of digital technologies being deployed, their impact on circular practices, and the challenges encountered in their adoption. By examining the real-world examples, Chapter 4 contributes to the evolving domain of digitalisation for a circular building industry. Chapter 5 addresses the challenges associated with data (identified in Chapter 4), with a specific focus on material passports as a crucial tool for circularity in existing housing stock. Employing a multiphase mixed-method research design, the chapter utilises the SCOPIS method (Supply Chain-Oriented Process to Identify Stakeholders) for user and data mapping. This approach results in a data template outlining the requirements of users for material passports. Subsequently, the study tests this template through a case study, identifying critical data gaps and proposing a material passports framework to address these gaps. By leveraging both digital technologies and human expertise, Chapter 5 offers solutions to enhance data management in the pursuit of circularity within the building industry. The findings contribute to ongoing industry and policy initiatives. Chapter 6, the concluding chapter, consolidates the exploration conducted throughout the thesis. It presents the overarching contributions of the research, offering a summary of the scientific and practice contributions and recommendations derived from the entire study.","archive":"S805","DOI":"10.7480/abe.2023.22","genre":"Dissertation (TU Delft)","ISBN":"978-94-6366-786-9","note":"volume: 22 (2023)","publisher":"A+BE | Architecture and the Built Environment","source":"TU Delft Research Portal","title":"Towards a circular building industry through digitalisation: Exploring how digital technologies can help narrow, slow, close, and regenerate the loops in social housing practice","title-short":"Towards a circular building industry through digitalisation","URL":"http://www.scopus.com/inward/record.url?scp=85184513995&amp;partnerID=8YFLogxK","author":[{"family":"Çetin","given":"Sultan"}],"accessed":{"date-parts":[["2025",6,19]]},"issued":{"date-parts":[["2023"]]}}},{"id":20379,"uris":["http://zotero.org/users/9219121/items/TE4JY638"],"itemData":{"id":20379,"type":"article-journal","abstract":"Digital platforms are increasingly promoted as key enablers of circular construction, yet empirical insight remains limited into incumbent supply chain actors’ needs and experiences with these platforms as emerging intermediaries. Addressing this gap, this study examines the perceptions of supply chain actors operating within the Dutch construction sector, drawing on 18 semi-structured interviews, a focus group workshop, and observations from two national circular digital transition programs. Building on existing research, digital platforms are conceptualized not merely as technical infrastructures, but as intermediaries embedded within existing supply chain practices and coordination arrangements, forming triadic relationships between supply and demand actors. Accordingly, the analysis is structured according to different intermediation needs across material flows, support flows, and systemic coordination. The findings indicate that digital platforms are widely expected to enhance supply-demand visibility and matchmaking, support compliance with evolving circularity-related KPIs, and facilitate cross-sector coordination. However, their adoption and perceived value vary substantially across actors, product types, and supply chain configurations, with persistent challenges in coordinating material logistics, accounting for environmental and social externalities and managing evolving platform power dynamics. The study contributes to construction management and circular supply chain research by advancing the concept of intermediaries for examining how digital platforms shape circular transitions. It further highlights the importance of more context-sensitive platform design and governance arrangements that respond to diverse intermediation needs and underlying platform dynamics in the transition to circular construction.","archive":"S903","citation-key":"dingDigitalPlatformsCircular2026","container-title":"Construction Management and Economics","DOI":"10.1080/01446193.2026.2666549","ISSN":"0144-6193","issue":"0","note":"_eprint: https://doi.org/10.1080/01446193.2026.2666549","page":"1-20","publisher":"Routledge","source":"Taylor and Francis+NEJM","title":"Digital platforms for circular construction: incumbent supply chain actors’ perceptions of emerging intermediaries in the Dutch context","title-short":"Digital platforms for circular construction","volume":"0","author":[{"family":"Ding","given":"Lu"},{"family":"Wang","given":"Tong"},{"family":"Chan","given":"Paul W."}],"issued":{"date-parts":[["2026",5,9]]}}},{"id":19576,"uris":["http://zotero.org/users/9219121/items/7EPDFCPC"],"itemData":{"id":19576,"type":"article-journal","abstract":"The circular economy implementation in the built environment is hindered by the complexity of CE strategies and unique nature of the construction industry. Digital technologies have been explored as promising solutions to aid decision making and enable circular solutions in the architecture, engineering, and construction sector. The literature on both circular economy and digital technology fields has grown exponentially in the past few years, and there is a need for a comprehensive review of the state-of-the-art applications, integrations, potential, and limitations of digital technologies in the circular economy context. Through a systematic literature review, this study identified ten key digital technologies to enable circularity in the building sector: building information modeling, spatial data acquisition, artificial intelligence and machine learning, Internet of Things, blockchain, digital twin, augmented and virtual realities, digital platform/marketplace, material passports, and additive manufacturing and digital fabrication. In this study, we review current applications, discuss their integrations, match digital technology opportunities with circular economy barriers, and map the digital technologies applications along a building’s lifecycle. Blockchain and material passport technologies demonstrated potential to enable circular economy strategies throughout the whole building’s lifecycle, but their application remains limited in the construction industry. Building information modeling was found to be at the core of most technological integrations, but more research is needed to understand the impact of such integrations in supporting circular economy policies, standards, and assessment methods. Finally, collaborative research efforts are needed to unveil the risks of digitalization in the built environment, including risks concerning privacy and cybersecurity.","archive":"D641","container-title":"Buildings","DOI":"10.3390/buildings15040553","ISSN":"2075-5309","issue":"4","language":"en","license":"http://creativecommons.org/licenses/by/3.0/","page":"553","publisher":"Multidisciplinary Digital Publishing Institute","source":"www.mdpi.com","title":"Digital Technologies and Circular Economy in the Construction Sector: A Review of Lifecycle Applications, Integrations, Potential, and Limitations","title-short":"Digital Technologies and Circular Economy in the Construction Sector","volume":"15","author":[{"family":"Keles","given":"Cagla"},{"family":"Cruz Rios","given":"Fernanda"},{"family":"Hoque","given":"Simi"}],"issued":{"date-parts":[["2025",1]]}}}],"schema":"https://github.com/citation-style-language/schema/raw/master/csl-citation.json"} </w:instrText>
      </w:r>
      <w:r w:rsidR="00E04130">
        <w:rPr>
          <w:lang w:val="en-US"/>
        </w:rPr>
        <w:fldChar w:fldCharType="separate"/>
      </w:r>
      <w:r w:rsidR="008335EC" w:rsidRPr="001B2CAF">
        <w:rPr>
          <w:rFonts w:ascii="Aptos" w:hAnsi="Aptos" w:cs="Times New Roman"/>
          <w:kern w:val="0"/>
          <w:lang w:val="en-US"/>
        </w:rPr>
        <w:t>(Çetin, 2023; Ding et al., 2026; Keles et al., 2025)</w:t>
      </w:r>
      <w:r w:rsidR="00E04130">
        <w:rPr>
          <w:lang w:val="en-US"/>
        </w:rPr>
        <w:fldChar w:fldCharType="end"/>
      </w:r>
      <w:r w:rsidRPr="00E04130">
        <w:rPr>
          <w:lang w:val="en-US"/>
        </w:rPr>
        <w:t>.</w:t>
      </w:r>
      <w:r>
        <w:rPr>
          <w:lang w:val="en-US"/>
        </w:rPr>
        <w:t xml:space="preserve"> </w:t>
      </w:r>
      <w:r w:rsidR="2D48E5C6">
        <w:rPr>
          <w:lang w:val="en-US"/>
        </w:rPr>
        <w:t>Instead of focusing on</w:t>
      </w:r>
      <w:r w:rsidR="0BC8E81F">
        <w:rPr>
          <w:lang w:val="en-US"/>
        </w:rPr>
        <w:t xml:space="preserve"> value proposition of firms, platform business models focus on up and </w:t>
      </w:r>
      <w:r w:rsidR="002663AD">
        <w:rPr>
          <w:lang w:val="en-US"/>
        </w:rPr>
        <w:t>downstream</w:t>
      </w:r>
      <w:r w:rsidR="0BC8E81F">
        <w:rPr>
          <w:lang w:val="en-US"/>
        </w:rPr>
        <w:t xml:space="preserve"> actors in a network to </w:t>
      </w:r>
      <w:r w:rsidR="14CB58BB">
        <w:rPr>
          <w:lang w:val="en-US"/>
        </w:rPr>
        <w:t>generate value by connecting different</w:t>
      </w:r>
      <w:r w:rsidR="002663AD">
        <w:rPr>
          <w:lang w:val="en-US"/>
        </w:rPr>
        <w:t xml:space="preserve"> flows</w:t>
      </w:r>
      <w:r w:rsidR="14CB58BB">
        <w:rPr>
          <w:lang w:val="en-US"/>
        </w:rPr>
        <w:t xml:space="preserve">. </w:t>
      </w:r>
      <w:r w:rsidRPr="00E04130">
        <w:rPr>
          <w:lang w:val="en-US"/>
        </w:rPr>
        <w:t xml:space="preserve">Such platform-based approaches align with </w:t>
      </w:r>
      <w:r>
        <w:rPr>
          <w:lang w:val="en-US"/>
        </w:rPr>
        <w:t xml:space="preserve">multiple transition agendas in different countries, such as </w:t>
      </w:r>
      <w:r w:rsidRPr="00E04130">
        <w:rPr>
          <w:lang w:val="en-US"/>
        </w:rPr>
        <w:t xml:space="preserve">modern </w:t>
      </w:r>
      <w:r w:rsidRPr="00E04130">
        <w:rPr>
          <w:lang w:val="en-US"/>
        </w:rPr>
        <w:lastRenderedPageBreak/>
        <w:t>methods of construction</w:t>
      </w:r>
      <w:r>
        <w:rPr>
          <w:lang w:val="en-US"/>
        </w:rPr>
        <w:t xml:space="preserve"> (MMC) in UK and Australia and</w:t>
      </w:r>
      <w:r w:rsidRPr="00E04130">
        <w:rPr>
          <w:lang w:val="en-US"/>
        </w:rPr>
        <w:t xml:space="preserve"> industrialized </w:t>
      </w:r>
      <w:r>
        <w:rPr>
          <w:lang w:val="en-US"/>
        </w:rPr>
        <w:t>modular construction in the Netherlands. The initiatives emphasize standardization and modularity, also promoted as qualities for waste reduction and easy</w:t>
      </w:r>
      <w:r w:rsidR="00EF3813">
        <w:rPr>
          <w:lang w:val="en-US"/>
        </w:rPr>
        <w:t xml:space="preserve"> disassembly and</w:t>
      </w:r>
      <w:r>
        <w:rPr>
          <w:lang w:val="en-US"/>
        </w:rPr>
        <w:t xml:space="preserve"> reuse</w:t>
      </w:r>
      <w:r w:rsidR="008335EC">
        <w:rPr>
          <w:lang w:val="en-US"/>
        </w:rPr>
        <w:t xml:space="preserve"> </w:t>
      </w:r>
      <w:r w:rsidR="008335EC">
        <w:rPr>
          <w:lang w:val="en-US"/>
        </w:rPr>
        <w:fldChar w:fldCharType="begin"/>
      </w:r>
      <w:r w:rsidR="008335EC">
        <w:rPr>
          <w:lang w:val="en-US"/>
        </w:rPr>
        <w:instrText xml:space="preserve"> ADDIN ZOTERO_ITEM CSL_CITATION {"citationID":"6fUZARxH","properties":{"unsorted":false,"formattedCitation":"(Oorschot &amp; Asselbergs, 2021)","plainCitation":"(Oorschot &amp; Asselbergs, 2021)","noteIndex":0},"citationItems":[{"id":9005,"uris":["http://zotero.org/users/9219121/items/2MERTGMD"],"itemData":{"id":9005,"type":"article-journal","abstract":"For a moment, it seemed that the architect had disappeared from the construction supply chain for sustainable and affordable housing provided by Dutch housing associations. Large contractors were making direct agreements with housing associations and wanted to scale up production with their housing factories. However, with the ‘So You Think You Can BUILD’ challenge, architects, consultancies, and contractors reinvented themselves within the construction supply chain and acquired a position as providers of circular building concepts. The aim of this challenge is to stimulate providers of homes to design and produce (in great numbers) affordable and sustainable houses. This not only scales up building production in empty fields but also within difficult and dense build urban areas. A whole new generation of Dutch architects, consultancies, and contractors working in collaboration are now intensively involved with circular and biobased residential buildings, innovative materials and production processes. They are managing to provide attractive products for housing associations and other clients. In the first part of 2021, ‘So You Think You Can BUILD’ challenged teams of designers, engineers and contractors to develop new concepts, with the three winners applying the principles of the ‘passive house’, which is modular and circular, as well as a smart building skin and smart core with open floor space in between. © 2021 by the authors. Licensee MDPI, Basel, Switzerland.","archive":"B7A7","container-title":"Sustainability (Switzerland)","DOI":"10.3390/su132413772","issue":"24","title":"New housing concepts: Modular, circular, biobased, reproducible, and affordable","URL":"https://www.scopus.com/inward/record.uri?eid=2-s2.0-85121261472&amp;doi=10.3390%2fsu132413772&amp;partnerID=40&amp;md5=ee1c852dc544e24e29c4d35fa0713d46","volume":"13","author":[{"family":"Oorschot","given":"L."},{"family":"Asselbergs","given":"T."}],"issued":{"date-parts":[["2021"]]}}}],"schema":"https://github.com/citation-style-language/schema/raw/master/csl-citation.json"} </w:instrText>
      </w:r>
      <w:r w:rsidR="008335EC">
        <w:rPr>
          <w:lang w:val="en-US"/>
        </w:rPr>
        <w:fldChar w:fldCharType="separate"/>
      </w:r>
      <w:r w:rsidR="008335EC" w:rsidRPr="008335EC">
        <w:rPr>
          <w:rFonts w:ascii="Aptos" w:hAnsi="Aptos"/>
          <w:lang w:val="en-US"/>
        </w:rPr>
        <w:t>(Oorschot &amp; Asselbergs, 2021)</w:t>
      </w:r>
      <w:r w:rsidR="008335EC">
        <w:rPr>
          <w:lang w:val="en-US"/>
        </w:rPr>
        <w:fldChar w:fldCharType="end"/>
      </w:r>
      <w:r>
        <w:rPr>
          <w:lang w:val="en-US"/>
        </w:rPr>
        <w:t>.</w:t>
      </w:r>
    </w:p>
    <w:p w14:paraId="0E9CDBBF" w14:textId="4999F0F3" w:rsidR="00972E3A" w:rsidRPr="001B2CAF" w:rsidRDefault="25A286EE" w:rsidP="3B07E28A">
      <w:pPr>
        <w:jc w:val="both"/>
        <w:rPr>
          <w:i/>
          <w:iCs/>
          <w:lang w:val="en-US"/>
        </w:rPr>
      </w:pPr>
      <w:r w:rsidRPr="3B07E28A">
        <w:rPr>
          <w:lang w:val="en-US"/>
        </w:rPr>
        <w:t xml:space="preserve">As pilot cases of such platforms emerge in different countries and literature started to examine the cases, most initiatives are locally focused and there still lack comparative insight on how platform-based business models may leverage circular construction under different policies and industry environments. This raises critical questions of standardization versus context-specific adaptation to circular economy: </w:t>
      </w:r>
      <w:r w:rsidR="0092536E" w:rsidRPr="001B2CAF">
        <w:rPr>
          <w:b/>
          <w:bCs/>
          <w:i/>
          <w:iCs/>
          <w:lang w:val="en-US"/>
        </w:rPr>
        <w:t>How do platform business models enable circular construction in the Netherlands and Australia, and how are their functions, scalability, and transferability shaped by different national ecosystems?</w:t>
      </w:r>
    </w:p>
    <w:p w14:paraId="3B8D3332" w14:textId="5397E81E" w:rsidR="3B07E28A" w:rsidRDefault="3B07E28A" w:rsidP="3B07E28A">
      <w:pPr>
        <w:jc w:val="both"/>
        <w:rPr>
          <w:lang w:val="en-US"/>
        </w:rPr>
      </w:pPr>
    </w:p>
    <w:p w14:paraId="2F14296F" w14:textId="788CE1B2" w:rsidR="00065CCE" w:rsidRDefault="00065CCE" w:rsidP="00E04130">
      <w:pPr>
        <w:jc w:val="both"/>
        <w:rPr>
          <w:b/>
          <w:bCs/>
          <w:lang w:val="en-US"/>
        </w:rPr>
      </w:pPr>
      <w:r>
        <w:rPr>
          <w:b/>
          <w:bCs/>
          <w:lang w:val="en-US"/>
        </w:rPr>
        <w:t>Research Aim</w:t>
      </w:r>
    </w:p>
    <w:p w14:paraId="6B2C40B7" w14:textId="71791FC4" w:rsidR="00644724" w:rsidRDefault="25A286EE" w:rsidP="3B07E28A">
      <w:pPr>
        <w:spacing w:line="276" w:lineRule="auto"/>
        <w:jc w:val="both"/>
        <w:rPr>
          <w:rFonts w:ascii="Aptos" w:eastAsia="Aptos" w:hAnsi="Aptos" w:cs="Aptos"/>
          <w:lang w:val="en-US"/>
        </w:rPr>
      </w:pPr>
      <w:r w:rsidRPr="3B07E28A">
        <w:rPr>
          <w:lang w:val="en-US"/>
        </w:rPr>
        <w:t>This research aims to qualitatively compare the role of platform business models in facilitating the transition to circular construction in the Netherlands and Australia.</w:t>
      </w:r>
      <w:r w:rsidR="45FF7176" w:rsidRPr="3B07E28A">
        <w:rPr>
          <w:lang w:val="en-US"/>
        </w:rPr>
        <w:t xml:space="preserve">  A particular focus is placed on the tension between the need for standardization (common data standards, protocols, and business models that could enable scaling and interoperability of circular practices) versus the need for context-specific adaptation (tailoring functions to local policies, market structures, and cultural practices).</w:t>
      </w:r>
      <w:r w:rsidR="6EDBA35B" w:rsidRPr="3B07E28A">
        <w:rPr>
          <w:lang w:val="en-US"/>
        </w:rPr>
        <w:t xml:space="preserve"> </w:t>
      </w:r>
      <w:r w:rsidRPr="3B07E28A">
        <w:rPr>
          <w:lang w:val="en-US"/>
        </w:rPr>
        <w:t>By comparing two distinct national settings, the research seeks to generate insights into how platform-based circular construction may be universally applicable, or to what extent it may require unique localization or customization.</w:t>
      </w:r>
    </w:p>
    <w:p w14:paraId="6B067E60" w14:textId="3477EEFE" w:rsidR="3B07E28A" w:rsidRDefault="3B07E28A" w:rsidP="3B07E28A">
      <w:pPr>
        <w:spacing w:line="276" w:lineRule="auto"/>
        <w:jc w:val="both"/>
        <w:rPr>
          <w:lang w:val="en-US"/>
        </w:rPr>
      </w:pPr>
    </w:p>
    <w:p w14:paraId="6163B7A4" w14:textId="034AC551" w:rsidR="00065CCE" w:rsidRDefault="00DB631F" w:rsidP="00E04130">
      <w:pPr>
        <w:jc w:val="both"/>
        <w:rPr>
          <w:b/>
          <w:bCs/>
          <w:lang w:val="en-US"/>
        </w:rPr>
      </w:pPr>
      <w:r>
        <w:rPr>
          <w:b/>
          <w:bCs/>
          <w:lang w:val="en-US"/>
        </w:rPr>
        <w:t>Methodology</w:t>
      </w:r>
    </w:p>
    <w:p w14:paraId="68D23FB4" w14:textId="42316F22" w:rsidR="00DB631F" w:rsidRDefault="3896A64D" w:rsidP="3B07E28A">
      <w:pPr>
        <w:jc w:val="both"/>
        <w:rPr>
          <w:lang w:val="en-US"/>
        </w:rPr>
      </w:pPr>
      <w:r w:rsidRPr="3B07E28A">
        <w:rPr>
          <w:lang w:val="en-US"/>
        </w:rPr>
        <w:t xml:space="preserve">The study adopts a comparative qualitative case study approach, examining the Netherlands and Australia as two contrasting cases of high-income countries pursuing </w:t>
      </w:r>
      <w:r w:rsidR="5BED1353" w:rsidRPr="3B07E28A">
        <w:rPr>
          <w:lang w:val="en-US"/>
        </w:rPr>
        <w:t>transition in the</w:t>
      </w:r>
      <w:r w:rsidRPr="3B07E28A">
        <w:rPr>
          <w:lang w:val="en-US"/>
        </w:rPr>
        <w:t xml:space="preserve"> construction</w:t>
      </w:r>
      <w:r w:rsidR="5BED1353" w:rsidRPr="3B07E28A">
        <w:rPr>
          <w:lang w:val="en-US"/>
        </w:rPr>
        <w:t xml:space="preserve"> industry for more efficient </w:t>
      </w:r>
      <w:r w:rsidR="6EA99FAE" w:rsidRPr="3B07E28A">
        <w:rPr>
          <w:lang w:val="en-US"/>
        </w:rPr>
        <w:t xml:space="preserve">and circular </w:t>
      </w:r>
      <w:r w:rsidR="5BED1353" w:rsidRPr="3B07E28A">
        <w:rPr>
          <w:lang w:val="en-US"/>
        </w:rPr>
        <w:t>building</w:t>
      </w:r>
      <w:r w:rsidRPr="3B07E28A">
        <w:rPr>
          <w:lang w:val="en-US"/>
        </w:rPr>
        <w:t>.</w:t>
      </w:r>
      <w:r w:rsidR="5BED1353" w:rsidRPr="3B07E28A">
        <w:rPr>
          <w:lang w:val="en-US"/>
        </w:rPr>
        <w:t xml:space="preserve"> </w:t>
      </w:r>
      <w:r w:rsidR="25FE398B" w:rsidRPr="3B07E28A">
        <w:rPr>
          <w:lang w:val="en-US"/>
        </w:rPr>
        <w:t>A Most-Different Systems Design (MDSD) underpins the case selection</w:t>
      </w:r>
      <w:r w:rsidR="5B211B10" w:rsidRPr="3B07E28A">
        <w:rPr>
          <w:lang w:val="en-US"/>
        </w:rPr>
        <w:t xml:space="preserve"> </w:t>
      </w:r>
      <w:r w:rsidR="009D7734" w:rsidRPr="3B07E28A">
        <w:rPr>
          <w:lang w:val="en-US"/>
        </w:rPr>
        <w:fldChar w:fldCharType="begin"/>
      </w:r>
      <w:r w:rsidR="00AA4F04">
        <w:rPr>
          <w:lang w:val="en-US"/>
        </w:rPr>
        <w:instrText xml:space="preserve"> ADDIN ZOTERO_ITEM CSL_CITATION {"citationID":"uoNRZTLd","properties":{"unsorted":false,"formattedCitation":"(Anckar, 2008)","plainCitation":"(Anckar, 2008)","noteIndex":0},"citationItems":[{"id":20432,"uris":["http://zotero.org/users/9219121/items/872E8P4X"],"itemData":{"id":20432,"type":"article-journal","abstract":"In comparative political research we distinguish between the ‘Most Similar Systems Design’ (MSSD) and the ‘Most Different Systems Design’ (MDSD). In the present work, I argue that the applicability of the two research strategies is determined by the features of the research task. Three essential distinctions are important when assessing the applicability of the MSSD and the MDSD: (1) whether or not variable interactions are studied at a syst</w:instrText>
      </w:r>
      <w:r w:rsidR="00AA4F04">
        <w:rPr>
          <w:rFonts w:hint="eastAsia"/>
          <w:lang w:val="en-US"/>
        </w:rPr>
        <w:instrText>emic level or at a sub</w:instrText>
      </w:r>
      <w:r w:rsidR="00AA4F04">
        <w:rPr>
          <w:rFonts w:hint="eastAsia"/>
          <w:lang w:val="en-US"/>
        </w:rPr>
        <w:instrText>‐</w:instrText>
      </w:r>
      <w:r w:rsidR="00AA4F04">
        <w:rPr>
          <w:rFonts w:hint="eastAsia"/>
          <w:lang w:val="en-US"/>
        </w:rPr>
        <w:instrText xml:space="preserve">systemic level; (2) whether we use a deductive or inductive research strategy and (3) whether or not we operate with a constant or varying dependent variable. The article argues that the combination of these dimensions is essential </w:instrText>
      </w:r>
      <w:r w:rsidR="00AA4F04">
        <w:rPr>
          <w:lang w:val="en-US"/>
        </w:rPr>
        <w:instrText xml:space="preserve">for how the MSSD and the MDSD can and should be used in comparative research.","citation-key":"anckarApplicabilityMostSimilar2008","container-title":"International Journal of Social Research Methodology","DOI":"10.1080/13645570701401552","ISSN":"1364-5579","issue":"5","note":"_eprint: https://doi.org/10.1080/13645570701401552","page":"389-401","publisher":"Routledge","source":"Taylor and Francis+NEJM","title":"On the Applicability of the Most Similar Systems Design and the Most Different Systems Design in Comparative Research","volume":"11","author":[{"family":"Anckar","given":"Carsten"}],"issued":{"date-parts":[["2008",12,1]]}}}],"schema":"https://github.com/citation-style-language/schema/raw/master/csl-citation.json"} </w:instrText>
      </w:r>
      <w:r w:rsidR="009D7734" w:rsidRPr="3B07E28A">
        <w:rPr>
          <w:lang w:val="en-US"/>
        </w:rPr>
        <w:fldChar w:fldCharType="separate"/>
      </w:r>
      <w:r w:rsidR="00AA4F04" w:rsidRPr="00AA4F04">
        <w:rPr>
          <w:rFonts w:ascii="Aptos" w:hAnsi="Aptos"/>
          <w:lang w:val="en-US"/>
        </w:rPr>
        <w:t>(Anckar, 2008)</w:t>
      </w:r>
      <w:r w:rsidR="009D7734" w:rsidRPr="3B07E28A">
        <w:rPr>
          <w:lang w:val="en-US"/>
        </w:rPr>
        <w:fldChar w:fldCharType="end"/>
      </w:r>
      <w:r w:rsidR="25FE398B" w:rsidRPr="3B07E28A">
        <w:rPr>
          <w:lang w:val="en-US"/>
        </w:rPr>
        <w:t xml:space="preserve">: both countries share similar drivers (advanced economies with resource-intensive construction industries facing waste and carbon reduction imperatives) yet differ markedly in their geography, </w:t>
      </w:r>
      <w:r w:rsidR="27CD77BE" w:rsidRPr="3B07E28A">
        <w:rPr>
          <w:lang w:val="en-US"/>
        </w:rPr>
        <w:t xml:space="preserve">resource conditions, </w:t>
      </w:r>
      <w:r w:rsidR="51BFF1ED" w:rsidRPr="3B07E28A">
        <w:rPr>
          <w:lang w:val="en-US"/>
        </w:rPr>
        <w:t xml:space="preserve">cultural </w:t>
      </w:r>
      <w:r w:rsidR="27CD77BE" w:rsidRPr="3B07E28A">
        <w:rPr>
          <w:lang w:val="en-US"/>
        </w:rPr>
        <w:t>settings</w:t>
      </w:r>
      <w:r w:rsidR="25FE398B" w:rsidRPr="3B07E28A">
        <w:rPr>
          <w:lang w:val="en-US"/>
        </w:rPr>
        <w:t>, and institutional landscapes.</w:t>
      </w:r>
      <w:r w:rsidR="0BEC9BCD" w:rsidRPr="3B07E28A">
        <w:rPr>
          <w:lang w:val="en-US"/>
        </w:rPr>
        <w:t xml:space="preserve"> </w:t>
      </w:r>
      <w:r w:rsidR="123C859C" w:rsidRPr="3B07E28A">
        <w:rPr>
          <w:lang w:val="en-US"/>
        </w:rPr>
        <w:t>This logic allows the research to identify which platform-enabled circular practices hold true across disparate environments, thereby strengthening analytical generalization.</w:t>
      </w:r>
      <w:r w:rsidR="1285EFF3" w:rsidRPr="3B07E28A">
        <w:rPr>
          <w:lang w:val="en-US"/>
        </w:rPr>
        <w:t xml:space="preserve"> </w:t>
      </w:r>
      <w:r w:rsidR="77B8D8C4" w:rsidRPr="3B07E28A">
        <w:rPr>
          <w:lang w:val="en-US"/>
        </w:rPr>
        <w:t xml:space="preserve">The circular economy policy landscapes in the two countries reflect contrasting governance strategies in the circular transition, commonly </w:t>
      </w:r>
      <w:r w:rsidR="7F1C4E0C" w:rsidRPr="3B07E28A">
        <w:rPr>
          <w:lang w:val="en-US"/>
        </w:rPr>
        <w:t>characterized</w:t>
      </w:r>
      <w:r w:rsidR="77B8D8C4" w:rsidRPr="3B07E28A">
        <w:rPr>
          <w:lang w:val="en-US"/>
        </w:rPr>
        <w:t xml:space="preserve"> as “top-down” and “bottom-up” approaches</w:t>
      </w:r>
      <w:r w:rsidR="3E989371" w:rsidRPr="3B07E28A">
        <w:rPr>
          <w:lang w:val="en-US"/>
        </w:rPr>
        <w:t xml:space="preserve"> </w:t>
      </w:r>
      <w:r w:rsidR="009D7734" w:rsidRPr="3B07E28A">
        <w:rPr>
          <w:lang w:val="en-US"/>
        </w:rPr>
        <w:fldChar w:fldCharType="begin"/>
      </w:r>
      <w:r w:rsidR="009D7734" w:rsidRPr="3B07E28A">
        <w:rPr>
          <w:lang w:val="en-US"/>
        </w:rPr>
        <w:instrText xml:space="preserve"> ADDIN ZOTERO_ITEM CSL_CITATION {"citationID":"AGG3aesc","properties":{"formattedCitation":"(Adabre et al., 2025)","plainCitation":"(Adabre et al., 2025)","noteIndex":0},"citationItems":[{"id":19673,"uris":["http://zotero.org/users/9219121/items/D32BZWTQ"],"itemData":{"id":19673,"type":"article-journal","abstract":"Acute housing problems have brought about a new practice of transitional housing in Hong Kong, offering short-term accommodation to help vulnerable individuals/households transition into longer-term housing. Most of these makeshifts which are constructed on idle site unsuitable for long-term housing development are removed after a stipulated period for the site to be used for other purposes. With the growing supply of these short-term housing and potential increase in construction and demolition (C&amp;D) waste, circular economy (CE) becomes necessary for waste reduction and material recovery for relocation and reconstruction. However, studies on drivers for circularity in transitional housing are limited. An institutional change is crucial to end the prevailing institutional structure of the linear economy, characterised by demolition, for CE implementation. Underpinned by the institutional theory framework, a comprehensive literature review and questionnaire survey were conducted to identify the institutional drivers for circular transitional housing. Findings of the study revealed highly rated common and significantly different regulative, normative and cultural-cognitive CE drivers. The findings complement extant literature in addition to apprising policymakers of a combined top-down (strategic) and bottom-up (tactical) drivers for circularity in residential facilities that serve as stopgaps. This could enable policymakers and practitioners to accelerate CE adoption in transitional housing and general construction projects. Beyond Hong Kong, the findings are relevant to international organizations to facilitate circular transitional housing markets or strategies in countries that are prone to natural disasters or in case of emergency to provide short-term shelter for vulnerable individuals, with less C&amp;D waste generation during and after construction and deconstruction of such facilities.","archive":"D807","container-title":"Cities","DOI":"10.1016/j.cities.2025.106067","ISSN":"0264-2751","journalAbbreviation":"Cities","page":"106067","source":"ScienceDirect","title":"Institutional drivers for circular economy implementation in transitional housing: The case of Hong Kong","title-short":"Institutional drivers for circular economy implementation in transitional housing","volume":"164","author":[{"family":"Adabre","given":"Michael Atafo"},{"family":"Chan","given":"Albert P. C."},{"family":"Darko","given":"Amos"},{"family":"Yang","given":"Yang"},{"family":"Debrah","given":"Caleb"}],"issued":{"date-parts":[["2025",9,1]]}}}],"schema":"https://github.com/citation-style-language/schema/raw/master/csl-citation.json"} </w:instrText>
      </w:r>
      <w:r w:rsidR="009D7734" w:rsidRPr="3B07E28A">
        <w:rPr>
          <w:lang w:val="en-US"/>
        </w:rPr>
        <w:fldChar w:fldCharType="separate"/>
      </w:r>
      <w:r w:rsidR="1285EFF3" w:rsidRPr="3B07E28A">
        <w:rPr>
          <w:rFonts w:ascii="Aptos" w:hAnsi="Aptos"/>
          <w:lang w:val="en-US"/>
        </w:rPr>
        <w:t>(Adabre et al., 2025)</w:t>
      </w:r>
      <w:r w:rsidR="009D7734" w:rsidRPr="3B07E28A">
        <w:rPr>
          <w:lang w:val="en-US"/>
        </w:rPr>
        <w:fldChar w:fldCharType="end"/>
      </w:r>
      <w:r w:rsidR="1285EFF3" w:rsidRPr="3B07E28A">
        <w:rPr>
          <w:lang w:val="en-US"/>
        </w:rPr>
        <w:t>.</w:t>
      </w:r>
      <w:r w:rsidR="775E542D" w:rsidRPr="3B07E28A">
        <w:rPr>
          <w:lang w:val="en-US"/>
        </w:rPr>
        <w:t xml:space="preserve"> The Netherlands is widely seen as a frontrunner in pursuing circular economy related policy frameworks and </w:t>
      </w:r>
      <w:r w:rsidR="775E542D" w:rsidRPr="3B07E28A">
        <w:rPr>
          <w:lang w:val="en-US"/>
        </w:rPr>
        <w:lastRenderedPageBreak/>
        <w:t xml:space="preserve">government-led programs, </w:t>
      </w:r>
      <w:r w:rsidR="6A6FF23F" w:rsidRPr="3B07E28A">
        <w:rPr>
          <w:lang w:val="en-US"/>
        </w:rPr>
        <w:t>whereas in Australia the circular economy agenda is less strongly institutionalized at the national level, with greater reliance on market-driven and business-led initiatives.</w:t>
      </w:r>
    </w:p>
    <w:p w14:paraId="612FBC20" w14:textId="7636DDF6" w:rsidR="00E23402" w:rsidRDefault="6D8F396A" w:rsidP="00E23402">
      <w:pPr>
        <w:spacing w:line="276" w:lineRule="auto"/>
        <w:jc w:val="both"/>
        <w:rPr>
          <w:rFonts w:ascii="Aptos" w:eastAsia="Aptos" w:hAnsi="Aptos" w:cs="Aptos"/>
          <w:lang w:val="en-US"/>
        </w:rPr>
      </w:pPr>
      <w:r w:rsidRPr="3B07E28A">
        <w:rPr>
          <w:lang w:val="en-US"/>
        </w:rPr>
        <w:t>The research</w:t>
      </w:r>
      <w:r w:rsidR="6A6FF23F" w:rsidRPr="3B07E28A">
        <w:rPr>
          <w:lang w:val="en-US"/>
        </w:rPr>
        <w:t xml:space="preserve"> </w:t>
      </w:r>
      <w:r w:rsidR="46C4D9E4" w:rsidRPr="3B07E28A">
        <w:rPr>
          <w:lang w:val="en-US"/>
        </w:rPr>
        <w:t>draws on</w:t>
      </w:r>
      <w:r w:rsidRPr="3B07E28A">
        <w:rPr>
          <w:lang w:val="en-US"/>
        </w:rPr>
        <w:t xml:space="preserve"> multiple qualitative data sources. </w:t>
      </w:r>
      <w:r w:rsidR="46C4D9E4" w:rsidRPr="3B07E28A">
        <w:rPr>
          <w:rFonts w:ascii="Aptos" w:eastAsia="Aptos" w:hAnsi="Aptos" w:cs="Aptos"/>
          <w:lang w:val="en-US"/>
        </w:rPr>
        <w:t>By beginning with a comparison of the policy and regulatory environment and the market and industry dynamics, this research seeks to understand how country level conditions differ between the Netherlands and Australia. It then compares prominent platform business models that have emerged in response to these local conditions. This comparison is used to explain why particular platform business models have developed in the Netherlands versus Australia. By linking national settings with platform business models, the study contributes to knowledge on the circular economy in the construction sector by distinguishing practices that are broadly transferable across both countries regardless of local context, and practices that require localization and customization, including how they should be localized and what key considerations shape that process.</w:t>
      </w:r>
    </w:p>
    <w:p w14:paraId="379DBFC1" w14:textId="3762CF06" w:rsidR="006F38C4" w:rsidRPr="00FC715E" w:rsidRDefault="50741BD5" w:rsidP="3B07E28A">
      <w:pPr>
        <w:jc w:val="both"/>
        <w:rPr>
          <w:b/>
          <w:bCs/>
          <w:lang w:val="en-US"/>
        </w:rPr>
      </w:pPr>
      <w:r w:rsidRPr="3B07E28A">
        <w:rPr>
          <w:b/>
          <w:bCs/>
          <w:lang w:val="en-US"/>
        </w:rPr>
        <w:t>Preliminary Findings</w:t>
      </w:r>
      <w:r w:rsidR="1E00660C" w:rsidRPr="3B07E28A">
        <w:rPr>
          <w:b/>
          <w:bCs/>
          <w:lang w:val="en-US"/>
        </w:rPr>
        <w:t xml:space="preserve"> and Insights</w:t>
      </w:r>
    </w:p>
    <w:p w14:paraId="48E59056" w14:textId="278CFF08" w:rsidR="4C242F0B" w:rsidRDefault="2DEF7502" w:rsidP="001B2CAF">
      <w:pPr>
        <w:pStyle w:val="ListParagraph"/>
        <w:numPr>
          <w:ilvl w:val="0"/>
          <w:numId w:val="4"/>
        </w:numPr>
        <w:jc w:val="both"/>
        <w:rPr>
          <w:b/>
          <w:bCs/>
          <w:lang w:val="en-US"/>
        </w:rPr>
      </w:pPr>
      <w:r w:rsidRPr="0A004A09">
        <w:rPr>
          <w:b/>
          <w:bCs/>
          <w:lang w:val="en-US"/>
        </w:rPr>
        <w:t xml:space="preserve">Basic </w:t>
      </w:r>
      <w:r w:rsidRPr="49AEACC9">
        <w:rPr>
          <w:b/>
          <w:bCs/>
          <w:lang w:val="en-US"/>
        </w:rPr>
        <w:t xml:space="preserve">comparison </w:t>
      </w:r>
      <w:r w:rsidRPr="547BB197">
        <w:rPr>
          <w:b/>
          <w:bCs/>
          <w:lang w:val="en-US"/>
        </w:rPr>
        <w:t xml:space="preserve">between the </w:t>
      </w:r>
      <w:r w:rsidRPr="40168D22">
        <w:rPr>
          <w:b/>
          <w:bCs/>
          <w:lang w:val="en-US"/>
        </w:rPr>
        <w:t xml:space="preserve">Netherlands and </w:t>
      </w:r>
      <w:r w:rsidRPr="47CDD4F9">
        <w:rPr>
          <w:b/>
          <w:bCs/>
          <w:lang w:val="en-US"/>
        </w:rPr>
        <w:t>Australia</w:t>
      </w:r>
      <w:r w:rsidRPr="46A9E610">
        <w:rPr>
          <w:b/>
          <w:bCs/>
          <w:lang w:val="en-US"/>
        </w:rPr>
        <w:t xml:space="preserve"> </w:t>
      </w:r>
      <w:r w:rsidRPr="1EE021BC">
        <w:rPr>
          <w:b/>
          <w:bCs/>
          <w:lang w:val="en-US"/>
        </w:rPr>
        <w:t>(</w:t>
      </w:r>
      <w:r w:rsidRPr="1F0A71F6">
        <w:rPr>
          <w:b/>
          <w:bCs/>
          <w:lang w:val="en-US"/>
        </w:rPr>
        <w:t>demographi</w:t>
      </w:r>
      <w:r w:rsidR="0A35E514" w:rsidRPr="1F0A71F6">
        <w:rPr>
          <w:b/>
          <w:bCs/>
          <w:lang w:val="en-US"/>
        </w:rPr>
        <w:t>cs</w:t>
      </w:r>
      <w:r w:rsidRPr="1EE021BC">
        <w:rPr>
          <w:b/>
          <w:bCs/>
          <w:lang w:val="en-US"/>
        </w:rPr>
        <w:t>)</w:t>
      </w:r>
    </w:p>
    <w:tbl>
      <w:tblPr>
        <w:tblStyle w:val="TableGrid"/>
        <w:tblW w:w="0" w:type="auto"/>
        <w:tblLook w:val="04A0" w:firstRow="1" w:lastRow="0" w:firstColumn="1" w:lastColumn="0" w:noHBand="0" w:noVBand="1"/>
      </w:tblPr>
      <w:tblGrid>
        <w:gridCol w:w="3005"/>
        <w:gridCol w:w="3005"/>
        <w:gridCol w:w="3006"/>
      </w:tblGrid>
      <w:tr w:rsidR="00E51B63" w14:paraId="1FCC99FE" w14:textId="77777777">
        <w:tc>
          <w:tcPr>
            <w:tcW w:w="3005" w:type="dxa"/>
          </w:tcPr>
          <w:p w14:paraId="5F856BA2" w14:textId="77777777" w:rsidR="00E51B63" w:rsidRPr="00E51B63" w:rsidRDefault="00E51B63" w:rsidP="001B2CAF">
            <w:pPr>
              <w:pStyle w:val="ListParagraph"/>
              <w:ind w:left="420"/>
              <w:rPr>
                <w:lang w:val="en-US"/>
              </w:rPr>
            </w:pPr>
          </w:p>
        </w:tc>
        <w:tc>
          <w:tcPr>
            <w:tcW w:w="3005" w:type="dxa"/>
          </w:tcPr>
          <w:p w14:paraId="1C7F21DC" w14:textId="2F7E195D" w:rsidR="00E51B63" w:rsidRPr="001D13E3" w:rsidRDefault="00192A7A">
            <w:pPr>
              <w:rPr>
                <w:b/>
                <w:bCs/>
                <w:lang w:val="en-US"/>
              </w:rPr>
            </w:pPr>
            <w:r>
              <w:rPr>
                <w:b/>
                <w:bCs/>
                <w:lang w:val="en-US"/>
              </w:rPr>
              <w:t>Australia</w:t>
            </w:r>
          </w:p>
        </w:tc>
        <w:tc>
          <w:tcPr>
            <w:tcW w:w="3006" w:type="dxa"/>
          </w:tcPr>
          <w:p w14:paraId="5442C000" w14:textId="3D03C8C5" w:rsidR="00E51B63" w:rsidRPr="001D13E3" w:rsidRDefault="00192A7A">
            <w:pPr>
              <w:rPr>
                <w:b/>
                <w:bCs/>
                <w:lang w:val="en-US"/>
              </w:rPr>
            </w:pPr>
            <w:r>
              <w:rPr>
                <w:b/>
                <w:bCs/>
                <w:lang w:val="en-US"/>
              </w:rPr>
              <w:t>The Netherlands</w:t>
            </w:r>
          </w:p>
        </w:tc>
      </w:tr>
      <w:tr w:rsidR="00E51B63" w14:paraId="43E516F7" w14:textId="77777777">
        <w:tc>
          <w:tcPr>
            <w:tcW w:w="3005" w:type="dxa"/>
            <w:vAlign w:val="center"/>
          </w:tcPr>
          <w:p w14:paraId="073C5E86" w14:textId="77777777" w:rsidR="00E51B63" w:rsidRDefault="00E51B63">
            <w:pPr>
              <w:rPr>
                <w:lang w:val="en-US"/>
              </w:rPr>
            </w:pPr>
            <w:proofErr w:type="spellStart"/>
            <w:r w:rsidRPr="007C04F8">
              <w:rPr>
                <w:b/>
                <w:bCs/>
              </w:rPr>
              <w:t>Population</w:t>
            </w:r>
            <w:proofErr w:type="spellEnd"/>
          </w:p>
        </w:tc>
        <w:tc>
          <w:tcPr>
            <w:tcW w:w="3005" w:type="dxa"/>
            <w:vAlign w:val="center"/>
          </w:tcPr>
          <w:p w14:paraId="3202E577" w14:textId="77777777" w:rsidR="00E51B63" w:rsidRPr="000D2563" w:rsidRDefault="00E51B63">
            <w:pPr>
              <w:rPr>
                <w:lang w:val="en-US"/>
              </w:rPr>
            </w:pPr>
            <w:r w:rsidRPr="000D2563">
              <w:t xml:space="preserve">~27.2 </w:t>
            </w:r>
            <w:proofErr w:type="spellStart"/>
            <w:r w:rsidRPr="000D2563">
              <w:t>million</w:t>
            </w:r>
            <w:proofErr w:type="spellEnd"/>
            <w:r w:rsidRPr="000D2563">
              <w:t>, 2024</w:t>
            </w:r>
          </w:p>
        </w:tc>
        <w:tc>
          <w:tcPr>
            <w:tcW w:w="3006" w:type="dxa"/>
            <w:vAlign w:val="center"/>
          </w:tcPr>
          <w:p w14:paraId="3429D535" w14:textId="77777777" w:rsidR="00E51B63" w:rsidRPr="000D2563" w:rsidRDefault="00E51B63">
            <w:pPr>
              <w:rPr>
                <w:lang w:val="en-US"/>
              </w:rPr>
            </w:pPr>
            <w:r w:rsidRPr="000D2563">
              <w:t xml:space="preserve">~17.9 </w:t>
            </w:r>
            <w:proofErr w:type="spellStart"/>
            <w:r w:rsidRPr="000D2563">
              <w:t>million</w:t>
            </w:r>
            <w:proofErr w:type="spellEnd"/>
            <w:r w:rsidRPr="000D2563">
              <w:t>, 2024</w:t>
            </w:r>
          </w:p>
        </w:tc>
      </w:tr>
      <w:tr w:rsidR="00E51B63" w14:paraId="74A42B08" w14:textId="77777777">
        <w:tc>
          <w:tcPr>
            <w:tcW w:w="3005" w:type="dxa"/>
            <w:vAlign w:val="center"/>
          </w:tcPr>
          <w:p w14:paraId="46AECADC" w14:textId="77777777" w:rsidR="00E51B63" w:rsidRDefault="00E51B63">
            <w:pPr>
              <w:rPr>
                <w:lang w:val="en-US"/>
              </w:rPr>
            </w:pPr>
            <w:r w:rsidRPr="007C04F8">
              <w:rPr>
                <w:b/>
                <w:bCs/>
              </w:rPr>
              <w:t xml:space="preserve">Land </w:t>
            </w:r>
            <w:proofErr w:type="gramStart"/>
            <w:r w:rsidRPr="007C04F8">
              <w:rPr>
                <w:b/>
                <w:bCs/>
              </w:rPr>
              <w:t>area /</w:t>
            </w:r>
            <w:proofErr w:type="gramEnd"/>
            <w:r w:rsidRPr="007C04F8">
              <w:rPr>
                <w:b/>
                <w:bCs/>
              </w:rPr>
              <w:t xml:space="preserve"> </w:t>
            </w:r>
            <w:proofErr w:type="spellStart"/>
            <w:r w:rsidRPr="007C04F8">
              <w:rPr>
                <w:b/>
                <w:bCs/>
              </w:rPr>
              <w:t>density</w:t>
            </w:r>
            <w:proofErr w:type="spellEnd"/>
          </w:p>
        </w:tc>
        <w:tc>
          <w:tcPr>
            <w:tcW w:w="3005" w:type="dxa"/>
            <w:vAlign w:val="center"/>
          </w:tcPr>
          <w:p w14:paraId="3AA93E8D" w14:textId="77777777" w:rsidR="00E51B63" w:rsidRPr="000D2563" w:rsidRDefault="00E51B63">
            <w:r w:rsidRPr="000D2563">
              <w:t xml:space="preserve">~7.69 </w:t>
            </w:r>
            <w:proofErr w:type="spellStart"/>
            <w:r w:rsidRPr="000D2563">
              <w:t>million</w:t>
            </w:r>
            <w:proofErr w:type="spellEnd"/>
            <w:r w:rsidRPr="000D2563">
              <w:t xml:space="preserve"> km²; </w:t>
            </w:r>
          </w:p>
          <w:p w14:paraId="09D17EE4" w14:textId="77777777" w:rsidR="00E51B63" w:rsidRPr="000D2563" w:rsidRDefault="00E51B63">
            <w:pPr>
              <w:rPr>
                <w:lang w:val="en-US"/>
              </w:rPr>
            </w:pPr>
            <w:r w:rsidRPr="000D2563">
              <w:t xml:space="preserve">~3.5 </w:t>
            </w:r>
            <w:proofErr w:type="spellStart"/>
            <w:r w:rsidRPr="000D2563">
              <w:t>people</w:t>
            </w:r>
            <w:proofErr w:type="spellEnd"/>
            <w:r w:rsidRPr="000D2563">
              <w:t>/km²</w:t>
            </w:r>
          </w:p>
        </w:tc>
        <w:tc>
          <w:tcPr>
            <w:tcW w:w="3006" w:type="dxa"/>
            <w:vAlign w:val="center"/>
          </w:tcPr>
          <w:p w14:paraId="44FDB83C" w14:textId="77777777" w:rsidR="00E51B63" w:rsidRPr="000D2563" w:rsidRDefault="00E51B63">
            <w:pPr>
              <w:rPr>
                <w:lang w:val="en-US"/>
              </w:rPr>
            </w:pPr>
            <w:r w:rsidRPr="000D2563">
              <w:rPr>
                <w:lang w:val="en-US"/>
              </w:rPr>
              <w:t xml:space="preserve">~41,500 km² total; </w:t>
            </w:r>
          </w:p>
          <w:p w14:paraId="5491B39B" w14:textId="77777777" w:rsidR="00E51B63" w:rsidRPr="000D2563" w:rsidRDefault="00E51B63">
            <w:pPr>
              <w:rPr>
                <w:lang w:val="en-US"/>
              </w:rPr>
            </w:pPr>
            <w:r w:rsidRPr="000D2563">
              <w:rPr>
                <w:lang w:val="en-US"/>
              </w:rPr>
              <w:t xml:space="preserve">&gt;400 people/km² </w:t>
            </w:r>
          </w:p>
        </w:tc>
      </w:tr>
      <w:tr w:rsidR="00E51B63" w14:paraId="42B9F0BB" w14:textId="77777777">
        <w:tc>
          <w:tcPr>
            <w:tcW w:w="3005" w:type="dxa"/>
          </w:tcPr>
          <w:p w14:paraId="5913B70F" w14:textId="77777777" w:rsidR="00E51B63" w:rsidRPr="001D13E3" w:rsidRDefault="00E51B63">
            <w:pPr>
              <w:rPr>
                <w:b/>
                <w:bCs/>
                <w:lang w:val="en-US"/>
              </w:rPr>
            </w:pPr>
            <w:r w:rsidRPr="001D13E3">
              <w:rPr>
                <w:b/>
                <w:bCs/>
                <w:lang w:val="en-US"/>
              </w:rPr>
              <w:t>Income</w:t>
            </w:r>
          </w:p>
        </w:tc>
        <w:tc>
          <w:tcPr>
            <w:tcW w:w="3005" w:type="dxa"/>
          </w:tcPr>
          <w:p w14:paraId="64629CAE" w14:textId="77777777" w:rsidR="00E51B63" w:rsidRPr="000D2563" w:rsidRDefault="00E51B63">
            <w:pPr>
              <w:rPr>
                <w:lang w:val="en-US"/>
              </w:rPr>
            </w:pPr>
            <w:r w:rsidRPr="000D2563">
              <w:rPr>
                <w:lang w:val="en-US"/>
              </w:rPr>
              <w:t>High-income OECD economy</w:t>
            </w:r>
          </w:p>
        </w:tc>
        <w:tc>
          <w:tcPr>
            <w:tcW w:w="3006" w:type="dxa"/>
          </w:tcPr>
          <w:p w14:paraId="36219E12" w14:textId="77777777" w:rsidR="00E51B63" w:rsidRPr="000D2563" w:rsidRDefault="00E51B63">
            <w:pPr>
              <w:rPr>
                <w:lang w:val="en-US"/>
              </w:rPr>
            </w:pPr>
            <w:r w:rsidRPr="000D2563">
              <w:rPr>
                <w:lang w:val="en-US"/>
              </w:rPr>
              <w:t>High-income OECD economy</w:t>
            </w:r>
          </w:p>
        </w:tc>
      </w:tr>
      <w:tr w:rsidR="00E51B63" w14:paraId="6D7894A4" w14:textId="77777777">
        <w:tc>
          <w:tcPr>
            <w:tcW w:w="3005" w:type="dxa"/>
          </w:tcPr>
          <w:p w14:paraId="725507C1" w14:textId="77777777" w:rsidR="00E51B63" w:rsidRPr="001D13E3" w:rsidRDefault="00E51B63">
            <w:pPr>
              <w:rPr>
                <w:b/>
                <w:bCs/>
                <w:lang w:val="en-US"/>
              </w:rPr>
            </w:pPr>
            <w:proofErr w:type="spellStart"/>
            <w:proofErr w:type="gramStart"/>
            <w:r w:rsidRPr="007C04F8">
              <w:rPr>
                <w:b/>
                <w:bCs/>
              </w:rPr>
              <w:t>Housing</w:t>
            </w:r>
            <w:proofErr w:type="spellEnd"/>
            <w:r w:rsidRPr="007C04F8">
              <w:rPr>
                <w:b/>
                <w:bCs/>
              </w:rPr>
              <w:t xml:space="preserve"> /</w:t>
            </w:r>
            <w:proofErr w:type="gramEnd"/>
            <w:r w:rsidRPr="007C04F8">
              <w:rPr>
                <w:b/>
                <w:bCs/>
              </w:rPr>
              <w:t xml:space="preserve"> building stock </w:t>
            </w:r>
            <w:proofErr w:type="spellStart"/>
            <w:r w:rsidRPr="007C04F8">
              <w:rPr>
                <w:b/>
                <w:bCs/>
              </w:rPr>
              <w:t>structure</w:t>
            </w:r>
            <w:proofErr w:type="spellEnd"/>
          </w:p>
        </w:tc>
        <w:tc>
          <w:tcPr>
            <w:tcW w:w="3005" w:type="dxa"/>
          </w:tcPr>
          <w:p w14:paraId="43175E71" w14:textId="77777777" w:rsidR="00E51B63" w:rsidRPr="000D2563" w:rsidRDefault="00E51B63">
            <w:pPr>
              <w:rPr>
                <w:lang w:val="en-US"/>
              </w:rPr>
            </w:pPr>
            <w:proofErr w:type="gramStart"/>
            <w:r w:rsidRPr="000D2563">
              <w:rPr>
                <w:lang w:val="en-US"/>
              </w:rPr>
              <w:t>social housing about</w:t>
            </w:r>
            <w:proofErr w:type="gramEnd"/>
            <w:r w:rsidRPr="000D2563">
              <w:rPr>
                <w:lang w:val="en-US"/>
              </w:rPr>
              <w:t xml:space="preserve"> </w:t>
            </w:r>
            <w:r w:rsidRPr="001B2CAF">
              <w:rPr>
                <w:lang w:val="en-US"/>
              </w:rPr>
              <w:t>3.8%</w:t>
            </w:r>
          </w:p>
        </w:tc>
        <w:tc>
          <w:tcPr>
            <w:tcW w:w="3006" w:type="dxa"/>
          </w:tcPr>
          <w:p w14:paraId="728EDB1B" w14:textId="77777777" w:rsidR="00E51B63" w:rsidRPr="000D2563" w:rsidRDefault="00E51B63">
            <w:pPr>
              <w:rPr>
                <w:lang w:val="en-US"/>
              </w:rPr>
            </w:pPr>
            <w:r w:rsidRPr="000D2563">
              <w:rPr>
                <w:lang w:val="en-US"/>
              </w:rPr>
              <w:t xml:space="preserve">social housing roughly </w:t>
            </w:r>
            <w:r w:rsidRPr="001B2CAF">
              <w:rPr>
                <w:lang w:val="en-US"/>
              </w:rPr>
              <w:t>around 30%</w:t>
            </w:r>
          </w:p>
        </w:tc>
      </w:tr>
      <w:tr w:rsidR="00E51B63" w14:paraId="6DE6F15B" w14:textId="77777777">
        <w:tc>
          <w:tcPr>
            <w:tcW w:w="30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9"/>
            </w:tblGrid>
            <w:tr w:rsidR="00E51B63" w:rsidRPr="00F04087" w14:paraId="6CD91056" w14:textId="77777777">
              <w:trPr>
                <w:tblCellSpacing w:w="15" w:type="dxa"/>
              </w:trPr>
              <w:tc>
                <w:tcPr>
                  <w:tcW w:w="0" w:type="auto"/>
                  <w:vAlign w:val="center"/>
                  <w:hideMark/>
                </w:tcPr>
                <w:p w14:paraId="45EB3EE7" w14:textId="77777777" w:rsidR="00E51B63" w:rsidRPr="00292233" w:rsidRDefault="00E51B63">
                  <w:pPr>
                    <w:spacing w:after="0" w:line="240" w:lineRule="auto"/>
                    <w:rPr>
                      <w:b/>
                      <w:bCs/>
                      <w:lang w:val="en-US"/>
                    </w:rPr>
                  </w:pPr>
                  <w:r w:rsidRPr="00292233">
                    <w:rPr>
                      <w:b/>
                      <w:bCs/>
                      <w:lang w:val="en-US"/>
                    </w:rPr>
                    <w:t>C&amp;D waste generated per year</w:t>
                  </w:r>
                </w:p>
              </w:tc>
            </w:tr>
          </w:tbl>
          <w:p w14:paraId="5E54AD13" w14:textId="77777777" w:rsidR="00E51B63" w:rsidRPr="00292233" w:rsidRDefault="00E51B63">
            <w:pPr>
              <w:rPr>
                <w:b/>
                <w:bCs/>
                <w:vanish/>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51B63" w:rsidRPr="00F04087" w14:paraId="6D83326A" w14:textId="77777777">
              <w:trPr>
                <w:tblCellSpacing w:w="15" w:type="dxa"/>
              </w:trPr>
              <w:tc>
                <w:tcPr>
                  <w:tcW w:w="0" w:type="auto"/>
                  <w:vAlign w:val="center"/>
                  <w:hideMark/>
                </w:tcPr>
                <w:p w14:paraId="7180993A" w14:textId="77777777" w:rsidR="00E51B63" w:rsidRPr="00292233" w:rsidRDefault="00E51B63">
                  <w:pPr>
                    <w:spacing w:after="0" w:line="240" w:lineRule="auto"/>
                    <w:rPr>
                      <w:b/>
                      <w:bCs/>
                      <w:lang w:val="en-US"/>
                    </w:rPr>
                  </w:pPr>
                </w:p>
              </w:tc>
            </w:tr>
          </w:tbl>
          <w:p w14:paraId="5D31FF85" w14:textId="77777777" w:rsidR="00E51B63" w:rsidRPr="007C04F8" w:rsidRDefault="00E51B63">
            <w:pPr>
              <w:rPr>
                <w:b/>
                <w:bCs/>
                <w:lang w:val="en-US"/>
              </w:rPr>
            </w:pPr>
          </w:p>
        </w:tc>
        <w:tc>
          <w:tcPr>
            <w:tcW w:w="3005" w:type="dxa"/>
          </w:tcPr>
          <w:p w14:paraId="62248AA0" w14:textId="77777777" w:rsidR="00E51B63" w:rsidRPr="001B2CAF" w:rsidRDefault="00E51B63">
            <w:pPr>
              <w:rPr>
                <w:lang w:val="en-US"/>
              </w:rPr>
            </w:pPr>
            <w:r w:rsidRPr="001B2CAF">
              <w:t xml:space="preserve">~29 </w:t>
            </w:r>
            <w:proofErr w:type="spellStart"/>
            <w:r w:rsidRPr="001B2CAF">
              <w:t>million</w:t>
            </w:r>
            <w:proofErr w:type="spellEnd"/>
            <w:r w:rsidRPr="001B2CAF">
              <w:t xml:space="preserve"> </w:t>
            </w:r>
            <w:proofErr w:type="spellStart"/>
            <w:r w:rsidRPr="001B2CAF">
              <w:t>tonnes</w:t>
            </w:r>
            <w:proofErr w:type="spellEnd"/>
          </w:p>
        </w:tc>
        <w:tc>
          <w:tcPr>
            <w:tcW w:w="3006" w:type="dxa"/>
          </w:tcPr>
          <w:p w14:paraId="2EE6F8E3" w14:textId="77777777" w:rsidR="00E51B63" w:rsidRPr="001B2CAF" w:rsidRDefault="00E51B63">
            <w:pPr>
              <w:rPr>
                <w:lang w:val="en-US"/>
              </w:rPr>
            </w:pPr>
            <w:r w:rsidRPr="001B2CAF">
              <w:t xml:space="preserve">~23–25 </w:t>
            </w:r>
            <w:proofErr w:type="spellStart"/>
            <w:r w:rsidRPr="001B2CAF">
              <w:t>million</w:t>
            </w:r>
            <w:proofErr w:type="spellEnd"/>
            <w:r w:rsidRPr="001B2CAF">
              <w:t xml:space="preserve"> </w:t>
            </w:r>
            <w:proofErr w:type="spellStart"/>
            <w:r w:rsidRPr="001B2CAF">
              <w:t>tonnes</w:t>
            </w:r>
            <w:proofErr w:type="spellEnd"/>
          </w:p>
        </w:tc>
      </w:tr>
      <w:tr w:rsidR="00E51B63" w14:paraId="52454006" w14:textId="77777777">
        <w:tc>
          <w:tcPr>
            <w:tcW w:w="3005" w:type="dxa"/>
          </w:tcPr>
          <w:p w14:paraId="4FC6288B" w14:textId="74550BC0" w:rsidR="00E51B63" w:rsidRPr="00DD79B8" w:rsidRDefault="00E51B63">
            <w:pPr>
              <w:rPr>
                <w:b/>
                <w:bCs/>
                <w:lang w:val="en-US"/>
              </w:rPr>
            </w:pPr>
            <w:r w:rsidRPr="007C04F8">
              <w:rPr>
                <w:b/>
                <w:bCs/>
                <w:lang w:val="en-US"/>
              </w:rPr>
              <w:t>C&amp;D waste circularity / recovery</w:t>
            </w:r>
            <w:r w:rsidR="000D2563">
              <w:rPr>
                <w:b/>
                <w:bCs/>
                <w:lang w:val="en-US"/>
              </w:rPr>
              <w:t xml:space="preserve"> rate</w:t>
            </w:r>
          </w:p>
        </w:tc>
        <w:tc>
          <w:tcPr>
            <w:tcW w:w="3005" w:type="dxa"/>
          </w:tcPr>
          <w:p w14:paraId="000E3956" w14:textId="77777777" w:rsidR="00E51B63" w:rsidRPr="000D2563" w:rsidRDefault="00E51B63">
            <w:pPr>
              <w:rPr>
                <w:lang w:val="en-US"/>
              </w:rPr>
            </w:pPr>
            <w:r w:rsidRPr="001B2CAF">
              <w:rPr>
                <w:lang w:val="en-US"/>
              </w:rPr>
              <w:t>75–80% recovery/recycling</w:t>
            </w:r>
          </w:p>
        </w:tc>
        <w:tc>
          <w:tcPr>
            <w:tcW w:w="3006" w:type="dxa"/>
          </w:tcPr>
          <w:p w14:paraId="3CBA4DBE" w14:textId="77777777" w:rsidR="00E51B63" w:rsidRPr="000D2563" w:rsidRDefault="00E51B63">
            <w:pPr>
              <w:rPr>
                <w:lang w:val="en-US"/>
              </w:rPr>
            </w:pPr>
            <w:r w:rsidRPr="001B2CAF">
              <w:rPr>
                <w:lang w:val="en-US"/>
              </w:rPr>
              <w:t>&gt;90% circular (mainly recycling / recovery)</w:t>
            </w:r>
          </w:p>
        </w:tc>
      </w:tr>
    </w:tbl>
    <w:p w14:paraId="45B61107" w14:textId="77777777" w:rsidR="00E51B63" w:rsidRDefault="00E51B63" w:rsidP="00E51B63">
      <w:pPr>
        <w:rPr>
          <w:lang w:val="en-US"/>
        </w:rPr>
      </w:pPr>
    </w:p>
    <w:p w14:paraId="02A4B679" w14:textId="31725FE7" w:rsidR="00BE3342" w:rsidRDefault="00BE3342" w:rsidP="00E51B63">
      <w:pPr>
        <w:rPr>
          <w:lang w:val="en-US"/>
        </w:rPr>
      </w:pPr>
      <w:r w:rsidRPr="001B2CAF">
        <w:rPr>
          <w:lang w:val="en-US"/>
        </w:rPr>
        <w:t>Australia and the Netherlands provide a useful contrast for examining circular construction. Both are high-income OECD economies facing similar challenges. Australia’s vast land area and relatively small social housing sector contrast with the Netherlands’ dense urban context and much larger social housing stock. Despite these differences, both countries generate substantial construction and demolition waste and have developed relatively high recovery rates</w:t>
      </w:r>
      <w:r>
        <w:rPr>
          <w:lang w:val="en-US"/>
        </w:rPr>
        <w:t xml:space="preserve"> </w:t>
      </w:r>
      <w:r w:rsidR="00685074">
        <w:rPr>
          <w:lang w:val="en-US"/>
        </w:rPr>
        <w:fldChar w:fldCharType="begin"/>
      </w:r>
      <w:r w:rsidR="00685074">
        <w:rPr>
          <w:lang w:val="en-US"/>
        </w:rPr>
        <w:instrText xml:space="preserve"> ADDIN ZOTERO_ITEM CSL_CITATION {"citationID":"22biJDIq","properties":{"unsorted":false,"formattedCitation":"(Blue Environment, 2022; Eurostad, 2025; OECD, 2025)","plainCitation":"(Blue Environment, 2022; Eurostad, 2025; OECD, 2025)","noteIndex":0},"citationItems":[{"id":20438,"uris":["http://zotero.org/users/9219121/items/6Z7FG7GI"],"itemData":{"id":20438,"type":"report","citation-key":"NationalWasteReport","title":"National Waste Report 2022 - DCCEEW","URL":"https://www.dcceew.gov.au/environment/protection/waste/national-waste-reports/2022","author":[{"family":"Blue Environment","given":""}],"accessed":{"date-parts":[["2026",5,31]]},"issued":{"date-parts":[["2022"]]}}},{"id":20436,"uris":["http://zotero.org/users/9219121/items/ASYNL8WY"],"itemData":{"id":20436,"type":"report","citation-key":"Env_wasgenGenerationWaste","title":"[env_wasgen] Generation of waste by waste category, hazardousness and NACE Rev. 2 activity","URL":"https://ec.europa.eu/eurostat/databrowser/view/env_wasgen/default/bar?lang=en","author":[{"family":"Eurostad","given":""}],"accessed":{"date-parts":[["2026",5,31]]},"issued":{"date-parts":[["2025"]]}}},{"id":20434,"uris":["http://zotero.org/users/9219121/items/Z226CMUC"],"itemData":{"id":20434,"type":"dataset","abstract":"Find the latest trade data and tariffs between Australia and Netherlands.","citation-key":"AustraliaAUSNetherlands","language":"en","title":"Australia (AUS) and Netherlands (NLD) Trade","URL":"https://oec.world/en/profile/bilateral-country/aus/partner/nld","author":[{"family":"OECD","given":""}],"accessed":{"date-parts":[["2026",5,31]]},"issued":{"date-parts":[["2025"]]}}}],"schema":"https://github.com/citation-style-language/schema/raw/master/csl-citation.json"} </w:instrText>
      </w:r>
      <w:r w:rsidR="00685074">
        <w:rPr>
          <w:lang w:val="en-US"/>
        </w:rPr>
        <w:fldChar w:fldCharType="separate"/>
      </w:r>
      <w:r w:rsidR="00685074" w:rsidRPr="00685074">
        <w:rPr>
          <w:rFonts w:ascii="Aptos" w:hAnsi="Aptos"/>
          <w:lang w:val="en-US"/>
        </w:rPr>
        <w:t>(Blue Environment, 2022; Eurostad, 2025; OECD, 2025)</w:t>
      </w:r>
      <w:r w:rsidR="00685074">
        <w:rPr>
          <w:lang w:val="en-US"/>
        </w:rPr>
        <w:fldChar w:fldCharType="end"/>
      </w:r>
      <w:r>
        <w:rPr>
          <w:lang w:val="en-US"/>
        </w:rPr>
        <w:t>.</w:t>
      </w:r>
    </w:p>
    <w:p w14:paraId="2DF2989B" w14:textId="14A8E2B4" w:rsidR="3110AA53" w:rsidRDefault="3110AA53" w:rsidP="001B2CAF">
      <w:pPr>
        <w:jc w:val="both"/>
        <w:rPr>
          <w:b/>
          <w:bCs/>
          <w:lang w:val="en-US"/>
        </w:rPr>
      </w:pPr>
    </w:p>
    <w:p w14:paraId="15EFD131" w14:textId="10ED896B" w:rsidR="46A9E610" w:rsidRDefault="46A9E610" w:rsidP="46A9E610">
      <w:pPr>
        <w:jc w:val="both"/>
        <w:rPr>
          <w:b/>
          <w:bCs/>
          <w:lang w:val="en-US"/>
        </w:rPr>
      </w:pPr>
    </w:p>
    <w:p w14:paraId="36A83383" w14:textId="76D6BD46" w:rsidR="00C7396B" w:rsidRPr="00F04087" w:rsidRDefault="00C73562" w:rsidP="00F04087">
      <w:pPr>
        <w:pStyle w:val="ListParagraph"/>
        <w:numPr>
          <w:ilvl w:val="0"/>
          <w:numId w:val="4"/>
        </w:numPr>
        <w:jc w:val="both"/>
        <w:rPr>
          <w:b/>
          <w:bCs/>
          <w:lang w:val="en-US"/>
        </w:rPr>
      </w:pPr>
      <w:r w:rsidRPr="00F04087">
        <w:rPr>
          <w:b/>
          <w:bCs/>
          <w:lang w:val="en-US"/>
        </w:rPr>
        <w:lastRenderedPageBreak/>
        <w:t xml:space="preserve">Policy and regulatory </w:t>
      </w:r>
      <w:r w:rsidR="00C7396B" w:rsidRPr="00F04087">
        <w:rPr>
          <w:b/>
          <w:bCs/>
          <w:lang w:val="en-US"/>
        </w:rPr>
        <w:t>influences</w:t>
      </w:r>
    </w:p>
    <w:p w14:paraId="66AC38F5" w14:textId="0C76B21A" w:rsidR="54C05C01" w:rsidRDefault="04134C8D" w:rsidP="3B07E28A">
      <w:pPr>
        <w:spacing w:line="276" w:lineRule="auto"/>
        <w:jc w:val="both"/>
        <w:rPr>
          <w:rFonts w:ascii="Aptos" w:eastAsia="Aptos" w:hAnsi="Aptos" w:cs="Aptos"/>
          <w:lang w:val="en-US"/>
        </w:rPr>
      </w:pPr>
      <w:r w:rsidRPr="3B07E28A">
        <w:rPr>
          <w:rFonts w:ascii="Aptos" w:eastAsia="Aptos" w:hAnsi="Aptos" w:cs="Aptos"/>
          <w:lang w:val="en-US"/>
        </w:rPr>
        <w:t>The policy and regulatory landscape will be mapped, including key organizations and their functions from a circular economy perspective. This mapping will identify the main determinants (e.g., KPIs, hard requirements) that facilitate circular economy uptake in the construction industry. It will also help explain why certain platform business models exist and how they operate within each country.</w:t>
      </w:r>
      <w:r w:rsidR="3DDEBEEE" w:rsidRPr="6D8732F1">
        <w:rPr>
          <w:rFonts w:ascii="Aptos" w:eastAsia="Aptos" w:hAnsi="Aptos" w:cs="Aptos"/>
          <w:lang w:val="en-US"/>
        </w:rPr>
        <w:t xml:space="preserve"> </w:t>
      </w:r>
      <w:r w:rsidR="3DDEBEEE" w:rsidRPr="0671DCB0">
        <w:rPr>
          <w:rFonts w:ascii="Aptos" w:eastAsia="Aptos" w:hAnsi="Aptos" w:cs="Aptos"/>
          <w:lang w:val="en-US"/>
        </w:rPr>
        <w:t xml:space="preserve">Table 1 </w:t>
      </w:r>
      <w:r w:rsidR="3DDEBEEE" w:rsidRPr="5829EE8D">
        <w:rPr>
          <w:rFonts w:ascii="Aptos" w:eastAsia="Aptos" w:hAnsi="Aptos" w:cs="Aptos"/>
          <w:lang w:val="en-US"/>
        </w:rPr>
        <w:t xml:space="preserve">provides a </w:t>
      </w:r>
      <w:r w:rsidR="3DDEBEEE" w:rsidRPr="4A97475D">
        <w:rPr>
          <w:rFonts w:ascii="Aptos" w:eastAsia="Aptos" w:hAnsi="Aptos" w:cs="Aptos"/>
          <w:lang w:val="en-US"/>
        </w:rPr>
        <w:t xml:space="preserve">summary </w:t>
      </w:r>
      <w:r w:rsidR="3DDEBEEE" w:rsidRPr="12ABA90B">
        <w:rPr>
          <w:rFonts w:ascii="Aptos" w:eastAsia="Aptos" w:hAnsi="Aptos" w:cs="Aptos"/>
          <w:lang w:val="en-US"/>
        </w:rPr>
        <w:t xml:space="preserve">of all </w:t>
      </w:r>
      <w:r w:rsidR="3DDEBEEE" w:rsidRPr="2036D3EC">
        <w:rPr>
          <w:rFonts w:ascii="Aptos" w:eastAsia="Aptos" w:hAnsi="Aptos" w:cs="Aptos"/>
          <w:lang w:val="en-US"/>
        </w:rPr>
        <w:t xml:space="preserve">policy </w:t>
      </w:r>
      <w:r w:rsidR="3DDEBEEE" w:rsidRPr="6C87B173">
        <w:rPr>
          <w:rFonts w:ascii="Aptos" w:eastAsia="Aptos" w:hAnsi="Aptos" w:cs="Aptos"/>
          <w:lang w:val="en-US"/>
        </w:rPr>
        <w:t xml:space="preserve">reviewed </w:t>
      </w:r>
      <w:r w:rsidR="3DDEBEEE" w:rsidRPr="0FD8DCF2">
        <w:rPr>
          <w:rFonts w:ascii="Aptos" w:eastAsia="Aptos" w:hAnsi="Aptos" w:cs="Aptos"/>
          <w:lang w:val="en-US"/>
        </w:rPr>
        <w:t xml:space="preserve">from </w:t>
      </w:r>
      <w:r w:rsidR="3DDEBEEE" w:rsidRPr="40F0BF16">
        <w:rPr>
          <w:rFonts w:ascii="Aptos" w:eastAsia="Aptos" w:hAnsi="Aptos" w:cs="Aptos"/>
          <w:lang w:val="en-US"/>
        </w:rPr>
        <w:t xml:space="preserve">the </w:t>
      </w:r>
      <w:r w:rsidR="59B4D77E" w:rsidRPr="06E89E29">
        <w:rPr>
          <w:rFonts w:ascii="Aptos" w:eastAsia="Aptos" w:hAnsi="Aptos" w:cs="Aptos"/>
          <w:lang w:val="en-US"/>
        </w:rPr>
        <w:t xml:space="preserve">Netherlands and </w:t>
      </w:r>
      <w:r w:rsidR="59B4D77E" w:rsidRPr="1B29A71A">
        <w:rPr>
          <w:rFonts w:ascii="Aptos" w:eastAsia="Aptos" w:hAnsi="Aptos" w:cs="Aptos"/>
          <w:lang w:val="en-US"/>
        </w:rPr>
        <w:t>Australia.</w:t>
      </w:r>
    </w:p>
    <w:p w14:paraId="190FC230" w14:textId="0037D723" w:rsidR="530583E2" w:rsidRDefault="530583E2" w:rsidP="530583E2">
      <w:pPr>
        <w:spacing w:line="276" w:lineRule="auto"/>
        <w:jc w:val="both"/>
        <w:rPr>
          <w:rFonts w:ascii="Aptos" w:eastAsia="Aptos" w:hAnsi="Aptos" w:cs="Aptos"/>
          <w:lang w:val="en-US"/>
        </w:rPr>
      </w:pPr>
    </w:p>
    <w:p w14:paraId="58BF7BD3" w14:textId="4761D0E2" w:rsidR="59B4D77E" w:rsidRDefault="59B4D77E" w:rsidP="0686BE38">
      <w:pPr>
        <w:spacing w:line="276" w:lineRule="auto"/>
        <w:jc w:val="both"/>
        <w:rPr>
          <w:rFonts w:ascii="Aptos" w:eastAsia="Aptos" w:hAnsi="Aptos" w:cs="Aptos"/>
          <w:lang w:val="en-US"/>
        </w:rPr>
      </w:pPr>
      <w:r w:rsidRPr="533C43DC">
        <w:rPr>
          <w:rFonts w:ascii="Aptos" w:eastAsia="Aptos" w:hAnsi="Aptos" w:cs="Aptos"/>
          <w:lang w:val="en-US"/>
        </w:rPr>
        <w:t>Table 1. A list of policy reviewed from the Netherlands and Australia</w:t>
      </w:r>
    </w:p>
    <w:tbl>
      <w:tblPr>
        <w:tblStyle w:val="TableGrid"/>
        <w:tblW w:w="0" w:type="auto"/>
        <w:tblLook w:val="06A0" w:firstRow="1" w:lastRow="0" w:firstColumn="1" w:lastColumn="0" w:noHBand="1" w:noVBand="1"/>
      </w:tblPr>
      <w:tblGrid>
        <w:gridCol w:w="4508"/>
        <w:gridCol w:w="4508"/>
      </w:tblGrid>
      <w:tr w:rsidR="797B4C1D" w:rsidRPr="0074419F" w14:paraId="0954074E" w14:textId="77777777" w:rsidTr="797B4C1D">
        <w:trPr>
          <w:trHeight w:val="300"/>
        </w:trPr>
        <w:tc>
          <w:tcPr>
            <w:tcW w:w="4508" w:type="dxa"/>
          </w:tcPr>
          <w:p w14:paraId="6296FB0A" w14:textId="067DED9C" w:rsidR="797B4C1D" w:rsidRPr="001B2CAF" w:rsidRDefault="59B4D77E" w:rsidP="797B4C1D">
            <w:pPr>
              <w:rPr>
                <w:rFonts w:ascii="Aptos" w:eastAsia="Aptos" w:hAnsi="Aptos" w:cs="Aptos"/>
                <w:b/>
                <w:bCs/>
                <w:lang w:val="en-US"/>
              </w:rPr>
            </w:pPr>
            <w:r w:rsidRPr="001B2CAF">
              <w:rPr>
                <w:rFonts w:ascii="Aptos" w:eastAsia="Aptos" w:hAnsi="Aptos" w:cs="Aptos"/>
                <w:b/>
                <w:bCs/>
                <w:lang w:val="en-US"/>
              </w:rPr>
              <w:t>Netherlands</w:t>
            </w:r>
          </w:p>
        </w:tc>
        <w:tc>
          <w:tcPr>
            <w:tcW w:w="4508" w:type="dxa"/>
          </w:tcPr>
          <w:p w14:paraId="0D6F31B1" w14:textId="6088DB1D" w:rsidR="797B4C1D" w:rsidRPr="001B2CAF" w:rsidRDefault="59B4D77E" w:rsidP="797B4C1D">
            <w:pPr>
              <w:rPr>
                <w:rFonts w:ascii="Aptos" w:eastAsia="Aptos" w:hAnsi="Aptos" w:cs="Aptos"/>
                <w:b/>
                <w:bCs/>
                <w:lang w:val="en-US"/>
              </w:rPr>
            </w:pPr>
            <w:r w:rsidRPr="001B2CAF">
              <w:rPr>
                <w:rFonts w:ascii="Aptos" w:eastAsia="Aptos" w:hAnsi="Aptos" w:cs="Aptos"/>
                <w:b/>
                <w:bCs/>
                <w:lang w:val="en-US"/>
              </w:rPr>
              <w:t>Australia</w:t>
            </w:r>
          </w:p>
        </w:tc>
      </w:tr>
      <w:tr w:rsidR="797B4C1D" w:rsidRPr="00F04087" w14:paraId="025E074A" w14:textId="77777777" w:rsidTr="797B4C1D">
        <w:trPr>
          <w:trHeight w:val="300"/>
        </w:trPr>
        <w:tc>
          <w:tcPr>
            <w:tcW w:w="4508" w:type="dxa"/>
          </w:tcPr>
          <w:p w14:paraId="6EB6319C" w14:textId="1C76F85B" w:rsidR="002255FA" w:rsidRPr="002255FA" w:rsidRDefault="002255FA" w:rsidP="002255FA">
            <w:pPr>
              <w:rPr>
                <w:rFonts w:ascii="Aptos" w:eastAsia="Aptos" w:hAnsi="Aptos" w:cs="Aptos"/>
                <w:lang w:val="en-US"/>
              </w:rPr>
            </w:pPr>
            <w:r w:rsidRPr="002255FA">
              <w:rPr>
                <w:rFonts w:ascii="Aptos" w:eastAsia="Aptos" w:hAnsi="Aptos" w:cs="Aptos"/>
                <w:lang w:val="en-US"/>
              </w:rPr>
              <w:t xml:space="preserve">National Circular Economy </w:t>
            </w:r>
            <w:proofErr w:type="spellStart"/>
            <w:r w:rsidRPr="002255FA">
              <w:rPr>
                <w:rFonts w:ascii="Aptos" w:eastAsia="Aptos" w:hAnsi="Aptos" w:cs="Aptos"/>
                <w:lang w:val="en-US"/>
              </w:rPr>
              <w:t>Programme</w:t>
            </w:r>
            <w:proofErr w:type="spellEnd"/>
            <w:r w:rsidRPr="002255FA">
              <w:rPr>
                <w:rFonts w:ascii="Aptos" w:eastAsia="Aptos" w:hAnsi="Aptos" w:cs="Aptos"/>
                <w:lang w:val="en-US"/>
              </w:rPr>
              <w:t xml:space="preserve"> </w:t>
            </w:r>
          </w:p>
          <w:p w14:paraId="14BDB4A6" w14:textId="13BAFAD4" w:rsidR="797B4C1D" w:rsidRDefault="002255FA" w:rsidP="002255FA">
            <w:pPr>
              <w:rPr>
                <w:rFonts w:ascii="Aptos" w:eastAsia="Aptos" w:hAnsi="Aptos" w:cs="Aptos"/>
                <w:lang w:val="en-US"/>
              </w:rPr>
            </w:pPr>
            <w:r w:rsidRPr="002255FA">
              <w:rPr>
                <w:rFonts w:ascii="Aptos" w:eastAsia="Aptos" w:hAnsi="Aptos" w:cs="Aptos"/>
                <w:lang w:val="en-US"/>
              </w:rPr>
              <w:t>2023-2030</w:t>
            </w:r>
          </w:p>
        </w:tc>
        <w:tc>
          <w:tcPr>
            <w:tcW w:w="4508" w:type="dxa"/>
          </w:tcPr>
          <w:p w14:paraId="5347E620" w14:textId="3273E56A" w:rsidR="797B4C1D" w:rsidRDefault="790CADE9" w:rsidP="797B4C1D">
            <w:pPr>
              <w:rPr>
                <w:rFonts w:ascii="Aptos" w:eastAsia="Aptos" w:hAnsi="Aptos" w:cs="Aptos"/>
                <w:lang w:val="en-US"/>
              </w:rPr>
            </w:pPr>
            <w:r w:rsidRPr="70C0C7A8">
              <w:rPr>
                <w:rFonts w:ascii="Aptos" w:eastAsia="Aptos" w:hAnsi="Aptos" w:cs="Aptos"/>
                <w:lang w:val="en-US"/>
              </w:rPr>
              <w:t>Australia’s Circular</w:t>
            </w:r>
            <w:r w:rsidRPr="7FCF827F">
              <w:rPr>
                <w:rFonts w:ascii="Aptos" w:eastAsia="Aptos" w:hAnsi="Aptos" w:cs="Aptos"/>
                <w:lang w:val="en-US"/>
              </w:rPr>
              <w:t xml:space="preserve"> </w:t>
            </w:r>
            <w:r w:rsidRPr="70C0C7A8">
              <w:rPr>
                <w:rFonts w:ascii="Aptos" w:eastAsia="Aptos" w:hAnsi="Aptos" w:cs="Aptos"/>
                <w:lang w:val="en-US"/>
              </w:rPr>
              <w:t>Economy Framework</w:t>
            </w:r>
            <w:r w:rsidRPr="7FCF827F">
              <w:rPr>
                <w:rFonts w:ascii="Aptos" w:eastAsia="Aptos" w:hAnsi="Aptos" w:cs="Aptos"/>
                <w:lang w:val="en-US"/>
              </w:rPr>
              <w:t xml:space="preserve"> (2024), by DCCEEW</w:t>
            </w:r>
          </w:p>
        </w:tc>
      </w:tr>
      <w:tr w:rsidR="797B4C1D" w:rsidRPr="00F04087" w14:paraId="39326A80" w14:textId="77777777" w:rsidTr="797B4C1D">
        <w:trPr>
          <w:trHeight w:val="300"/>
        </w:trPr>
        <w:tc>
          <w:tcPr>
            <w:tcW w:w="4508" w:type="dxa"/>
          </w:tcPr>
          <w:p w14:paraId="7F532C82" w14:textId="16C8CAC9" w:rsidR="797B4C1D" w:rsidRDefault="008B78B7" w:rsidP="797B4C1D">
            <w:pPr>
              <w:rPr>
                <w:rFonts w:ascii="Aptos" w:eastAsia="Aptos" w:hAnsi="Aptos" w:cs="Aptos"/>
                <w:lang w:val="en-US"/>
              </w:rPr>
            </w:pPr>
            <w:r w:rsidRPr="008B78B7">
              <w:rPr>
                <w:rFonts w:ascii="Aptos" w:eastAsia="Aptos" w:hAnsi="Aptos" w:cs="Aptos"/>
                <w:lang w:val="en-US"/>
              </w:rPr>
              <w:t>PlatformCB23_Guide_Circular-Design</w:t>
            </w:r>
          </w:p>
        </w:tc>
        <w:tc>
          <w:tcPr>
            <w:tcW w:w="4508" w:type="dxa"/>
          </w:tcPr>
          <w:p w14:paraId="349634F1" w14:textId="7D7D99D8" w:rsidR="797B4C1D" w:rsidRDefault="22F0A537" w:rsidP="797B4C1D">
            <w:pPr>
              <w:rPr>
                <w:rFonts w:ascii="Aptos" w:eastAsia="Aptos" w:hAnsi="Aptos" w:cs="Aptos"/>
                <w:lang w:val="en-US"/>
              </w:rPr>
            </w:pPr>
            <w:r w:rsidRPr="6C59D4A9">
              <w:rPr>
                <w:rFonts w:ascii="Aptos" w:eastAsia="Aptos" w:hAnsi="Aptos" w:cs="Aptos"/>
                <w:lang w:val="en-US"/>
              </w:rPr>
              <w:t>National Waste Policy Action Plan</w:t>
            </w:r>
            <w:r w:rsidRPr="482A793F">
              <w:rPr>
                <w:rFonts w:ascii="Aptos" w:eastAsia="Aptos" w:hAnsi="Aptos" w:cs="Aptos"/>
                <w:lang w:val="en-US"/>
              </w:rPr>
              <w:t xml:space="preserve"> </w:t>
            </w:r>
            <w:r w:rsidRPr="4498FC96">
              <w:rPr>
                <w:rFonts w:ascii="Aptos" w:eastAsia="Aptos" w:hAnsi="Aptos" w:cs="Aptos"/>
                <w:lang w:val="en-US"/>
              </w:rPr>
              <w:t>(2024</w:t>
            </w:r>
            <w:proofErr w:type="gramStart"/>
            <w:r w:rsidRPr="55C5A805">
              <w:rPr>
                <w:rFonts w:ascii="Aptos" w:eastAsia="Aptos" w:hAnsi="Aptos" w:cs="Aptos"/>
                <w:lang w:val="en-US"/>
              </w:rPr>
              <w:t>),</w:t>
            </w:r>
            <w:r w:rsidRPr="44E6AABC">
              <w:rPr>
                <w:rFonts w:ascii="Aptos" w:eastAsia="Aptos" w:hAnsi="Aptos" w:cs="Aptos"/>
                <w:lang w:val="en-US"/>
              </w:rPr>
              <w:t xml:space="preserve">  by</w:t>
            </w:r>
            <w:proofErr w:type="gramEnd"/>
            <w:r w:rsidRPr="44E6AABC">
              <w:rPr>
                <w:rFonts w:ascii="Aptos" w:eastAsia="Aptos" w:hAnsi="Aptos" w:cs="Aptos"/>
                <w:lang w:val="en-US"/>
              </w:rPr>
              <w:t xml:space="preserve"> </w:t>
            </w:r>
            <w:r w:rsidRPr="31F0F266">
              <w:rPr>
                <w:rFonts w:ascii="Aptos" w:eastAsia="Aptos" w:hAnsi="Aptos" w:cs="Aptos"/>
                <w:lang w:val="en-US"/>
              </w:rPr>
              <w:t>DCCEEW</w:t>
            </w:r>
          </w:p>
        </w:tc>
      </w:tr>
      <w:tr w:rsidR="797B4C1D" w:rsidRPr="00F04087" w14:paraId="1D8DF14E" w14:textId="77777777" w:rsidTr="797B4C1D">
        <w:trPr>
          <w:trHeight w:val="300"/>
        </w:trPr>
        <w:tc>
          <w:tcPr>
            <w:tcW w:w="4508" w:type="dxa"/>
          </w:tcPr>
          <w:p w14:paraId="1B55C535" w14:textId="2C816302" w:rsidR="797B4C1D" w:rsidRDefault="004A04B8" w:rsidP="797B4C1D">
            <w:pPr>
              <w:rPr>
                <w:rFonts w:ascii="Aptos" w:eastAsia="Aptos" w:hAnsi="Aptos" w:cs="Aptos"/>
                <w:lang w:val="en-US"/>
              </w:rPr>
            </w:pPr>
            <w:proofErr w:type="spellStart"/>
            <w:r w:rsidRPr="001B2CAF">
              <w:rPr>
                <w:rFonts w:ascii="Aptos" w:eastAsia="Aptos" w:hAnsi="Aptos" w:cs="Aptos" w:hint="eastAsia"/>
                <w:lang w:val="en-US"/>
              </w:rPr>
              <w:t>Omgevingswet</w:t>
            </w:r>
            <w:proofErr w:type="spellEnd"/>
            <w:r w:rsidRPr="001B2CAF">
              <w:rPr>
                <w:rFonts w:ascii="Aptos" w:eastAsia="Aptos" w:hAnsi="Aptos" w:cs="Aptos" w:hint="eastAsia"/>
                <w:lang w:val="en-US"/>
              </w:rPr>
              <w:t xml:space="preserve"> + </w:t>
            </w:r>
            <w:proofErr w:type="spellStart"/>
            <w:r w:rsidRPr="001B2CAF">
              <w:rPr>
                <w:rFonts w:ascii="Aptos" w:eastAsia="Aptos" w:hAnsi="Aptos" w:cs="Aptos" w:hint="eastAsia"/>
                <w:lang w:val="en-US"/>
              </w:rPr>
              <w:t>Bbl</w:t>
            </w:r>
            <w:proofErr w:type="spellEnd"/>
            <w:r w:rsidRPr="001B2CAF">
              <w:rPr>
                <w:rFonts w:ascii="Aptos" w:eastAsia="Aptos" w:hAnsi="Aptos" w:cs="Aptos" w:hint="eastAsia"/>
                <w:lang w:val="en-US"/>
              </w:rPr>
              <w:t xml:space="preserve"> (national building rules)</w:t>
            </w:r>
            <w:r w:rsidRPr="001B2CAF">
              <w:rPr>
                <w:rFonts w:ascii="Aptos" w:eastAsia="Aptos" w:hAnsi="Aptos" w:cs="Aptos"/>
                <w:lang w:val="en-US"/>
              </w:rPr>
              <w:t>: MPG (Environmental Performance Index Buildings)</w:t>
            </w:r>
          </w:p>
        </w:tc>
        <w:tc>
          <w:tcPr>
            <w:tcW w:w="4508" w:type="dxa"/>
          </w:tcPr>
          <w:p w14:paraId="09624E47" w14:textId="12F199A1" w:rsidR="797B4C1D" w:rsidRDefault="0ECF7E3C" w:rsidP="797B4C1D">
            <w:pPr>
              <w:rPr>
                <w:rFonts w:ascii="Aptos" w:eastAsia="Aptos" w:hAnsi="Aptos" w:cs="Aptos"/>
                <w:lang w:val="en-US"/>
              </w:rPr>
            </w:pPr>
            <w:r w:rsidRPr="41FD6245">
              <w:rPr>
                <w:rFonts w:ascii="Aptos" w:eastAsia="Aptos" w:hAnsi="Aptos" w:cs="Aptos"/>
                <w:lang w:val="en-US"/>
              </w:rPr>
              <w:t>Circular design</w:t>
            </w:r>
            <w:r w:rsidRPr="3E2D09F0">
              <w:rPr>
                <w:rFonts w:ascii="Aptos" w:eastAsia="Aptos" w:hAnsi="Aptos" w:cs="Aptos"/>
                <w:lang w:val="en-US"/>
              </w:rPr>
              <w:t xml:space="preserve"> </w:t>
            </w:r>
            <w:r w:rsidRPr="41FD6245">
              <w:rPr>
                <w:rFonts w:ascii="Aptos" w:eastAsia="Aptos" w:hAnsi="Aptos" w:cs="Aptos"/>
                <w:lang w:val="en-US"/>
              </w:rPr>
              <w:t>guidelines for the</w:t>
            </w:r>
            <w:r w:rsidRPr="3E2D09F0">
              <w:rPr>
                <w:rFonts w:ascii="Aptos" w:eastAsia="Aptos" w:hAnsi="Aptos" w:cs="Aptos"/>
                <w:lang w:val="en-US"/>
              </w:rPr>
              <w:t xml:space="preserve"> </w:t>
            </w:r>
            <w:r w:rsidRPr="41FD6245">
              <w:rPr>
                <w:rFonts w:ascii="Aptos" w:eastAsia="Aptos" w:hAnsi="Aptos" w:cs="Aptos"/>
                <w:lang w:val="en-US"/>
              </w:rPr>
              <w:t>built environment</w:t>
            </w:r>
            <w:r w:rsidRPr="00CB6993">
              <w:rPr>
                <w:rFonts w:ascii="Aptos" w:eastAsia="Aptos" w:hAnsi="Aptos" w:cs="Aptos"/>
                <w:lang w:val="en-US"/>
              </w:rPr>
              <w:t xml:space="preserve"> </w:t>
            </w:r>
            <w:r w:rsidRPr="7089F79D">
              <w:rPr>
                <w:rFonts w:ascii="Aptos" w:eastAsia="Aptos" w:hAnsi="Aptos" w:cs="Aptos"/>
                <w:lang w:val="en-US"/>
              </w:rPr>
              <w:t>(2023</w:t>
            </w:r>
            <w:r w:rsidRPr="6D575015">
              <w:rPr>
                <w:rFonts w:ascii="Aptos" w:eastAsia="Aptos" w:hAnsi="Aptos" w:cs="Aptos"/>
                <w:lang w:val="en-US"/>
              </w:rPr>
              <w:t xml:space="preserve">), </w:t>
            </w:r>
            <w:r w:rsidRPr="156448DB">
              <w:rPr>
                <w:rFonts w:ascii="Aptos" w:eastAsia="Aptos" w:hAnsi="Aptos" w:cs="Aptos"/>
                <w:lang w:val="en-US"/>
              </w:rPr>
              <w:t>by</w:t>
            </w:r>
            <w:r w:rsidRPr="6D575015">
              <w:rPr>
                <w:rFonts w:ascii="Aptos" w:eastAsia="Aptos" w:hAnsi="Aptos" w:cs="Aptos"/>
                <w:lang w:val="en-US"/>
              </w:rPr>
              <w:t xml:space="preserve"> </w:t>
            </w:r>
            <w:r w:rsidRPr="3B15AAD5">
              <w:rPr>
                <w:rFonts w:ascii="Aptos" w:eastAsia="Aptos" w:hAnsi="Aptos" w:cs="Aptos"/>
                <w:lang w:val="en-US"/>
              </w:rPr>
              <w:t>Office of Energy and Climate Change,</w:t>
            </w:r>
            <w:r w:rsidRPr="201DF6AE">
              <w:rPr>
                <w:rFonts w:ascii="Aptos" w:eastAsia="Aptos" w:hAnsi="Aptos" w:cs="Aptos"/>
                <w:lang w:val="en-US"/>
              </w:rPr>
              <w:t xml:space="preserve"> </w:t>
            </w:r>
            <w:r w:rsidRPr="3B15AAD5">
              <w:rPr>
                <w:rFonts w:ascii="Aptos" w:eastAsia="Aptos" w:hAnsi="Aptos" w:cs="Aptos"/>
                <w:lang w:val="en-US"/>
              </w:rPr>
              <w:t>NSW</w:t>
            </w:r>
          </w:p>
        </w:tc>
      </w:tr>
      <w:tr w:rsidR="797B4C1D" w:rsidRPr="00F04087" w14:paraId="5B0C7F9C" w14:textId="77777777" w:rsidTr="797B4C1D">
        <w:trPr>
          <w:trHeight w:val="300"/>
        </w:trPr>
        <w:tc>
          <w:tcPr>
            <w:tcW w:w="4508" w:type="dxa"/>
          </w:tcPr>
          <w:p w14:paraId="4AD6CB6A" w14:textId="505DC2BD" w:rsidR="797B4C1D" w:rsidRDefault="00B368A3" w:rsidP="797B4C1D">
            <w:pPr>
              <w:rPr>
                <w:rFonts w:ascii="Aptos" w:eastAsia="Aptos" w:hAnsi="Aptos" w:cs="Aptos"/>
                <w:lang w:val="en-US"/>
              </w:rPr>
            </w:pPr>
            <w:r w:rsidRPr="001B2CAF">
              <w:rPr>
                <w:rFonts w:ascii="Aptos" w:eastAsia="Aptos" w:hAnsi="Aptos" w:cs="Aptos"/>
                <w:lang w:val="en-US"/>
              </w:rPr>
              <w:t xml:space="preserve">“Circular” </w:t>
            </w:r>
            <w:r w:rsidR="004759C9" w:rsidRPr="001B2CAF">
              <w:rPr>
                <w:rFonts w:ascii="Aptos" w:eastAsia="Aptos" w:hAnsi="Aptos" w:cs="Aptos" w:hint="eastAsia"/>
                <w:lang w:val="en-US"/>
              </w:rPr>
              <w:t>“Paris Proof” performance framing and protocols by DGBC</w:t>
            </w:r>
          </w:p>
        </w:tc>
        <w:tc>
          <w:tcPr>
            <w:tcW w:w="4508" w:type="dxa"/>
          </w:tcPr>
          <w:p w14:paraId="4886BF0F" w14:textId="780E0C01" w:rsidR="797B4C1D" w:rsidRDefault="0ECF7E3C" w:rsidP="797B4C1D">
            <w:pPr>
              <w:rPr>
                <w:rFonts w:ascii="Aptos" w:eastAsia="Aptos" w:hAnsi="Aptos" w:cs="Aptos"/>
                <w:lang w:val="en-US"/>
              </w:rPr>
            </w:pPr>
            <w:r w:rsidRPr="35216A6A">
              <w:rPr>
                <w:rFonts w:ascii="Aptos" w:eastAsia="Aptos" w:hAnsi="Aptos" w:cs="Aptos"/>
                <w:lang w:val="en-US"/>
              </w:rPr>
              <w:t>Green Star</w:t>
            </w:r>
            <w:r w:rsidRPr="0B2A797B">
              <w:rPr>
                <w:rFonts w:ascii="Aptos" w:eastAsia="Aptos" w:hAnsi="Aptos" w:cs="Aptos"/>
                <w:lang w:val="en-US"/>
              </w:rPr>
              <w:t xml:space="preserve"> </w:t>
            </w:r>
            <w:r w:rsidRPr="4048C89C">
              <w:rPr>
                <w:rFonts w:ascii="Aptos" w:eastAsia="Aptos" w:hAnsi="Aptos" w:cs="Aptos"/>
                <w:lang w:val="en-US"/>
              </w:rPr>
              <w:t>Rating</w:t>
            </w:r>
            <w:r w:rsidRPr="3C628041">
              <w:rPr>
                <w:rFonts w:ascii="Aptos" w:eastAsia="Aptos" w:hAnsi="Aptos" w:cs="Aptos"/>
                <w:lang w:val="en-US"/>
              </w:rPr>
              <w:t xml:space="preserve">, by </w:t>
            </w:r>
            <w:r w:rsidRPr="469D16B2">
              <w:rPr>
                <w:rFonts w:ascii="Aptos" w:eastAsia="Aptos" w:hAnsi="Aptos" w:cs="Aptos"/>
                <w:lang w:val="en-US"/>
              </w:rPr>
              <w:t>Green Building Council Australia</w:t>
            </w:r>
          </w:p>
        </w:tc>
      </w:tr>
      <w:tr w:rsidR="797B4C1D" w:rsidRPr="00F04087" w14:paraId="38F266F9" w14:textId="77777777" w:rsidTr="797B4C1D">
        <w:trPr>
          <w:trHeight w:val="300"/>
        </w:trPr>
        <w:tc>
          <w:tcPr>
            <w:tcW w:w="4508" w:type="dxa"/>
          </w:tcPr>
          <w:p w14:paraId="11A7DCF9" w14:textId="69605AA1" w:rsidR="797B4C1D" w:rsidRDefault="00A405ED" w:rsidP="797B4C1D">
            <w:pPr>
              <w:rPr>
                <w:rFonts w:ascii="Aptos" w:eastAsia="Aptos" w:hAnsi="Aptos" w:cs="Aptos"/>
                <w:lang w:val="en-US"/>
              </w:rPr>
            </w:pPr>
            <w:r w:rsidRPr="001B2CAF">
              <w:rPr>
                <w:rFonts w:ascii="Aptos" w:eastAsia="Aptos" w:hAnsi="Aptos" w:cs="Aptos"/>
                <w:lang w:val="en-US"/>
              </w:rPr>
              <w:t xml:space="preserve">Het </w:t>
            </w:r>
            <w:proofErr w:type="spellStart"/>
            <w:r w:rsidRPr="001B2CAF">
              <w:rPr>
                <w:rFonts w:ascii="Aptos" w:eastAsia="Aptos" w:hAnsi="Aptos" w:cs="Aptos"/>
                <w:lang w:val="en-US"/>
              </w:rPr>
              <w:t>Nieuwe</w:t>
            </w:r>
            <w:proofErr w:type="spellEnd"/>
            <w:r w:rsidRPr="001B2CAF">
              <w:rPr>
                <w:rFonts w:ascii="Aptos" w:eastAsia="Aptos" w:hAnsi="Aptos" w:cs="Aptos"/>
                <w:lang w:val="en-US"/>
              </w:rPr>
              <w:t xml:space="preserve"> </w:t>
            </w:r>
            <w:proofErr w:type="spellStart"/>
            <w:r w:rsidRPr="001B2CAF">
              <w:rPr>
                <w:rFonts w:ascii="Aptos" w:eastAsia="Aptos" w:hAnsi="Aptos" w:cs="Aptos"/>
                <w:lang w:val="en-US"/>
              </w:rPr>
              <w:t>Normaal</w:t>
            </w:r>
            <w:proofErr w:type="spellEnd"/>
            <w:r w:rsidRPr="001B2CAF">
              <w:rPr>
                <w:rFonts w:ascii="Aptos" w:eastAsia="Aptos" w:hAnsi="Aptos" w:cs="Aptos"/>
                <w:lang w:val="en-US"/>
              </w:rPr>
              <w:t xml:space="preserve"> indicator</w:t>
            </w:r>
          </w:p>
        </w:tc>
        <w:tc>
          <w:tcPr>
            <w:tcW w:w="4508" w:type="dxa"/>
          </w:tcPr>
          <w:p w14:paraId="7520B0D8" w14:textId="1CB1E5C7" w:rsidR="797B4C1D" w:rsidRDefault="0ECF7E3C" w:rsidP="797B4C1D">
            <w:pPr>
              <w:rPr>
                <w:rFonts w:ascii="Aptos" w:eastAsia="Aptos" w:hAnsi="Aptos" w:cs="Aptos"/>
                <w:lang w:val="en-US"/>
              </w:rPr>
            </w:pPr>
            <w:r w:rsidRPr="5209A37B">
              <w:rPr>
                <w:rFonts w:ascii="Aptos" w:eastAsia="Aptos" w:hAnsi="Aptos" w:cs="Aptos"/>
                <w:lang w:val="en-US"/>
              </w:rPr>
              <w:t xml:space="preserve">Infrastructure </w:t>
            </w:r>
            <w:r w:rsidRPr="6D5E318D">
              <w:rPr>
                <w:rFonts w:ascii="Aptos" w:eastAsia="Aptos" w:hAnsi="Aptos" w:cs="Aptos"/>
                <w:lang w:val="en-US"/>
              </w:rPr>
              <w:t>Sustainability</w:t>
            </w:r>
            <w:r w:rsidRPr="596C07F5">
              <w:rPr>
                <w:rFonts w:ascii="Aptos" w:eastAsia="Aptos" w:hAnsi="Aptos" w:cs="Aptos"/>
                <w:lang w:val="en-US"/>
              </w:rPr>
              <w:t xml:space="preserve"> Rating Scheme</w:t>
            </w:r>
            <w:r w:rsidRPr="278BE1C7">
              <w:rPr>
                <w:rFonts w:ascii="Aptos" w:eastAsia="Aptos" w:hAnsi="Aptos" w:cs="Aptos"/>
                <w:lang w:val="en-US"/>
              </w:rPr>
              <w:t xml:space="preserve"> </w:t>
            </w:r>
            <w:r w:rsidRPr="0DB77B17">
              <w:rPr>
                <w:rFonts w:ascii="Aptos" w:eastAsia="Aptos" w:hAnsi="Aptos" w:cs="Aptos"/>
                <w:lang w:val="en-US"/>
              </w:rPr>
              <w:t>by Infrastructure Sustainability Council (ISC)</w:t>
            </w:r>
          </w:p>
        </w:tc>
      </w:tr>
      <w:tr w:rsidR="390E072A" w:rsidRPr="00F04087" w14:paraId="17777C53" w14:textId="77777777" w:rsidTr="390E072A">
        <w:trPr>
          <w:trHeight w:val="300"/>
        </w:trPr>
        <w:tc>
          <w:tcPr>
            <w:tcW w:w="4508" w:type="dxa"/>
          </w:tcPr>
          <w:p w14:paraId="453C31D6" w14:textId="7FFBEEC1" w:rsidR="390E072A" w:rsidRDefault="00682778" w:rsidP="390E072A">
            <w:pPr>
              <w:rPr>
                <w:rFonts w:ascii="Aptos" w:eastAsia="Aptos" w:hAnsi="Aptos" w:cs="Aptos"/>
                <w:lang w:val="en-US"/>
              </w:rPr>
            </w:pPr>
            <w:r>
              <w:rPr>
                <w:rFonts w:ascii="Aptos" w:eastAsia="Aptos" w:hAnsi="Aptos" w:cs="Aptos"/>
                <w:lang w:val="en-US"/>
              </w:rPr>
              <w:t xml:space="preserve">Circular </w:t>
            </w:r>
            <w:proofErr w:type="spellStart"/>
            <w:r>
              <w:rPr>
                <w:rFonts w:ascii="Aptos" w:eastAsia="Aptos" w:hAnsi="Aptos" w:cs="Aptos"/>
                <w:lang w:val="en-US"/>
              </w:rPr>
              <w:t>Bouweconomie</w:t>
            </w:r>
            <w:proofErr w:type="spellEnd"/>
            <w:r>
              <w:rPr>
                <w:rFonts w:ascii="Aptos" w:eastAsia="Aptos" w:hAnsi="Aptos" w:cs="Aptos"/>
                <w:lang w:val="en-US"/>
              </w:rPr>
              <w:t xml:space="preserve"> - </w:t>
            </w:r>
            <w:r w:rsidRPr="001B2CAF">
              <w:rPr>
                <w:rFonts w:ascii="Aptos" w:eastAsia="Aptos" w:hAnsi="Aptos" w:cs="Aptos"/>
                <w:lang w:val="en-US"/>
              </w:rPr>
              <w:t>Circular Procurement in 8 Steps Guideline for the Civil and Hydraulic Engineering Industry</w:t>
            </w:r>
          </w:p>
        </w:tc>
        <w:tc>
          <w:tcPr>
            <w:tcW w:w="4508" w:type="dxa"/>
          </w:tcPr>
          <w:p w14:paraId="3BED6812" w14:textId="4D76B208" w:rsidR="390E072A" w:rsidRDefault="0ECF7E3C" w:rsidP="390E072A">
            <w:pPr>
              <w:rPr>
                <w:rFonts w:ascii="Aptos" w:eastAsia="Aptos" w:hAnsi="Aptos" w:cs="Aptos"/>
                <w:lang w:val="en-US"/>
              </w:rPr>
            </w:pPr>
            <w:r w:rsidRPr="6FDD24C0">
              <w:rPr>
                <w:rFonts w:ascii="Aptos" w:eastAsia="Aptos" w:hAnsi="Aptos" w:cs="Aptos"/>
                <w:lang w:val="en-US"/>
              </w:rPr>
              <w:t xml:space="preserve">National Australian Built Environment Rating System (NABERS) </w:t>
            </w:r>
            <w:r w:rsidRPr="0F8A2292">
              <w:rPr>
                <w:rFonts w:ascii="Aptos" w:eastAsia="Aptos" w:hAnsi="Aptos" w:cs="Aptos"/>
                <w:lang w:val="en-US"/>
              </w:rPr>
              <w:t>by DCCEEW</w:t>
            </w:r>
          </w:p>
        </w:tc>
      </w:tr>
      <w:tr w:rsidR="6FDD24C0" w:rsidRPr="00F04087" w14:paraId="41E5D44D" w14:textId="77777777" w:rsidTr="6FDD24C0">
        <w:trPr>
          <w:trHeight w:val="300"/>
        </w:trPr>
        <w:tc>
          <w:tcPr>
            <w:tcW w:w="4508" w:type="dxa"/>
          </w:tcPr>
          <w:p w14:paraId="65CE0804" w14:textId="70A4FA68" w:rsidR="6FDD24C0" w:rsidRDefault="00A213C6" w:rsidP="6FDD24C0">
            <w:pPr>
              <w:rPr>
                <w:rFonts w:ascii="Aptos" w:eastAsia="Aptos" w:hAnsi="Aptos" w:cs="Aptos"/>
                <w:lang w:val="en-US"/>
              </w:rPr>
            </w:pPr>
            <w:r>
              <w:rPr>
                <w:rFonts w:ascii="Aptos" w:eastAsia="Aptos" w:hAnsi="Aptos" w:cs="Aptos"/>
                <w:lang w:val="en-US"/>
              </w:rPr>
              <w:t>Copper8 – Circular Procurement</w:t>
            </w:r>
          </w:p>
        </w:tc>
        <w:tc>
          <w:tcPr>
            <w:tcW w:w="4508" w:type="dxa"/>
          </w:tcPr>
          <w:p w14:paraId="76721CCB" w14:textId="5C370B79" w:rsidR="6FDD24C0" w:rsidRDefault="1D79F9DE" w:rsidP="6FDD24C0">
            <w:pPr>
              <w:rPr>
                <w:rFonts w:ascii="Aptos" w:eastAsia="Aptos" w:hAnsi="Aptos" w:cs="Aptos"/>
                <w:lang w:val="en-US"/>
              </w:rPr>
            </w:pPr>
            <w:r w:rsidRPr="13785460">
              <w:rPr>
                <w:rFonts w:ascii="Aptos" w:eastAsia="Aptos" w:hAnsi="Aptos" w:cs="Aptos"/>
                <w:lang w:val="en-US"/>
              </w:rPr>
              <w:t>A practical</w:t>
            </w:r>
            <w:r w:rsidRPr="55A53DCE">
              <w:rPr>
                <w:rFonts w:ascii="Aptos" w:eastAsia="Aptos" w:hAnsi="Aptos" w:cs="Aptos"/>
                <w:lang w:val="en-US"/>
              </w:rPr>
              <w:t xml:space="preserve"> </w:t>
            </w:r>
            <w:r w:rsidRPr="13785460">
              <w:rPr>
                <w:rFonts w:ascii="Aptos" w:eastAsia="Aptos" w:hAnsi="Aptos" w:cs="Aptos"/>
                <w:lang w:val="en-US"/>
              </w:rPr>
              <w:t>guide to circular</w:t>
            </w:r>
            <w:r w:rsidRPr="55A53DCE">
              <w:rPr>
                <w:rFonts w:ascii="Aptos" w:eastAsia="Aptos" w:hAnsi="Aptos" w:cs="Aptos"/>
                <w:lang w:val="en-US"/>
              </w:rPr>
              <w:t xml:space="preserve"> </w:t>
            </w:r>
            <w:r w:rsidRPr="13785460">
              <w:rPr>
                <w:rFonts w:ascii="Aptos" w:eastAsia="Aptos" w:hAnsi="Aptos" w:cs="Aptos"/>
                <w:lang w:val="en-US"/>
              </w:rPr>
              <w:t>procurement</w:t>
            </w:r>
            <w:r w:rsidRPr="55A53DCE">
              <w:rPr>
                <w:rFonts w:ascii="Aptos" w:eastAsia="Aptos" w:hAnsi="Aptos" w:cs="Aptos"/>
                <w:lang w:val="en-US"/>
              </w:rPr>
              <w:t xml:space="preserve"> </w:t>
            </w:r>
            <w:r w:rsidRPr="4399A642">
              <w:rPr>
                <w:rFonts w:ascii="Aptos" w:eastAsia="Aptos" w:hAnsi="Aptos" w:cs="Aptos"/>
                <w:lang w:val="en-US"/>
              </w:rPr>
              <w:t>by Green Building Council Australia</w:t>
            </w:r>
          </w:p>
        </w:tc>
      </w:tr>
      <w:tr w:rsidR="2CD8A0FD" w:rsidRPr="00F04087" w14:paraId="64B7A2D1" w14:textId="77777777" w:rsidTr="2CD8A0FD">
        <w:trPr>
          <w:trHeight w:val="300"/>
        </w:trPr>
        <w:tc>
          <w:tcPr>
            <w:tcW w:w="4508" w:type="dxa"/>
          </w:tcPr>
          <w:p w14:paraId="1457A7A3" w14:textId="6B33AA79" w:rsidR="2CD8A0FD" w:rsidRDefault="2CD8A0FD" w:rsidP="2CD8A0FD">
            <w:pPr>
              <w:rPr>
                <w:rFonts w:ascii="Aptos" w:eastAsia="Aptos" w:hAnsi="Aptos" w:cs="Aptos"/>
                <w:lang w:val="en-US"/>
              </w:rPr>
            </w:pPr>
          </w:p>
        </w:tc>
        <w:tc>
          <w:tcPr>
            <w:tcW w:w="4508" w:type="dxa"/>
          </w:tcPr>
          <w:p w14:paraId="16EB3DB0" w14:textId="64087A65" w:rsidR="2CD8A0FD" w:rsidRPr="007854D4" w:rsidRDefault="41C5FCB9" w:rsidP="2CD8A0FD">
            <w:pPr>
              <w:rPr>
                <w:rFonts w:ascii="Aptos" w:eastAsia="Aptos" w:hAnsi="Aptos" w:cs="Aptos"/>
                <w:lang w:val="en-US"/>
              </w:rPr>
            </w:pPr>
            <w:r w:rsidRPr="54DEF90B">
              <w:rPr>
                <w:rFonts w:ascii="Aptos" w:eastAsia="Aptos" w:hAnsi="Aptos" w:cs="Aptos"/>
                <w:lang w:val="en-US"/>
              </w:rPr>
              <w:t>ACT Circular Economy Strategy</w:t>
            </w:r>
            <w:r w:rsidRPr="4061C8DD">
              <w:rPr>
                <w:rFonts w:ascii="Aptos" w:eastAsia="Aptos" w:hAnsi="Aptos" w:cs="Aptos"/>
                <w:lang w:val="en-US"/>
              </w:rPr>
              <w:t xml:space="preserve"> </w:t>
            </w:r>
            <w:r w:rsidRPr="54DEF90B">
              <w:rPr>
                <w:rFonts w:ascii="Aptos" w:eastAsia="Aptos" w:hAnsi="Aptos" w:cs="Aptos"/>
                <w:lang w:val="en-US"/>
              </w:rPr>
              <w:t>and Action Plan</w:t>
            </w:r>
            <w:r w:rsidRPr="4061C8DD">
              <w:rPr>
                <w:rFonts w:ascii="Aptos" w:eastAsia="Aptos" w:hAnsi="Aptos" w:cs="Aptos"/>
                <w:lang w:val="en-US"/>
              </w:rPr>
              <w:t xml:space="preserve"> </w:t>
            </w:r>
            <w:r w:rsidRPr="54DEF90B">
              <w:rPr>
                <w:rFonts w:ascii="Aptos" w:eastAsia="Aptos" w:hAnsi="Aptos" w:cs="Aptos"/>
                <w:lang w:val="en-US"/>
              </w:rPr>
              <w:t>2023-2030</w:t>
            </w:r>
          </w:p>
        </w:tc>
      </w:tr>
    </w:tbl>
    <w:p w14:paraId="7BE82F33" w14:textId="3753E56F" w:rsidR="530583E2" w:rsidRDefault="530583E2" w:rsidP="007344A0">
      <w:pPr>
        <w:spacing w:line="276" w:lineRule="auto"/>
        <w:jc w:val="both"/>
        <w:rPr>
          <w:rFonts w:ascii="Aptos" w:eastAsia="Aptos" w:hAnsi="Aptos" w:cs="Aptos"/>
          <w:lang w:val="en-US"/>
        </w:rPr>
      </w:pPr>
    </w:p>
    <w:p w14:paraId="165D3D0B" w14:textId="0386754F" w:rsidR="54C05C01" w:rsidRDefault="04134C8D" w:rsidP="3B07E28A">
      <w:pPr>
        <w:spacing w:line="276" w:lineRule="auto"/>
        <w:jc w:val="both"/>
        <w:rPr>
          <w:rFonts w:ascii="Aptos" w:eastAsia="Aptos" w:hAnsi="Aptos" w:cs="Aptos"/>
          <w:lang w:val="en-US"/>
        </w:rPr>
      </w:pPr>
      <w:r w:rsidRPr="3B07E28A">
        <w:rPr>
          <w:rFonts w:ascii="Aptos" w:eastAsia="Aptos" w:hAnsi="Aptos" w:cs="Aptos"/>
          <w:lang w:val="en-US"/>
        </w:rPr>
        <w:t xml:space="preserve">In both the Netherlands and Australia, circular economy policies are shaped by key actors, including government, industry bodies, and research and academic institutions. In Australia, according to the Department of Climate Change, Energy, the Environment and Water (DCCEEW), Australia’s overall circular economy priorities emphasize remanufacturing and recycling, followed by reduction. Within the built environment, DCCEEW prioritizes refurbishing and adaptive reuse of existing buildings, followed by encouraging the use of environmentally friendly materials. In this </w:t>
      </w:r>
      <w:proofErr w:type="gramStart"/>
      <w:r w:rsidRPr="3B07E28A">
        <w:rPr>
          <w:rFonts w:ascii="Aptos" w:eastAsia="Aptos" w:hAnsi="Aptos" w:cs="Aptos"/>
          <w:lang w:val="en-US"/>
        </w:rPr>
        <w:t>framing</w:t>
      </w:r>
      <w:proofErr w:type="gramEnd"/>
      <w:r w:rsidRPr="3B07E28A">
        <w:rPr>
          <w:rFonts w:ascii="Aptos" w:eastAsia="Aptos" w:hAnsi="Aptos" w:cs="Aptos"/>
          <w:lang w:val="en-US"/>
        </w:rPr>
        <w:t xml:space="preserve">, reuse is primarily applied at the building level rather than at the product level. </w:t>
      </w:r>
      <w:r w:rsidR="08DDC093" w:rsidRPr="3B07E28A">
        <w:rPr>
          <w:rFonts w:ascii="Aptos" w:eastAsia="Aptos" w:hAnsi="Aptos" w:cs="Aptos"/>
          <w:lang w:val="en-US"/>
        </w:rPr>
        <w:t>The</w:t>
      </w:r>
      <w:r w:rsidRPr="3B07E28A">
        <w:rPr>
          <w:rFonts w:ascii="Aptos" w:eastAsia="Aptos" w:hAnsi="Aptos" w:cs="Aptos"/>
          <w:lang w:val="en-US"/>
        </w:rPr>
        <w:t xml:space="preserve"> Green Star rating system developed by the Green Building Council of Australia currently implicitly incorporates circular economy considerations within the carbon reduction category. It </w:t>
      </w:r>
      <w:r w:rsidRPr="3B07E28A">
        <w:rPr>
          <w:rFonts w:ascii="Aptos" w:eastAsia="Aptos" w:hAnsi="Aptos" w:cs="Aptos"/>
          <w:lang w:val="en-US"/>
        </w:rPr>
        <w:lastRenderedPageBreak/>
        <w:t>places greater emphasis on ongoing operational energy performance, rather than establishing explicit, rigid requirements for circular economy practices.</w:t>
      </w:r>
    </w:p>
    <w:p w14:paraId="01963651" w14:textId="3A6F4256" w:rsidR="00CA4BDD" w:rsidRDefault="339FDFF4" w:rsidP="3B07E28A">
      <w:pPr>
        <w:spacing w:line="276" w:lineRule="auto"/>
        <w:jc w:val="both"/>
        <w:rPr>
          <w:rFonts w:ascii="Aptos" w:eastAsia="Aptos" w:hAnsi="Aptos" w:cs="Aptos"/>
          <w:lang w:val="en-US"/>
        </w:rPr>
      </w:pPr>
      <w:r w:rsidRPr="3B07E28A">
        <w:rPr>
          <w:rFonts w:ascii="Aptos" w:eastAsia="Aptos" w:hAnsi="Aptos" w:cs="Aptos"/>
          <w:lang w:val="en-US"/>
        </w:rPr>
        <w:t>In contrast</w:t>
      </w:r>
      <w:r w:rsidR="45C212E3" w:rsidRPr="3B07E28A">
        <w:rPr>
          <w:rFonts w:ascii="Aptos" w:eastAsia="Aptos" w:hAnsi="Aptos" w:cs="Aptos"/>
          <w:lang w:val="en-US"/>
        </w:rPr>
        <w:t>, the Dutch circular economy agenda</w:t>
      </w:r>
      <w:r w:rsidR="33AA40B6" w:rsidRPr="3B07E28A">
        <w:rPr>
          <w:rFonts w:ascii="Aptos" w:eastAsia="Aptos" w:hAnsi="Aptos" w:cs="Aptos"/>
          <w:lang w:val="en-US"/>
        </w:rPr>
        <w:t xml:space="preserve"> for construction</w:t>
      </w:r>
      <w:r w:rsidR="45C212E3" w:rsidRPr="3B07E28A">
        <w:rPr>
          <w:rFonts w:ascii="Aptos" w:eastAsia="Aptos" w:hAnsi="Aptos" w:cs="Aptos"/>
          <w:lang w:val="en-US"/>
        </w:rPr>
        <w:t xml:space="preserve"> is strongly coordinated through government-led strategies, most notably the Ministry of Infrastructure and Water Management and Rijkswaterstaat, which jointly steer the transition towards a fully circular economy by 2050. </w:t>
      </w:r>
      <w:r w:rsidR="33AA40B6" w:rsidRPr="3B07E28A">
        <w:rPr>
          <w:rFonts w:ascii="Aptos" w:eastAsia="Aptos" w:hAnsi="Aptos" w:cs="Aptos"/>
          <w:lang w:val="en-US"/>
        </w:rPr>
        <w:t xml:space="preserve">Policy priorities place strong emphasis on high-value circular strategies, particularly reuse and remanufacturing construction products and materials, rather than recycling alone. </w:t>
      </w:r>
      <w:r w:rsidR="4FB1C3E8" w:rsidRPr="3B07E28A">
        <w:rPr>
          <w:rFonts w:ascii="Aptos" w:eastAsia="Aptos" w:hAnsi="Aptos" w:cs="Aptos"/>
          <w:lang w:val="en-US"/>
        </w:rPr>
        <w:t>For construction processes, this is operationalized</w:t>
      </w:r>
      <w:r w:rsidR="7EA0C0D7" w:rsidRPr="3B07E28A">
        <w:rPr>
          <w:rFonts w:ascii="Aptos" w:eastAsia="Aptos" w:hAnsi="Aptos" w:cs="Aptos"/>
          <w:lang w:val="en-US"/>
        </w:rPr>
        <w:t xml:space="preserve"> through regulatory instruments such as the Environmental Performance of Buildings (MPG) requirement and public procurement guidelines, which increasingly </w:t>
      </w:r>
      <w:r w:rsidR="4FB1C3E8" w:rsidRPr="3B07E28A">
        <w:rPr>
          <w:rFonts w:ascii="Aptos" w:eastAsia="Aptos" w:hAnsi="Aptos" w:cs="Aptos"/>
          <w:lang w:val="en-US"/>
        </w:rPr>
        <w:t>incentivize</w:t>
      </w:r>
      <w:r w:rsidR="7EA0C0D7" w:rsidRPr="3B07E28A">
        <w:rPr>
          <w:rFonts w:ascii="Aptos" w:eastAsia="Aptos" w:hAnsi="Aptos" w:cs="Aptos"/>
          <w:lang w:val="en-US"/>
        </w:rPr>
        <w:t xml:space="preserve"> material efficiency, reuse, and life-cycle-based decision-making. In contrast to Australia, circularity in the Dutch context is explicitly addressed at both the building level and the product and material level, </w:t>
      </w:r>
      <w:r w:rsidR="592DE54A" w:rsidRPr="3B07E28A">
        <w:rPr>
          <w:rFonts w:ascii="Aptos" w:eastAsia="Aptos" w:hAnsi="Aptos" w:cs="Aptos"/>
          <w:lang w:val="en-US"/>
        </w:rPr>
        <w:t xml:space="preserve">with </w:t>
      </w:r>
      <w:r w:rsidR="258B9907" w:rsidRPr="3B07E28A">
        <w:rPr>
          <w:rFonts w:ascii="Aptos" w:eastAsia="Aptos" w:hAnsi="Aptos" w:cs="Aptos"/>
          <w:lang w:val="en-US"/>
        </w:rPr>
        <w:t xml:space="preserve">more government-led </w:t>
      </w:r>
      <w:r w:rsidR="1AD34D72" w:rsidRPr="3B07E28A">
        <w:rPr>
          <w:rFonts w:ascii="Aptos" w:eastAsia="Aptos" w:hAnsi="Aptos" w:cs="Aptos"/>
          <w:lang w:val="en-US"/>
        </w:rPr>
        <w:t xml:space="preserve">KPI </w:t>
      </w:r>
      <w:r w:rsidR="2940B31F" w:rsidRPr="3B07E28A">
        <w:rPr>
          <w:rFonts w:ascii="Aptos" w:eastAsia="Aptos" w:hAnsi="Aptos" w:cs="Aptos"/>
          <w:lang w:val="en-US"/>
        </w:rPr>
        <w:t>tracking and experiments such as digital material life cycle tracking.</w:t>
      </w:r>
    </w:p>
    <w:p w14:paraId="14368AB4" w14:textId="313C0CD6" w:rsidR="2323CEC8" w:rsidRDefault="2323CEC8" w:rsidP="3B07E28A">
      <w:pPr>
        <w:spacing w:line="276" w:lineRule="auto"/>
        <w:jc w:val="both"/>
        <w:rPr>
          <w:rFonts w:ascii="Aptos" w:eastAsia="Aptos" w:hAnsi="Aptos" w:cs="Aptos"/>
          <w:highlight w:val="yellow"/>
          <w:lang w:val="en-US"/>
        </w:rPr>
      </w:pPr>
    </w:p>
    <w:p w14:paraId="19ADDF17" w14:textId="48C2C923" w:rsidR="003675BB" w:rsidRPr="00F04087" w:rsidRDefault="006E3C2E" w:rsidP="00F04087">
      <w:pPr>
        <w:pStyle w:val="ListParagraph"/>
        <w:numPr>
          <w:ilvl w:val="0"/>
          <w:numId w:val="4"/>
        </w:numPr>
        <w:jc w:val="both"/>
        <w:rPr>
          <w:b/>
          <w:bCs/>
          <w:lang w:val="en-US"/>
        </w:rPr>
      </w:pPr>
      <w:r w:rsidRPr="00F04087">
        <w:rPr>
          <w:b/>
          <w:bCs/>
          <w:lang w:val="en-US"/>
        </w:rPr>
        <w:t>Market and industry dynamics</w:t>
      </w:r>
    </w:p>
    <w:p w14:paraId="22A5C3A1" w14:textId="0F0D8978" w:rsidR="03A43148" w:rsidRDefault="1C7FE80A" w:rsidP="001B2CAF">
      <w:pPr>
        <w:spacing w:line="276" w:lineRule="auto"/>
        <w:jc w:val="both"/>
        <w:rPr>
          <w:rFonts w:ascii="Aptos" w:eastAsia="Aptos" w:hAnsi="Aptos" w:cs="Aptos"/>
          <w:lang w:val="en-US"/>
        </w:rPr>
      </w:pPr>
      <w:r w:rsidRPr="2427505A">
        <w:rPr>
          <w:rFonts w:ascii="Aptos" w:eastAsia="Aptos" w:hAnsi="Aptos" w:cs="Aptos"/>
          <w:lang w:val="en-US"/>
        </w:rPr>
        <w:t>Table 2 lists the circular construction cases reviewed in this study, identified through desktop research of industry reports, government case repositories, and snowball sampling from initial informants. The cases were selected to capture the breadth of circular business models currently operating in each country, spanning both digital platform-based models</w:t>
      </w:r>
      <w:r w:rsidR="677CA5DC" w:rsidRPr="2427505A">
        <w:rPr>
          <w:rFonts w:ascii="Aptos" w:eastAsia="Aptos" w:hAnsi="Aptos" w:cs="Aptos"/>
          <w:lang w:val="en-US"/>
        </w:rPr>
        <w:t xml:space="preserve">, </w:t>
      </w:r>
      <w:r w:rsidRPr="2427505A">
        <w:rPr>
          <w:rFonts w:ascii="Aptos" w:eastAsia="Aptos" w:hAnsi="Aptos" w:cs="Aptos"/>
          <w:lang w:val="en-US"/>
        </w:rPr>
        <w:t>such as online marketplaces for reclaimed materials, material passport and lifecycle tracking platforms, and circular procurement platforms</w:t>
      </w:r>
      <w:r w:rsidR="0260F39E" w:rsidRPr="2427505A">
        <w:rPr>
          <w:rFonts w:ascii="Aptos" w:eastAsia="Aptos" w:hAnsi="Aptos" w:cs="Aptos"/>
          <w:lang w:val="en-US"/>
        </w:rPr>
        <w:t>.</w:t>
      </w:r>
      <w:r w:rsidRPr="2427505A">
        <w:rPr>
          <w:rFonts w:ascii="Aptos" w:eastAsia="Aptos" w:hAnsi="Aptos" w:cs="Aptos"/>
          <w:lang w:val="en-US"/>
        </w:rPr>
        <w:t xml:space="preserve"> </w:t>
      </w:r>
      <w:r w:rsidR="678016CB" w:rsidRPr="2427505A">
        <w:rPr>
          <w:rFonts w:ascii="Aptos" w:eastAsia="Aptos" w:hAnsi="Aptos" w:cs="Aptos"/>
          <w:lang w:val="en-US"/>
        </w:rPr>
        <w:t>A</w:t>
      </w:r>
      <w:r w:rsidRPr="2427505A">
        <w:rPr>
          <w:rFonts w:ascii="Aptos" w:eastAsia="Aptos" w:hAnsi="Aptos" w:cs="Aptos"/>
          <w:lang w:val="en-US"/>
        </w:rPr>
        <w:t>nd physical product-based models, including urban mining and deconstruction service providers, recycled-content product manufacturers, modular and demountable construction systems, and circular logistics hubs. While the list is not exhaustive, it is intended to be representative of the dominant business model types in each ecosystem, providing a basis for comparing how circular business models are configured and combined across the two national contexts.</w:t>
      </w:r>
    </w:p>
    <w:p w14:paraId="79FE785E" w14:textId="0A70A87E" w:rsidR="03A43148" w:rsidRDefault="03A43148" w:rsidP="2427505A">
      <w:pPr>
        <w:spacing w:line="276" w:lineRule="auto"/>
        <w:jc w:val="both"/>
        <w:rPr>
          <w:rFonts w:ascii="Aptos" w:eastAsia="Aptos" w:hAnsi="Aptos" w:cs="Aptos"/>
          <w:lang w:val="en-US"/>
        </w:rPr>
      </w:pPr>
    </w:p>
    <w:p w14:paraId="76D86374" w14:textId="161B0A67" w:rsidR="03A43148" w:rsidRDefault="1C7FE80A" w:rsidP="00EE5CCE">
      <w:pPr>
        <w:spacing w:line="276" w:lineRule="auto"/>
        <w:jc w:val="both"/>
        <w:rPr>
          <w:rFonts w:ascii="Aptos" w:eastAsia="Aptos" w:hAnsi="Aptos" w:cs="Aptos"/>
          <w:lang w:val="en-US"/>
        </w:rPr>
      </w:pPr>
      <w:r w:rsidRPr="2427505A">
        <w:rPr>
          <w:rFonts w:ascii="Aptos" w:eastAsia="Aptos" w:hAnsi="Aptos" w:cs="Aptos"/>
          <w:lang w:val="en-US"/>
        </w:rPr>
        <w:t>Table 2. Circular construction cases reviewed in the Netherlands and Australia</w:t>
      </w:r>
    </w:p>
    <w:tbl>
      <w:tblPr>
        <w:tblStyle w:val="TableGrid"/>
        <w:tblW w:w="0" w:type="auto"/>
        <w:tblLook w:val="06A0" w:firstRow="1" w:lastRow="0" w:firstColumn="1" w:lastColumn="0" w:noHBand="1" w:noVBand="1"/>
      </w:tblPr>
      <w:tblGrid>
        <w:gridCol w:w="4508"/>
        <w:gridCol w:w="4508"/>
      </w:tblGrid>
      <w:tr w:rsidR="4BA4D477" w14:paraId="4457A6D7" w14:textId="77777777" w:rsidTr="4BA4D477">
        <w:trPr>
          <w:trHeight w:val="300"/>
        </w:trPr>
        <w:tc>
          <w:tcPr>
            <w:tcW w:w="4508" w:type="dxa"/>
          </w:tcPr>
          <w:p w14:paraId="44C71181" w14:textId="11BA7F2D" w:rsidR="03A43148" w:rsidRPr="001B2CAF" w:rsidRDefault="03A43148" w:rsidP="4BA4D477">
            <w:pPr>
              <w:rPr>
                <w:rFonts w:ascii="Aptos" w:eastAsia="Aptos" w:hAnsi="Aptos" w:cs="Aptos"/>
                <w:b/>
                <w:bCs/>
                <w:lang w:val="en-US"/>
              </w:rPr>
            </w:pPr>
            <w:r w:rsidRPr="001B2CAF">
              <w:rPr>
                <w:rFonts w:ascii="Aptos" w:eastAsia="Aptos" w:hAnsi="Aptos" w:cs="Aptos"/>
                <w:b/>
                <w:bCs/>
                <w:lang w:val="en-US"/>
              </w:rPr>
              <w:t xml:space="preserve">The </w:t>
            </w:r>
            <w:r w:rsidR="2A0A81C7" w:rsidRPr="001B2CAF">
              <w:rPr>
                <w:rFonts w:ascii="Aptos" w:eastAsia="Aptos" w:hAnsi="Aptos" w:cs="Aptos"/>
                <w:b/>
                <w:bCs/>
                <w:lang w:val="en-US"/>
              </w:rPr>
              <w:t>Netherlands</w:t>
            </w:r>
            <w:r w:rsidRPr="001B2CAF">
              <w:rPr>
                <w:rFonts w:ascii="Aptos" w:eastAsia="Aptos" w:hAnsi="Aptos" w:cs="Aptos"/>
                <w:b/>
                <w:bCs/>
                <w:lang w:val="en-US"/>
              </w:rPr>
              <w:t xml:space="preserve"> </w:t>
            </w:r>
          </w:p>
        </w:tc>
        <w:tc>
          <w:tcPr>
            <w:tcW w:w="4508" w:type="dxa"/>
          </w:tcPr>
          <w:p w14:paraId="379F34C3" w14:textId="61F936F1" w:rsidR="03A43148" w:rsidRPr="001B2CAF" w:rsidRDefault="03A43148" w:rsidP="4BA4D477">
            <w:pPr>
              <w:rPr>
                <w:rFonts w:ascii="Aptos" w:eastAsia="Aptos" w:hAnsi="Aptos" w:cs="Aptos"/>
                <w:b/>
                <w:bCs/>
                <w:lang w:val="en-US"/>
              </w:rPr>
            </w:pPr>
            <w:r w:rsidRPr="001B2CAF">
              <w:rPr>
                <w:rFonts w:ascii="Aptos" w:eastAsia="Aptos" w:hAnsi="Aptos" w:cs="Aptos"/>
                <w:b/>
                <w:bCs/>
                <w:lang w:val="en-US"/>
              </w:rPr>
              <w:t>Australia</w:t>
            </w:r>
          </w:p>
        </w:tc>
      </w:tr>
      <w:tr w:rsidR="4BA4D477" w14:paraId="24EA2323" w14:textId="77777777" w:rsidTr="2427505A">
        <w:trPr>
          <w:trHeight w:val="300"/>
        </w:trPr>
        <w:tc>
          <w:tcPr>
            <w:tcW w:w="4508" w:type="dxa"/>
          </w:tcPr>
          <w:p w14:paraId="0E745E48" w14:textId="49DDDDF1" w:rsidR="53388D09" w:rsidRPr="53388D09" w:rsidRDefault="53388D09">
            <w:pPr>
              <w:rPr>
                <w:rFonts w:ascii="Arial" w:eastAsia="Arial" w:hAnsi="Arial" w:cs="Arial"/>
                <w:color w:val="000000" w:themeColor="text1"/>
                <w:sz w:val="20"/>
                <w:szCs w:val="20"/>
              </w:rPr>
            </w:pPr>
            <w:r w:rsidRPr="53388D09">
              <w:rPr>
                <w:rFonts w:ascii="Arial" w:eastAsia="Arial" w:hAnsi="Arial" w:cs="Arial"/>
                <w:color w:val="000000" w:themeColor="text1"/>
                <w:sz w:val="20"/>
                <w:szCs w:val="20"/>
              </w:rPr>
              <w:t xml:space="preserve">New Horizon Urban </w:t>
            </w:r>
            <w:proofErr w:type="spellStart"/>
            <w:r w:rsidRPr="53388D09">
              <w:rPr>
                <w:rFonts w:ascii="Arial" w:eastAsia="Arial" w:hAnsi="Arial" w:cs="Arial"/>
                <w:color w:val="000000" w:themeColor="text1"/>
                <w:sz w:val="20"/>
                <w:szCs w:val="20"/>
              </w:rPr>
              <w:t>Mining</w:t>
            </w:r>
            <w:proofErr w:type="spellEnd"/>
          </w:p>
        </w:tc>
        <w:tc>
          <w:tcPr>
            <w:tcW w:w="4508" w:type="dxa"/>
          </w:tcPr>
          <w:p w14:paraId="299A52B4" w14:textId="1619A314" w:rsidR="53388D09" w:rsidRPr="53388D09" w:rsidRDefault="53388D09">
            <w:pPr>
              <w:rPr>
                <w:rFonts w:ascii="Arial" w:eastAsia="Arial" w:hAnsi="Arial" w:cs="Arial"/>
                <w:color w:val="000000" w:themeColor="text1"/>
                <w:sz w:val="20"/>
                <w:szCs w:val="20"/>
              </w:rPr>
            </w:pPr>
            <w:r w:rsidRPr="53388D09">
              <w:rPr>
                <w:rFonts w:ascii="Arial" w:eastAsia="Arial" w:hAnsi="Arial" w:cs="Arial"/>
                <w:color w:val="000000" w:themeColor="text1"/>
                <w:sz w:val="20"/>
                <w:szCs w:val="20"/>
              </w:rPr>
              <w:t>Superyard</w:t>
            </w:r>
          </w:p>
        </w:tc>
      </w:tr>
      <w:tr w:rsidR="4BA4D477" w14:paraId="692F1B13" w14:textId="77777777" w:rsidTr="2427505A">
        <w:trPr>
          <w:trHeight w:val="300"/>
        </w:trPr>
        <w:tc>
          <w:tcPr>
            <w:tcW w:w="4508" w:type="dxa"/>
          </w:tcPr>
          <w:p w14:paraId="6036E4D9" w14:textId="4648B901" w:rsidR="53388D09" w:rsidRPr="53388D09" w:rsidRDefault="53388D09">
            <w:pPr>
              <w:rPr>
                <w:rFonts w:ascii="Arial" w:eastAsia="Arial" w:hAnsi="Arial" w:cs="Arial"/>
                <w:color w:val="000000" w:themeColor="text1"/>
                <w:sz w:val="20"/>
                <w:szCs w:val="20"/>
              </w:rPr>
            </w:pPr>
            <w:r w:rsidRPr="53388D09">
              <w:rPr>
                <w:rFonts w:ascii="Arial" w:eastAsia="Arial" w:hAnsi="Arial" w:cs="Arial"/>
                <w:color w:val="000000" w:themeColor="text1"/>
                <w:sz w:val="20"/>
                <w:szCs w:val="20"/>
              </w:rPr>
              <w:t>Lagemaat</w:t>
            </w:r>
          </w:p>
        </w:tc>
        <w:tc>
          <w:tcPr>
            <w:tcW w:w="4508" w:type="dxa"/>
          </w:tcPr>
          <w:p w14:paraId="7EDAB4B9" w14:textId="53CBB564" w:rsidR="53388D09" w:rsidRPr="53388D09" w:rsidRDefault="53388D09">
            <w:pPr>
              <w:rPr>
                <w:rFonts w:ascii="Arial" w:eastAsia="Arial" w:hAnsi="Arial" w:cs="Arial"/>
                <w:color w:val="000000" w:themeColor="text1"/>
                <w:sz w:val="20"/>
                <w:szCs w:val="20"/>
              </w:rPr>
            </w:pPr>
            <w:r w:rsidRPr="53388D09">
              <w:rPr>
                <w:rFonts w:ascii="Arial" w:eastAsia="Arial" w:hAnsi="Arial" w:cs="Arial"/>
                <w:color w:val="000000" w:themeColor="text1"/>
                <w:sz w:val="20"/>
                <w:szCs w:val="20"/>
              </w:rPr>
              <w:t>ASPIRE</w:t>
            </w:r>
          </w:p>
        </w:tc>
      </w:tr>
      <w:tr w:rsidR="4BA4D477" w14:paraId="4FB4F513" w14:textId="77777777" w:rsidTr="2427505A">
        <w:trPr>
          <w:trHeight w:val="300"/>
        </w:trPr>
        <w:tc>
          <w:tcPr>
            <w:tcW w:w="4508" w:type="dxa"/>
          </w:tcPr>
          <w:p w14:paraId="72A083EC" w14:textId="2DC2307E" w:rsidR="53388D09" w:rsidRPr="53388D09" w:rsidRDefault="53388D09">
            <w:pPr>
              <w:rPr>
                <w:rFonts w:ascii="Arial" w:eastAsia="Arial" w:hAnsi="Arial" w:cs="Arial"/>
                <w:color w:val="000000" w:themeColor="text1"/>
                <w:sz w:val="20"/>
                <w:szCs w:val="20"/>
              </w:rPr>
            </w:pPr>
            <w:proofErr w:type="spellStart"/>
            <w:r w:rsidRPr="53388D09">
              <w:rPr>
                <w:rFonts w:ascii="Arial" w:eastAsia="Arial" w:hAnsi="Arial" w:cs="Arial"/>
                <w:color w:val="000000" w:themeColor="text1"/>
                <w:sz w:val="20"/>
                <w:szCs w:val="20"/>
              </w:rPr>
              <w:t>Insert</w:t>
            </w:r>
            <w:proofErr w:type="spellEnd"/>
          </w:p>
        </w:tc>
        <w:tc>
          <w:tcPr>
            <w:tcW w:w="4508" w:type="dxa"/>
          </w:tcPr>
          <w:p w14:paraId="6F27A417" w14:textId="2FD49A61" w:rsidR="53388D09" w:rsidRPr="53388D09" w:rsidRDefault="53388D09">
            <w:pPr>
              <w:rPr>
                <w:rFonts w:ascii="Arial" w:eastAsia="Arial" w:hAnsi="Arial" w:cs="Arial"/>
                <w:color w:val="000000" w:themeColor="text1"/>
                <w:sz w:val="20"/>
                <w:szCs w:val="20"/>
              </w:rPr>
            </w:pPr>
            <w:proofErr w:type="spellStart"/>
            <w:r w:rsidRPr="53388D09">
              <w:rPr>
                <w:rFonts w:ascii="Arial" w:eastAsia="Arial" w:hAnsi="Arial" w:cs="Arial"/>
                <w:color w:val="000000" w:themeColor="text1"/>
                <w:sz w:val="20"/>
                <w:szCs w:val="20"/>
              </w:rPr>
              <w:t>Evitat</w:t>
            </w:r>
            <w:proofErr w:type="spellEnd"/>
          </w:p>
        </w:tc>
      </w:tr>
      <w:tr w:rsidR="4BA4D477" w14:paraId="2125F28A" w14:textId="77777777" w:rsidTr="2427505A">
        <w:trPr>
          <w:trHeight w:val="300"/>
        </w:trPr>
        <w:tc>
          <w:tcPr>
            <w:tcW w:w="4508" w:type="dxa"/>
          </w:tcPr>
          <w:p w14:paraId="2FC06A13" w14:textId="2AB46996" w:rsidR="53388D09" w:rsidRPr="53388D09" w:rsidRDefault="53388D09">
            <w:pPr>
              <w:rPr>
                <w:rFonts w:ascii="Arial" w:eastAsia="Arial" w:hAnsi="Arial" w:cs="Arial"/>
                <w:color w:val="000000" w:themeColor="text1"/>
                <w:sz w:val="20"/>
                <w:szCs w:val="20"/>
              </w:rPr>
            </w:pPr>
            <w:r w:rsidRPr="53388D09">
              <w:rPr>
                <w:rFonts w:ascii="Arial" w:eastAsia="Arial" w:hAnsi="Arial" w:cs="Arial"/>
                <w:color w:val="000000" w:themeColor="text1"/>
                <w:sz w:val="20"/>
                <w:szCs w:val="20"/>
              </w:rPr>
              <w:t>Oogstkaart</w:t>
            </w:r>
          </w:p>
        </w:tc>
        <w:tc>
          <w:tcPr>
            <w:tcW w:w="4508" w:type="dxa"/>
          </w:tcPr>
          <w:p w14:paraId="5FA8502B" w14:textId="48927203" w:rsidR="53388D09" w:rsidRPr="53388D09" w:rsidRDefault="53388D09">
            <w:pPr>
              <w:rPr>
                <w:rFonts w:ascii="Arial" w:eastAsia="Arial" w:hAnsi="Arial" w:cs="Arial"/>
                <w:color w:val="000000" w:themeColor="text1"/>
                <w:sz w:val="20"/>
                <w:szCs w:val="20"/>
              </w:rPr>
            </w:pPr>
            <w:r w:rsidRPr="53388D09">
              <w:rPr>
                <w:rFonts w:ascii="Arial" w:eastAsia="Arial" w:hAnsi="Arial" w:cs="Arial"/>
                <w:color w:val="000000" w:themeColor="text1"/>
                <w:sz w:val="20"/>
                <w:szCs w:val="20"/>
              </w:rPr>
              <w:t xml:space="preserve">Close </w:t>
            </w:r>
            <w:proofErr w:type="spellStart"/>
            <w:r w:rsidRPr="53388D09">
              <w:rPr>
                <w:rFonts w:ascii="Arial" w:eastAsia="Arial" w:hAnsi="Arial" w:cs="Arial"/>
                <w:color w:val="000000" w:themeColor="text1"/>
                <w:sz w:val="20"/>
                <w:szCs w:val="20"/>
              </w:rPr>
              <w:t>the</w:t>
            </w:r>
            <w:proofErr w:type="spellEnd"/>
            <w:r w:rsidRPr="53388D09">
              <w:rPr>
                <w:rFonts w:ascii="Arial" w:eastAsia="Arial" w:hAnsi="Arial" w:cs="Arial"/>
                <w:color w:val="000000" w:themeColor="text1"/>
                <w:sz w:val="20"/>
                <w:szCs w:val="20"/>
              </w:rPr>
              <w:t xml:space="preserve"> Loop</w:t>
            </w:r>
          </w:p>
        </w:tc>
      </w:tr>
      <w:tr w:rsidR="4BA4D477" w14:paraId="253764D8" w14:textId="77777777" w:rsidTr="2427505A">
        <w:trPr>
          <w:trHeight w:val="300"/>
        </w:trPr>
        <w:tc>
          <w:tcPr>
            <w:tcW w:w="4508" w:type="dxa"/>
          </w:tcPr>
          <w:p w14:paraId="53845EEA" w14:textId="778AC901" w:rsidR="53388D09" w:rsidRPr="53388D09" w:rsidRDefault="53388D09">
            <w:pPr>
              <w:rPr>
                <w:rFonts w:ascii="Arial" w:eastAsia="Arial" w:hAnsi="Arial" w:cs="Arial"/>
                <w:color w:val="000000" w:themeColor="text1"/>
                <w:sz w:val="20"/>
                <w:szCs w:val="20"/>
              </w:rPr>
            </w:pPr>
            <w:proofErr w:type="spellStart"/>
            <w:r w:rsidRPr="53388D09">
              <w:rPr>
                <w:rFonts w:ascii="Arial" w:eastAsia="Arial" w:hAnsi="Arial" w:cs="Arial"/>
                <w:color w:val="000000" w:themeColor="text1"/>
                <w:sz w:val="20"/>
                <w:szCs w:val="20"/>
              </w:rPr>
              <w:t>Superuse</w:t>
            </w:r>
            <w:proofErr w:type="spellEnd"/>
            <w:r w:rsidRPr="53388D09">
              <w:rPr>
                <w:rFonts w:ascii="Arial" w:eastAsia="Arial" w:hAnsi="Arial" w:cs="Arial"/>
                <w:color w:val="000000" w:themeColor="text1"/>
                <w:sz w:val="20"/>
                <w:szCs w:val="20"/>
              </w:rPr>
              <w:t xml:space="preserve"> </w:t>
            </w:r>
            <w:proofErr w:type="spellStart"/>
            <w:r w:rsidRPr="53388D09">
              <w:rPr>
                <w:rFonts w:ascii="Arial" w:eastAsia="Arial" w:hAnsi="Arial" w:cs="Arial"/>
                <w:color w:val="000000" w:themeColor="text1"/>
                <w:sz w:val="20"/>
                <w:szCs w:val="20"/>
              </w:rPr>
              <w:t>Studios</w:t>
            </w:r>
            <w:proofErr w:type="spellEnd"/>
          </w:p>
        </w:tc>
        <w:tc>
          <w:tcPr>
            <w:tcW w:w="4508" w:type="dxa"/>
          </w:tcPr>
          <w:p w14:paraId="27394BF3" w14:textId="19E1DE8C" w:rsidR="53388D09" w:rsidRPr="53388D09" w:rsidRDefault="53388D09">
            <w:pPr>
              <w:rPr>
                <w:rFonts w:ascii="Arial" w:eastAsia="Arial" w:hAnsi="Arial" w:cs="Arial"/>
                <w:color w:val="000000" w:themeColor="text1"/>
                <w:sz w:val="20"/>
                <w:szCs w:val="20"/>
              </w:rPr>
            </w:pPr>
            <w:r w:rsidRPr="53388D09">
              <w:rPr>
                <w:rFonts w:ascii="Arial" w:eastAsia="Arial" w:hAnsi="Arial" w:cs="Arial"/>
                <w:color w:val="000000" w:themeColor="text1"/>
                <w:sz w:val="20"/>
                <w:szCs w:val="20"/>
              </w:rPr>
              <w:t>ECORR</w:t>
            </w:r>
          </w:p>
        </w:tc>
      </w:tr>
      <w:tr w:rsidR="53388D09" w14:paraId="5DD375D1" w14:textId="77777777" w:rsidTr="2427505A">
        <w:trPr>
          <w:trHeight w:val="300"/>
        </w:trPr>
        <w:tc>
          <w:tcPr>
            <w:tcW w:w="4508" w:type="dxa"/>
          </w:tcPr>
          <w:p w14:paraId="48F0B956" w14:textId="2CE08AF4" w:rsidR="53388D09" w:rsidRDefault="53388D09">
            <w:pPr>
              <w:rPr>
                <w:rFonts w:ascii="Arial" w:eastAsia="Arial" w:hAnsi="Arial" w:cs="Arial"/>
                <w:color w:val="000000" w:themeColor="text1"/>
                <w:sz w:val="20"/>
                <w:szCs w:val="20"/>
              </w:rPr>
            </w:pPr>
            <w:proofErr w:type="gramStart"/>
            <w:r w:rsidRPr="53388D09">
              <w:rPr>
                <w:rFonts w:ascii="Arial" w:eastAsia="Arial" w:hAnsi="Arial" w:cs="Arial"/>
                <w:color w:val="000000" w:themeColor="text1"/>
                <w:sz w:val="20"/>
                <w:szCs w:val="20"/>
              </w:rPr>
              <w:t>Gebruiktebouwmaterialen.com /</w:t>
            </w:r>
            <w:proofErr w:type="gramEnd"/>
            <w:r w:rsidRPr="53388D09">
              <w:rPr>
                <w:rFonts w:ascii="Arial" w:eastAsia="Arial" w:hAnsi="Arial" w:cs="Arial"/>
                <w:color w:val="000000" w:themeColor="text1"/>
                <w:sz w:val="20"/>
                <w:szCs w:val="20"/>
              </w:rPr>
              <w:t xml:space="preserve"> A. van </w:t>
            </w:r>
            <w:proofErr w:type="spellStart"/>
            <w:r w:rsidRPr="53388D09">
              <w:rPr>
                <w:rFonts w:ascii="Arial" w:eastAsia="Arial" w:hAnsi="Arial" w:cs="Arial"/>
                <w:color w:val="000000" w:themeColor="text1"/>
                <w:sz w:val="20"/>
                <w:szCs w:val="20"/>
              </w:rPr>
              <w:t>Liempd</w:t>
            </w:r>
            <w:proofErr w:type="spellEnd"/>
          </w:p>
        </w:tc>
        <w:tc>
          <w:tcPr>
            <w:tcW w:w="4508" w:type="dxa"/>
          </w:tcPr>
          <w:p w14:paraId="2546C5DE" w14:textId="3E405FBD" w:rsidR="53388D09" w:rsidRDefault="53388D09">
            <w:pPr>
              <w:rPr>
                <w:rFonts w:ascii="Arial" w:eastAsia="Arial" w:hAnsi="Arial" w:cs="Arial"/>
                <w:color w:val="000000" w:themeColor="text1"/>
                <w:sz w:val="20"/>
                <w:szCs w:val="20"/>
              </w:rPr>
            </w:pPr>
            <w:proofErr w:type="spellStart"/>
            <w:r w:rsidRPr="53388D09">
              <w:rPr>
                <w:rFonts w:ascii="Arial" w:eastAsia="Arial" w:hAnsi="Arial" w:cs="Arial"/>
                <w:color w:val="000000" w:themeColor="text1"/>
                <w:sz w:val="20"/>
                <w:szCs w:val="20"/>
              </w:rPr>
              <w:t>RePurpose</w:t>
            </w:r>
            <w:proofErr w:type="spellEnd"/>
            <w:r w:rsidRPr="53388D09">
              <w:rPr>
                <w:rFonts w:ascii="Arial" w:eastAsia="Arial" w:hAnsi="Arial" w:cs="Arial"/>
                <w:color w:val="000000" w:themeColor="text1"/>
                <w:sz w:val="20"/>
                <w:szCs w:val="20"/>
              </w:rPr>
              <w:t xml:space="preserve"> It</w:t>
            </w:r>
          </w:p>
        </w:tc>
      </w:tr>
      <w:tr w:rsidR="53388D09" w14:paraId="65368C8D" w14:textId="77777777" w:rsidTr="2427505A">
        <w:trPr>
          <w:trHeight w:val="300"/>
        </w:trPr>
        <w:tc>
          <w:tcPr>
            <w:tcW w:w="4508" w:type="dxa"/>
          </w:tcPr>
          <w:p w14:paraId="29A5B144" w14:textId="085BCB5D" w:rsidR="53388D09" w:rsidRDefault="53388D09">
            <w:pPr>
              <w:rPr>
                <w:rFonts w:ascii="Arial" w:eastAsia="Arial" w:hAnsi="Arial" w:cs="Arial"/>
                <w:color w:val="000000" w:themeColor="text1"/>
                <w:sz w:val="20"/>
                <w:szCs w:val="20"/>
              </w:rPr>
            </w:pPr>
            <w:r w:rsidRPr="53388D09">
              <w:rPr>
                <w:rFonts w:ascii="Arial" w:eastAsia="Arial" w:hAnsi="Arial" w:cs="Arial"/>
                <w:color w:val="000000" w:themeColor="text1"/>
                <w:sz w:val="20"/>
                <w:szCs w:val="20"/>
              </w:rPr>
              <w:t>Buurman</w:t>
            </w:r>
          </w:p>
        </w:tc>
        <w:tc>
          <w:tcPr>
            <w:tcW w:w="4508" w:type="dxa"/>
          </w:tcPr>
          <w:p w14:paraId="7E4E2EBC" w14:textId="68D1C1C4" w:rsidR="53388D09" w:rsidRDefault="53388D09">
            <w:pPr>
              <w:rPr>
                <w:rFonts w:ascii="Arial" w:eastAsia="Arial" w:hAnsi="Arial" w:cs="Arial"/>
                <w:color w:val="000000" w:themeColor="text1"/>
                <w:sz w:val="20"/>
                <w:szCs w:val="20"/>
              </w:rPr>
            </w:pPr>
            <w:proofErr w:type="spellStart"/>
            <w:r w:rsidRPr="53388D09">
              <w:rPr>
                <w:rFonts w:ascii="Arial" w:eastAsia="Arial" w:hAnsi="Arial" w:cs="Arial"/>
                <w:color w:val="000000" w:themeColor="text1"/>
                <w:sz w:val="20"/>
                <w:szCs w:val="20"/>
              </w:rPr>
              <w:t>ResourceCo</w:t>
            </w:r>
            <w:proofErr w:type="spellEnd"/>
          </w:p>
        </w:tc>
      </w:tr>
      <w:tr w:rsidR="53388D09" w14:paraId="4A3982C9" w14:textId="77777777" w:rsidTr="2427505A">
        <w:trPr>
          <w:trHeight w:val="300"/>
        </w:trPr>
        <w:tc>
          <w:tcPr>
            <w:tcW w:w="4508" w:type="dxa"/>
          </w:tcPr>
          <w:p w14:paraId="2ADF0A13" w14:textId="788F6159" w:rsidR="53388D09" w:rsidRDefault="53388D09">
            <w:pPr>
              <w:rPr>
                <w:rFonts w:ascii="Arial" w:eastAsia="Arial" w:hAnsi="Arial" w:cs="Arial"/>
                <w:color w:val="000000" w:themeColor="text1"/>
                <w:sz w:val="20"/>
                <w:szCs w:val="20"/>
              </w:rPr>
            </w:pPr>
            <w:proofErr w:type="spellStart"/>
            <w:r w:rsidRPr="53388D09">
              <w:rPr>
                <w:rFonts w:ascii="Arial" w:eastAsia="Arial" w:hAnsi="Arial" w:cs="Arial"/>
                <w:color w:val="000000" w:themeColor="text1"/>
                <w:sz w:val="20"/>
                <w:szCs w:val="20"/>
              </w:rPr>
              <w:lastRenderedPageBreak/>
              <w:t>Excess</w:t>
            </w:r>
            <w:proofErr w:type="spellEnd"/>
            <w:r w:rsidRPr="53388D09">
              <w:rPr>
                <w:rFonts w:ascii="Arial" w:eastAsia="Arial" w:hAnsi="Arial" w:cs="Arial"/>
                <w:color w:val="000000" w:themeColor="text1"/>
                <w:sz w:val="20"/>
                <w:szCs w:val="20"/>
              </w:rPr>
              <w:t xml:space="preserve"> </w:t>
            </w:r>
            <w:proofErr w:type="spellStart"/>
            <w:r w:rsidRPr="53388D09">
              <w:rPr>
                <w:rFonts w:ascii="Arial" w:eastAsia="Arial" w:hAnsi="Arial" w:cs="Arial"/>
                <w:color w:val="000000" w:themeColor="text1"/>
                <w:sz w:val="20"/>
                <w:szCs w:val="20"/>
              </w:rPr>
              <w:t>Materials</w:t>
            </w:r>
            <w:proofErr w:type="spellEnd"/>
            <w:r w:rsidRPr="53388D09">
              <w:rPr>
                <w:rFonts w:ascii="Arial" w:eastAsia="Arial" w:hAnsi="Arial" w:cs="Arial"/>
                <w:color w:val="000000" w:themeColor="text1"/>
                <w:sz w:val="20"/>
                <w:szCs w:val="20"/>
              </w:rPr>
              <w:t xml:space="preserve"> Exchange</w:t>
            </w:r>
          </w:p>
        </w:tc>
        <w:tc>
          <w:tcPr>
            <w:tcW w:w="4508" w:type="dxa"/>
          </w:tcPr>
          <w:p w14:paraId="2FDB5B45" w14:textId="6D21C61E" w:rsidR="53388D09" w:rsidRDefault="53388D09">
            <w:pPr>
              <w:rPr>
                <w:rFonts w:ascii="Arial" w:eastAsia="Arial" w:hAnsi="Arial" w:cs="Arial"/>
                <w:color w:val="000000" w:themeColor="text1"/>
                <w:sz w:val="20"/>
                <w:szCs w:val="20"/>
              </w:rPr>
            </w:pPr>
            <w:proofErr w:type="spellStart"/>
            <w:r w:rsidRPr="53388D09">
              <w:rPr>
                <w:rFonts w:ascii="Arial" w:eastAsia="Arial" w:hAnsi="Arial" w:cs="Arial"/>
                <w:color w:val="000000" w:themeColor="text1"/>
                <w:sz w:val="20"/>
                <w:szCs w:val="20"/>
              </w:rPr>
              <w:t>Boral</w:t>
            </w:r>
            <w:proofErr w:type="spellEnd"/>
          </w:p>
        </w:tc>
      </w:tr>
      <w:tr w:rsidR="53388D09" w14:paraId="3BC12CB2" w14:textId="77777777" w:rsidTr="2427505A">
        <w:trPr>
          <w:trHeight w:val="300"/>
        </w:trPr>
        <w:tc>
          <w:tcPr>
            <w:tcW w:w="4508" w:type="dxa"/>
          </w:tcPr>
          <w:p w14:paraId="05246405" w14:textId="26D55854" w:rsidR="53388D09" w:rsidRDefault="53388D09">
            <w:pPr>
              <w:rPr>
                <w:rFonts w:ascii="Arial" w:eastAsia="Arial" w:hAnsi="Arial" w:cs="Arial"/>
                <w:color w:val="000000" w:themeColor="text1"/>
                <w:sz w:val="20"/>
                <w:szCs w:val="20"/>
              </w:rPr>
            </w:pPr>
            <w:proofErr w:type="spellStart"/>
            <w:r w:rsidRPr="53388D09">
              <w:rPr>
                <w:rFonts w:ascii="Arial" w:eastAsia="Arial" w:hAnsi="Arial" w:cs="Arial"/>
                <w:color w:val="000000" w:themeColor="text1"/>
                <w:sz w:val="20"/>
                <w:szCs w:val="20"/>
              </w:rPr>
              <w:t>Madaster</w:t>
            </w:r>
            <w:proofErr w:type="spellEnd"/>
          </w:p>
        </w:tc>
        <w:tc>
          <w:tcPr>
            <w:tcW w:w="4508" w:type="dxa"/>
          </w:tcPr>
          <w:p w14:paraId="170E8381" w14:textId="7A6DEF00" w:rsidR="53388D09" w:rsidRDefault="53388D09">
            <w:pPr>
              <w:rPr>
                <w:rFonts w:ascii="Arial" w:eastAsia="Arial" w:hAnsi="Arial" w:cs="Arial"/>
                <w:color w:val="000000" w:themeColor="text1"/>
                <w:sz w:val="20"/>
                <w:szCs w:val="20"/>
              </w:rPr>
            </w:pPr>
            <w:proofErr w:type="spellStart"/>
            <w:r w:rsidRPr="53388D09">
              <w:rPr>
                <w:rFonts w:ascii="Arial" w:eastAsia="Arial" w:hAnsi="Arial" w:cs="Arial"/>
                <w:color w:val="000000" w:themeColor="text1"/>
                <w:sz w:val="20"/>
                <w:szCs w:val="20"/>
              </w:rPr>
              <w:t>SaveBOARD</w:t>
            </w:r>
            <w:proofErr w:type="spellEnd"/>
          </w:p>
        </w:tc>
      </w:tr>
      <w:tr w:rsidR="53388D09" w14:paraId="04EDF1E3" w14:textId="77777777" w:rsidTr="2427505A">
        <w:trPr>
          <w:trHeight w:val="300"/>
        </w:trPr>
        <w:tc>
          <w:tcPr>
            <w:tcW w:w="4508" w:type="dxa"/>
          </w:tcPr>
          <w:p w14:paraId="53E2D568" w14:textId="05FC72CC" w:rsidR="53388D09" w:rsidRDefault="53388D09">
            <w:pPr>
              <w:rPr>
                <w:rFonts w:ascii="Arial" w:eastAsia="Arial" w:hAnsi="Arial" w:cs="Arial"/>
                <w:color w:val="000000" w:themeColor="text1"/>
                <w:sz w:val="20"/>
                <w:szCs w:val="20"/>
              </w:rPr>
            </w:pPr>
            <w:proofErr w:type="gramStart"/>
            <w:r w:rsidRPr="53388D09">
              <w:rPr>
                <w:rFonts w:ascii="Arial" w:eastAsia="Arial" w:hAnsi="Arial" w:cs="Arial"/>
                <w:color w:val="000000" w:themeColor="text1"/>
                <w:sz w:val="20"/>
                <w:szCs w:val="20"/>
              </w:rPr>
              <w:t>FRONT /</w:t>
            </w:r>
            <w:proofErr w:type="gramEnd"/>
            <w:r w:rsidRPr="53388D09">
              <w:rPr>
                <w:rFonts w:ascii="Arial" w:eastAsia="Arial" w:hAnsi="Arial" w:cs="Arial"/>
                <w:color w:val="000000" w:themeColor="text1"/>
                <w:sz w:val="20"/>
                <w:szCs w:val="20"/>
              </w:rPr>
              <w:t xml:space="preserve"> </w:t>
            </w:r>
            <w:proofErr w:type="spellStart"/>
            <w:r w:rsidRPr="53388D09">
              <w:rPr>
                <w:rFonts w:ascii="Arial" w:eastAsia="Arial" w:hAnsi="Arial" w:cs="Arial"/>
                <w:color w:val="000000" w:themeColor="text1"/>
                <w:sz w:val="20"/>
                <w:szCs w:val="20"/>
              </w:rPr>
              <w:t>StoneCycling</w:t>
            </w:r>
            <w:proofErr w:type="spellEnd"/>
            <w:r w:rsidRPr="53388D09">
              <w:rPr>
                <w:rFonts w:ascii="Arial" w:eastAsia="Arial" w:hAnsi="Arial" w:cs="Arial"/>
                <w:color w:val="000000" w:themeColor="text1"/>
                <w:sz w:val="20"/>
                <w:szCs w:val="20"/>
              </w:rPr>
              <w:t xml:space="preserve"> </w:t>
            </w:r>
            <w:proofErr w:type="spellStart"/>
            <w:r w:rsidRPr="53388D09">
              <w:rPr>
                <w:rFonts w:ascii="Arial" w:eastAsia="Arial" w:hAnsi="Arial" w:cs="Arial"/>
                <w:color w:val="000000" w:themeColor="text1"/>
                <w:sz w:val="20"/>
                <w:szCs w:val="20"/>
              </w:rPr>
              <w:t>WasteBasedBricks</w:t>
            </w:r>
            <w:proofErr w:type="spellEnd"/>
          </w:p>
        </w:tc>
        <w:tc>
          <w:tcPr>
            <w:tcW w:w="4508" w:type="dxa"/>
          </w:tcPr>
          <w:p w14:paraId="5004FCE0" w14:textId="6D5B830A" w:rsidR="53388D09" w:rsidRDefault="53388D09">
            <w:pPr>
              <w:rPr>
                <w:rFonts w:ascii="Arial" w:eastAsia="Arial" w:hAnsi="Arial" w:cs="Arial"/>
                <w:color w:val="000000" w:themeColor="text1"/>
                <w:sz w:val="20"/>
                <w:szCs w:val="20"/>
              </w:rPr>
            </w:pPr>
            <w:proofErr w:type="spellStart"/>
            <w:r w:rsidRPr="53388D09">
              <w:rPr>
                <w:rFonts w:ascii="Arial" w:eastAsia="Arial" w:hAnsi="Arial" w:cs="Arial"/>
                <w:color w:val="000000" w:themeColor="text1"/>
                <w:sz w:val="20"/>
                <w:szCs w:val="20"/>
              </w:rPr>
              <w:t>Renovators</w:t>
            </w:r>
            <w:proofErr w:type="spellEnd"/>
            <w:r w:rsidRPr="53388D09">
              <w:rPr>
                <w:rFonts w:ascii="Arial" w:eastAsia="Arial" w:hAnsi="Arial" w:cs="Arial"/>
                <w:color w:val="000000" w:themeColor="text1"/>
                <w:sz w:val="20"/>
                <w:szCs w:val="20"/>
              </w:rPr>
              <w:t xml:space="preserve"> Paradise</w:t>
            </w:r>
          </w:p>
        </w:tc>
      </w:tr>
      <w:tr w:rsidR="53388D09" w14:paraId="6239D1B6" w14:textId="77777777" w:rsidTr="2427505A">
        <w:trPr>
          <w:trHeight w:val="300"/>
        </w:trPr>
        <w:tc>
          <w:tcPr>
            <w:tcW w:w="4508" w:type="dxa"/>
          </w:tcPr>
          <w:p w14:paraId="6551EE18" w14:textId="73195543" w:rsidR="53388D09" w:rsidRDefault="53388D09">
            <w:pPr>
              <w:rPr>
                <w:rFonts w:ascii="Arial" w:eastAsia="Arial" w:hAnsi="Arial" w:cs="Arial"/>
                <w:color w:val="000000" w:themeColor="text1"/>
                <w:sz w:val="20"/>
                <w:szCs w:val="20"/>
              </w:rPr>
            </w:pPr>
            <w:proofErr w:type="spellStart"/>
            <w:r w:rsidRPr="53388D09">
              <w:rPr>
                <w:rFonts w:ascii="Arial" w:eastAsia="Arial" w:hAnsi="Arial" w:cs="Arial"/>
                <w:color w:val="000000" w:themeColor="text1"/>
                <w:sz w:val="20"/>
                <w:szCs w:val="20"/>
              </w:rPr>
              <w:t>Aectual</w:t>
            </w:r>
            <w:proofErr w:type="spellEnd"/>
          </w:p>
        </w:tc>
        <w:tc>
          <w:tcPr>
            <w:tcW w:w="4508" w:type="dxa"/>
          </w:tcPr>
          <w:p w14:paraId="25F11CB2" w14:textId="5AC99604" w:rsidR="53388D09" w:rsidRDefault="53388D09">
            <w:pPr>
              <w:rPr>
                <w:rFonts w:ascii="Arial" w:eastAsia="Arial" w:hAnsi="Arial" w:cs="Arial"/>
                <w:color w:val="000000" w:themeColor="text1"/>
                <w:sz w:val="20"/>
                <w:szCs w:val="20"/>
              </w:rPr>
            </w:pPr>
            <w:r w:rsidRPr="53388D09">
              <w:rPr>
                <w:rFonts w:ascii="Arial" w:eastAsia="Arial" w:hAnsi="Arial" w:cs="Arial"/>
                <w:color w:val="000000" w:themeColor="text1"/>
                <w:sz w:val="20"/>
                <w:szCs w:val="20"/>
              </w:rPr>
              <w:t xml:space="preserve">The </w:t>
            </w:r>
            <w:proofErr w:type="spellStart"/>
            <w:r w:rsidRPr="53388D09">
              <w:rPr>
                <w:rFonts w:ascii="Arial" w:eastAsia="Arial" w:hAnsi="Arial" w:cs="Arial"/>
                <w:color w:val="000000" w:themeColor="text1"/>
                <w:sz w:val="20"/>
                <w:szCs w:val="20"/>
              </w:rPr>
              <w:t>Brick</w:t>
            </w:r>
            <w:proofErr w:type="spellEnd"/>
            <w:r w:rsidRPr="53388D09">
              <w:rPr>
                <w:rFonts w:ascii="Arial" w:eastAsia="Arial" w:hAnsi="Arial" w:cs="Arial"/>
                <w:color w:val="000000" w:themeColor="text1"/>
                <w:sz w:val="20"/>
                <w:szCs w:val="20"/>
              </w:rPr>
              <w:t xml:space="preserve"> Recyclers</w:t>
            </w:r>
          </w:p>
        </w:tc>
      </w:tr>
      <w:tr w:rsidR="53388D09" w14:paraId="6F7F9BC8" w14:textId="77777777" w:rsidTr="2427505A">
        <w:trPr>
          <w:trHeight w:val="300"/>
        </w:trPr>
        <w:tc>
          <w:tcPr>
            <w:tcW w:w="4508" w:type="dxa"/>
          </w:tcPr>
          <w:p w14:paraId="3AFC36DB" w14:textId="49F4D7E7" w:rsidR="53388D09" w:rsidRDefault="53388D09">
            <w:pPr>
              <w:rPr>
                <w:rFonts w:ascii="Arial" w:eastAsia="Arial" w:hAnsi="Arial" w:cs="Arial"/>
                <w:color w:val="000000" w:themeColor="text1"/>
                <w:sz w:val="20"/>
                <w:szCs w:val="20"/>
              </w:rPr>
            </w:pPr>
            <w:proofErr w:type="spellStart"/>
            <w:proofErr w:type="gramStart"/>
            <w:r w:rsidRPr="53388D09">
              <w:rPr>
                <w:rFonts w:ascii="Arial" w:eastAsia="Arial" w:hAnsi="Arial" w:cs="Arial"/>
                <w:color w:val="000000" w:themeColor="text1"/>
                <w:sz w:val="20"/>
                <w:szCs w:val="20"/>
              </w:rPr>
              <w:t>Ciskin</w:t>
            </w:r>
            <w:proofErr w:type="spellEnd"/>
            <w:r w:rsidRPr="53388D09">
              <w:rPr>
                <w:rFonts w:ascii="Arial" w:eastAsia="Arial" w:hAnsi="Arial" w:cs="Arial"/>
                <w:color w:val="000000" w:themeColor="text1"/>
                <w:sz w:val="20"/>
                <w:szCs w:val="20"/>
              </w:rPr>
              <w:t xml:space="preserve"> /</w:t>
            </w:r>
            <w:proofErr w:type="gramEnd"/>
            <w:r w:rsidRPr="53388D09">
              <w:rPr>
                <w:rFonts w:ascii="Arial" w:eastAsia="Arial" w:hAnsi="Arial" w:cs="Arial"/>
                <w:color w:val="000000" w:themeColor="text1"/>
                <w:sz w:val="20"/>
                <w:szCs w:val="20"/>
              </w:rPr>
              <w:t xml:space="preserve"> </w:t>
            </w:r>
            <w:proofErr w:type="spellStart"/>
            <w:r w:rsidRPr="53388D09">
              <w:rPr>
                <w:rFonts w:ascii="Arial" w:eastAsia="Arial" w:hAnsi="Arial" w:cs="Arial"/>
                <w:color w:val="000000" w:themeColor="text1"/>
                <w:sz w:val="20"/>
                <w:szCs w:val="20"/>
              </w:rPr>
              <w:t>Circular</w:t>
            </w:r>
            <w:proofErr w:type="spellEnd"/>
            <w:r w:rsidRPr="53388D09">
              <w:rPr>
                <w:rFonts w:ascii="Arial" w:eastAsia="Arial" w:hAnsi="Arial" w:cs="Arial"/>
                <w:color w:val="000000" w:themeColor="text1"/>
                <w:sz w:val="20"/>
                <w:szCs w:val="20"/>
              </w:rPr>
              <w:t xml:space="preserve"> </w:t>
            </w:r>
            <w:proofErr w:type="spellStart"/>
            <w:r w:rsidRPr="53388D09">
              <w:rPr>
                <w:rFonts w:ascii="Arial" w:eastAsia="Arial" w:hAnsi="Arial" w:cs="Arial"/>
                <w:color w:val="000000" w:themeColor="text1"/>
                <w:sz w:val="20"/>
                <w:szCs w:val="20"/>
              </w:rPr>
              <w:t>Facade</w:t>
            </w:r>
            <w:proofErr w:type="spellEnd"/>
            <w:r w:rsidRPr="53388D09">
              <w:rPr>
                <w:rFonts w:ascii="Arial" w:eastAsia="Arial" w:hAnsi="Arial" w:cs="Arial"/>
                <w:color w:val="000000" w:themeColor="text1"/>
                <w:sz w:val="20"/>
                <w:szCs w:val="20"/>
              </w:rPr>
              <w:t xml:space="preserve"> Company</w:t>
            </w:r>
          </w:p>
        </w:tc>
        <w:tc>
          <w:tcPr>
            <w:tcW w:w="4508" w:type="dxa"/>
          </w:tcPr>
          <w:p w14:paraId="733413DC" w14:textId="5340E154" w:rsidR="53388D09" w:rsidRDefault="53388D09">
            <w:pPr>
              <w:rPr>
                <w:rFonts w:ascii="Arial" w:eastAsia="Arial" w:hAnsi="Arial" w:cs="Arial"/>
                <w:color w:val="000000" w:themeColor="text1"/>
                <w:sz w:val="20"/>
                <w:szCs w:val="20"/>
              </w:rPr>
            </w:pPr>
            <w:proofErr w:type="spellStart"/>
            <w:r w:rsidRPr="53388D09">
              <w:rPr>
                <w:rFonts w:ascii="Arial" w:eastAsia="Arial" w:hAnsi="Arial" w:cs="Arial"/>
                <w:color w:val="000000" w:themeColor="text1"/>
                <w:sz w:val="20"/>
                <w:szCs w:val="20"/>
              </w:rPr>
              <w:t>Recycled</w:t>
            </w:r>
            <w:proofErr w:type="spellEnd"/>
            <w:r w:rsidRPr="53388D09">
              <w:rPr>
                <w:rFonts w:ascii="Arial" w:eastAsia="Arial" w:hAnsi="Arial" w:cs="Arial"/>
                <w:color w:val="000000" w:themeColor="text1"/>
                <w:sz w:val="20"/>
                <w:szCs w:val="20"/>
              </w:rPr>
              <w:t xml:space="preserve"> Building Centre</w:t>
            </w:r>
          </w:p>
        </w:tc>
      </w:tr>
      <w:tr w:rsidR="53388D09" w14:paraId="6922D0B8" w14:textId="77777777" w:rsidTr="2427505A">
        <w:trPr>
          <w:trHeight w:val="300"/>
        </w:trPr>
        <w:tc>
          <w:tcPr>
            <w:tcW w:w="4508" w:type="dxa"/>
          </w:tcPr>
          <w:p w14:paraId="026237AE" w14:textId="2F592A79" w:rsidR="53388D09" w:rsidRDefault="53388D09">
            <w:pPr>
              <w:rPr>
                <w:rFonts w:ascii="Arial" w:eastAsia="Arial" w:hAnsi="Arial" w:cs="Arial"/>
                <w:color w:val="000000" w:themeColor="text1"/>
                <w:sz w:val="20"/>
                <w:szCs w:val="20"/>
              </w:rPr>
            </w:pPr>
            <w:proofErr w:type="spellStart"/>
            <w:r w:rsidRPr="53388D09">
              <w:rPr>
                <w:rFonts w:ascii="Arial" w:eastAsia="Arial" w:hAnsi="Arial" w:cs="Arial"/>
                <w:color w:val="000000" w:themeColor="text1"/>
                <w:sz w:val="20"/>
                <w:szCs w:val="20"/>
              </w:rPr>
              <w:t>Sustainer</w:t>
            </w:r>
            <w:proofErr w:type="spellEnd"/>
          </w:p>
        </w:tc>
        <w:tc>
          <w:tcPr>
            <w:tcW w:w="4508" w:type="dxa"/>
          </w:tcPr>
          <w:p w14:paraId="443F37AD" w14:textId="57F56460" w:rsidR="53388D09" w:rsidRDefault="53388D09">
            <w:pPr>
              <w:rPr>
                <w:rFonts w:ascii="Arial" w:eastAsia="Arial" w:hAnsi="Arial" w:cs="Arial"/>
                <w:color w:val="000000" w:themeColor="text1"/>
                <w:sz w:val="20"/>
                <w:szCs w:val="20"/>
              </w:rPr>
            </w:pPr>
            <w:proofErr w:type="spellStart"/>
            <w:r w:rsidRPr="53388D09">
              <w:rPr>
                <w:rFonts w:ascii="Arial" w:eastAsia="Arial" w:hAnsi="Arial" w:cs="Arial"/>
                <w:color w:val="000000" w:themeColor="text1"/>
                <w:sz w:val="20"/>
                <w:szCs w:val="20"/>
              </w:rPr>
              <w:t>XFrame</w:t>
            </w:r>
            <w:proofErr w:type="spellEnd"/>
          </w:p>
        </w:tc>
      </w:tr>
      <w:tr w:rsidR="53388D09" w14:paraId="676191FE" w14:textId="77777777" w:rsidTr="2427505A">
        <w:trPr>
          <w:trHeight w:val="300"/>
        </w:trPr>
        <w:tc>
          <w:tcPr>
            <w:tcW w:w="4508" w:type="dxa"/>
          </w:tcPr>
          <w:p w14:paraId="176B7F27" w14:textId="1D6F7E40" w:rsidR="53388D09" w:rsidRDefault="53388D09">
            <w:pPr>
              <w:rPr>
                <w:rFonts w:ascii="Arial" w:eastAsia="Arial" w:hAnsi="Arial" w:cs="Arial"/>
                <w:color w:val="000000" w:themeColor="text1"/>
                <w:sz w:val="20"/>
                <w:szCs w:val="20"/>
              </w:rPr>
            </w:pPr>
            <w:proofErr w:type="spellStart"/>
            <w:r w:rsidRPr="53388D09">
              <w:rPr>
                <w:rFonts w:ascii="Arial" w:eastAsia="Arial" w:hAnsi="Arial" w:cs="Arial"/>
                <w:color w:val="000000" w:themeColor="text1"/>
                <w:sz w:val="20"/>
                <w:szCs w:val="20"/>
              </w:rPr>
              <w:t>Madopt</w:t>
            </w:r>
            <w:proofErr w:type="spellEnd"/>
          </w:p>
        </w:tc>
        <w:tc>
          <w:tcPr>
            <w:tcW w:w="4508" w:type="dxa"/>
          </w:tcPr>
          <w:p w14:paraId="6D433236" w14:textId="68CD1209" w:rsidR="53388D09" w:rsidRDefault="53388D09">
            <w:pPr>
              <w:rPr>
                <w:rFonts w:ascii="Arial" w:eastAsia="Arial" w:hAnsi="Arial" w:cs="Arial"/>
                <w:color w:val="000000" w:themeColor="text1"/>
                <w:sz w:val="20"/>
                <w:szCs w:val="20"/>
              </w:rPr>
            </w:pPr>
            <w:r w:rsidRPr="53388D09">
              <w:rPr>
                <w:rFonts w:ascii="Arial" w:eastAsia="Arial" w:hAnsi="Arial" w:cs="Arial"/>
                <w:color w:val="000000" w:themeColor="text1"/>
                <w:sz w:val="20"/>
                <w:szCs w:val="20"/>
              </w:rPr>
              <w:t xml:space="preserve">CSR </w:t>
            </w:r>
            <w:proofErr w:type="spellStart"/>
            <w:r w:rsidRPr="53388D09">
              <w:rPr>
                <w:rFonts w:ascii="Arial" w:eastAsia="Arial" w:hAnsi="Arial" w:cs="Arial"/>
                <w:color w:val="000000" w:themeColor="text1"/>
                <w:sz w:val="20"/>
                <w:szCs w:val="20"/>
              </w:rPr>
              <w:t>Gyprock</w:t>
            </w:r>
            <w:proofErr w:type="spellEnd"/>
            <w:r w:rsidRPr="53388D09">
              <w:rPr>
                <w:rFonts w:ascii="Arial" w:eastAsia="Arial" w:hAnsi="Arial" w:cs="Arial"/>
                <w:color w:val="000000" w:themeColor="text1"/>
                <w:sz w:val="20"/>
                <w:szCs w:val="20"/>
              </w:rPr>
              <w:t>™</w:t>
            </w:r>
          </w:p>
        </w:tc>
      </w:tr>
      <w:tr w:rsidR="53388D09" w14:paraId="623C111D" w14:textId="77777777" w:rsidTr="2427505A">
        <w:trPr>
          <w:trHeight w:val="300"/>
        </w:trPr>
        <w:tc>
          <w:tcPr>
            <w:tcW w:w="4508" w:type="dxa"/>
          </w:tcPr>
          <w:p w14:paraId="4A20E354" w14:textId="69F64F69" w:rsidR="53388D09" w:rsidRDefault="53388D09">
            <w:pPr>
              <w:rPr>
                <w:rFonts w:ascii="Arial" w:eastAsia="Arial" w:hAnsi="Arial" w:cs="Arial"/>
                <w:color w:val="000000" w:themeColor="text1"/>
                <w:sz w:val="20"/>
                <w:szCs w:val="20"/>
              </w:rPr>
            </w:pPr>
            <w:proofErr w:type="spellStart"/>
            <w:r w:rsidRPr="53388D09">
              <w:rPr>
                <w:rFonts w:ascii="Arial" w:eastAsia="Arial" w:hAnsi="Arial" w:cs="Arial"/>
                <w:color w:val="000000" w:themeColor="text1"/>
                <w:sz w:val="20"/>
                <w:szCs w:val="20"/>
              </w:rPr>
              <w:t>ReSource</w:t>
            </w:r>
            <w:proofErr w:type="spellEnd"/>
          </w:p>
        </w:tc>
        <w:tc>
          <w:tcPr>
            <w:tcW w:w="4508" w:type="dxa"/>
          </w:tcPr>
          <w:p w14:paraId="68A1E8A3" w14:textId="1507BAE8" w:rsidR="09C88987" w:rsidRDefault="09C88987">
            <w:pPr>
              <w:rPr>
                <w:rFonts w:ascii="Arial" w:eastAsia="Arial" w:hAnsi="Arial" w:cs="Arial"/>
                <w:color w:val="000000" w:themeColor="text1"/>
                <w:sz w:val="20"/>
                <w:szCs w:val="20"/>
              </w:rPr>
            </w:pPr>
            <w:proofErr w:type="spellStart"/>
            <w:r w:rsidRPr="53388D09">
              <w:rPr>
                <w:rFonts w:ascii="Arial" w:eastAsia="Arial" w:hAnsi="Arial" w:cs="Arial"/>
                <w:color w:val="000000" w:themeColor="text1"/>
                <w:sz w:val="20"/>
                <w:szCs w:val="20"/>
              </w:rPr>
              <w:t>R</w:t>
            </w:r>
            <w:r w:rsidR="53388D09" w:rsidRPr="53388D09">
              <w:rPr>
                <w:rFonts w:ascii="Arial" w:eastAsia="Arial" w:hAnsi="Arial" w:cs="Arial"/>
                <w:color w:val="000000" w:themeColor="text1"/>
                <w:sz w:val="20"/>
                <w:szCs w:val="20"/>
              </w:rPr>
              <w:t>egyp</w:t>
            </w:r>
            <w:proofErr w:type="spellEnd"/>
          </w:p>
        </w:tc>
      </w:tr>
      <w:tr w:rsidR="53388D09" w14:paraId="1300F92F" w14:textId="77777777" w:rsidTr="2427505A">
        <w:trPr>
          <w:trHeight w:val="300"/>
        </w:trPr>
        <w:tc>
          <w:tcPr>
            <w:tcW w:w="4508" w:type="dxa"/>
          </w:tcPr>
          <w:p w14:paraId="2149B707" w14:textId="22318269" w:rsidR="53388D09" w:rsidRDefault="53388D09">
            <w:pPr>
              <w:rPr>
                <w:rFonts w:ascii="Arial" w:eastAsia="Arial" w:hAnsi="Arial" w:cs="Arial"/>
                <w:color w:val="000000" w:themeColor="text1"/>
                <w:sz w:val="20"/>
                <w:szCs w:val="20"/>
              </w:rPr>
            </w:pPr>
            <w:r w:rsidRPr="53388D09">
              <w:rPr>
                <w:rFonts w:ascii="Arial" w:eastAsia="Arial" w:hAnsi="Arial" w:cs="Arial"/>
                <w:color w:val="000000" w:themeColor="text1"/>
                <w:sz w:val="20"/>
                <w:szCs w:val="20"/>
              </w:rPr>
              <w:t xml:space="preserve">GP Groot Circulaire </w:t>
            </w:r>
            <w:proofErr w:type="spellStart"/>
            <w:r w:rsidRPr="53388D09">
              <w:rPr>
                <w:rFonts w:ascii="Arial" w:eastAsia="Arial" w:hAnsi="Arial" w:cs="Arial"/>
                <w:color w:val="000000" w:themeColor="text1"/>
                <w:sz w:val="20"/>
                <w:szCs w:val="20"/>
              </w:rPr>
              <w:t>Bouwhub</w:t>
            </w:r>
            <w:proofErr w:type="spellEnd"/>
          </w:p>
        </w:tc>
        <w:tc>
          <w:tcPr>
            <w:tcW w:w="4508" w:type="dxa"/>
          </w:tcPr>
          <w:p w14:paraId="0CC1D59A" w14:textId="39170570" w:rsidR="53388D09" w:rsidRDefault="4C388C38" w:rsidP="2427505A">
            <w:pPr>
              <w:rPr>
                <w:rFonts w:ascii="Arial" w:eastAsia="Arial" w:hAnsi="Arial" w:cs="Arial"/>
                <w:color w:val="000000" w:themeColor="text1"/>
                <w:sz w:val="20"/>
                <w:szCs w:val="20"/>
              </w:rPr>
            </w:pPr>
            <w:proofErr w:type="spellStart"/>
            <w:r w:rsidRPr="2427505A">
              <w:rPr>
                <w:rFonts w:ascii="Arial" w:eastAsia="Arial" w:hAnsi="Arial" w:cs="Arial"/>
                <w:color w:val="000000" w:themeColor="text1"/>
                <w:sz w:val="20"/>
                <w:szCs w:val="20"/>
              </w:rPr>
              <w:t>Precycle</w:t>
            </w:r>
            <w:proofErr w:type="spellEnd"/>
          </w:p>
        </w:tc>
      </w:tr>
      <w:tr w:rsidR="53388D09" w14:paraId="7B73117C" w14:textId="77777777" w:rsidTr="2427505A">
        <w:trPr>
          <w:trHeight w:val="300"/>
        </w:trPr>
        <w:tc>
          <w:tcPr>
            <w:tcW w:w="4508" w:type="dxa"/>
          </w:tcPr>
          <w:p w14:paraId="2537ECC4" w14:textId="3422284A" w:rsidR="53388D09" w:rsidRDefault="53388D09">
            <w:pPr>
              <w:rPr>
                <w:rFonts w:ascii="Arial" w:eastAsia="Arial" w:hAnsi="Arial" w:cs="Arial"/>
                <w:color w:val="000000" w:themeColor="text1"/>
                <w:sz w:val="20"/>
                <w:szCs w:val="20"/>
              </w:rPr>
            </w:pPr>
            <w:r w:rsidRPr="53388D09">
              <w:rPr>
                <w:rFonts w:ascii="Arial" w:eastAsia="Arial" w:hAnsi="Arial" w:cs="Arial"/>
                <w:color w:val="000000" w:themeColor="text1"/>
                <w:sz w:val="20"/>
                <w:szCs w:val="20"/>
              </w:rPr>
              <w:t>Bouwkringloop</w:t>
            </w:r>
          </w:p>
        </w:tc>
        <w:tc>
          <w:tcPr>
            <w:tcW w:w="4508" w:type="dxa"/>
          </w:tcPr>
          <w:p w14:paraId="43D77A69" w14:textId="7663FAC9" w:rsidR="53388D09" w:rsidRDefault="09A1B301" w:rsidP="2427505A">
            <w:pPr>
              <w:rPr>
                <w:rFonts w:ascii="Arial" w:eastAsia="Arial" w:hAnsi="Arial" w:cs="Arial"/>
                <w:color w:val="000000" w:themeColor="text1"/>
                <w:sz w:val="20"/>
                <w:szCs w:val="20"/>
              </w:rPr>
            </w:pPr>
            <w:proofErr w:type="spellStart"/>
            <w:r w:rsidRPr="2427505A">
              <w:rPr>
                <w:rFonts w:ascii="Arial" w:eastAsia="Arial" w:hAnsi="Arial" w:cs="Arial"/>
                <w:color w:val="000000" w:themeColor="text1"/>
                <w:sz w:val="20"/>
                <w:szCs w:val="20"/>
              </w:rPr>
              <w:t>Koskela</w:t>
            </w:r>
            <w:proofErr w:type="spellEnd"/>
          </w:p>
        </w:tc>
      </w:tr>
      <w:tr w:rsidR="53388D09" w14:paraId="6213862E" w14:textId="77777777" w:rsidTr="2427505A">
        <w:trPr>
          <w:trHeight w:val="300"/>
        </w:trPr>
        <w:tc>
          <w:tcPr>
            <w:tcW w:w="4508" w:type="dxa"/>
          </w:tcPr>
          <w:p w14:paraId="558AEE91" w14:textId="0C1DAE70" w:rsidR="53388D09" w:rsidRDefault="53388D09">
            <w:pPr>
              <w:rPr>
                <w:rFonts w:ascii="Arial" w:eastAsia="Arial" w:hAnsi="Arial" w:cs="Arial"/>
                <w:color w:val="000000" w:themeColor="text1"/>
                <w:sz w:val="20"/>
                <w:szCs w:val="20"/>
              </w:rPr>
            </w:pPr>
            <w:r w:rsidRPr="53388D09">
              <w:rPr>
                <w:rFonts w:ascii="Arial" w:eastAsia="Arial" w:hAnsi="Arial" w:cs="Arial"/>
                <w:color w:val="000000" w:themeColor="text1"/>
                <w:sz w:val="20"/>
                <w:szCs w:val="20"/>
              </w:rPr>
              <w:t>Dusseldorp Infra, Sloop en Milieutechniek</w:t>
            </w:r>
          </w:p>
        </w:tc>
        <w:tc>
          <w:tcPr>
            <w:tcW w:w="4508" w:type="dxa"/>
          </w:tcPr>
          <w:p w14:paraId="33C0C560" w14:textId="08DA149F" w:rsidR="53388D09" w:rsidRDefault="5314501F" w:rsidP="2427505A">
            <w:pPr>
              <w:rPr>
                <w:rFonts w:ascii="Arial" w:eastAsia="Arial" w:hAnsi="Arial" w:cs="Arial"/>
                <w:color w:val="000000" w:themeColor="text1"/>
                <w:sz w:val="20"/>
                <w:szCs w:val="20"/>
              </w:rPr>
            </w:pPr>
            <w:proofErr w:type="spellStart"/>
            <w:r w:rsidRPr="2427505A">
              <w:rPr>
                <w:rFonts w:ascii="Arial" w:eastAsia="Arial" w:hAnsi="Arial" w:cs="Arial"/>
                <w:color w:val="000000" w:themeColor="text1"/>
                <w:sz w:val="20"/>
                <w:szCs w:val="20"/>
              </w:rPr>
              <w:t>Cultivated</w:t>
            </w:r>
            <w:proofErr w:type="spellEnd"/>
          </w:p>
        </w:tc>
      </w:tr>
      <w:tr w:rsidR="53388D09" w14:paraId="244A855E" w14:textId="77777777" w:rsidTr="2427505A">
        <w:trPr>
          <w:trHeight w:val="300"/>
        </w:trPr>
        <w:tc>
          <w:tcPr>
            <w:tcW w:w="4508" w:type="dxa"/>
          </w:tcPr>
          <w:p w14:paraId="309F31B2" w14:textId="1B9D6D0F" w:rsidR="53388D09" w:rsidRDefault="53388D09">
            <w:pPr>
              <w:rPr>
                <w:rFonts w:ascii="Arial" w:eastAsia="Arial" w:hAnsi="Arial" w:cs="Arial"/>
                <w:color w:val="000000" w:themeColor="text1"/>
                <w:sz w:val="20"/>
                <w:szCs w:val="20"/>
              </w:rPr>
            </w:pPr>
            <w:r w:rsidRPr="53388D09">
              <w:rPr>
                <w:rFonts w:ascii="Arial" w:eastAsia="Arial" w:hAnsi="Arial" w:cs="Arial"/>
                <w:color w:val="000000" w:themeColor="text1"/>
                <w:sz w:val="20"/>
                <w:szCs w:val="20"/>
              </w:rPr>
              <w:t>CIRCQ</w:t>
            </w:r>
          </w:p>
        </w:tc>
        <w:tc>
          <w:tcPr>
            <w:tcW w:w="4508" w:type="dxa"/>
          </w:tcPr>
          <w:p w14:paraId="3EEECD02" w14:textId="3ADD15A6" w:rsidR="53388D09" w:rsidRPr="001B2CAF" w:rsidRDefault="3DA266EC" w:rsidP="2427505A">
            <w:pPr>
              <w:rPr>
                <w:rFonts w:ascii="Arial" w:eastAsia="Arial" w:hAnsi="Arial" w:cs="Arial"/>
                <w:color w:val="000000" w:themeColor="text1"/>
                <w:sz w:val="20"/>
                <w:szCs w:val="20"/>
              </w:rPr>
            </w:pPr>
            <w:proofErr w:type="spellStart"/>
            <w:r w:rsidRPr="2427505A">
              <w:rPr>
                <w:rFonts w:ascii="Arial" w:eastAsia="Arial" w:hAnsi="Arial" w:cs="Arial"/>
                <w:color w:val="000000" w:themeColor="text1"/>
                <w:sz w:val="20"/>
                <w:szCs w:val="20"/>
              </w:rPr>
              <w:t>ResiLoop</w:t>
            </w:r>
            <w:proofErr w:type="spellEnd"/>
          </w:p>
        </w:tc>
      </w:tr>
      <w:tr w:rsidR="53388D09" w14:paraId="5B315874" w14:textId="77777777" w:rsidTr="2427505A">
        <w:trPr>
          <w:trHeight w:val="300"/>
        </w:trPr>
        <w:tc>
          <w:tcPr>
            <w:tcW w:w="4508" w:type="dxa"/>
          </w:tcPr>
          <w:p w14:paraId="057A3EBC" w14:textId="49BE883C" w:rsidR="53388D09" w:rsidRDefault="53388D09">
            <w:pPr>
              <w:rPr>
                <w:rFonts w:ascii="Arial" w:eastAsia="Arial" w:hAnsi="Arial" w:cs="Arial"/>
                <w:color w:val="000000" w:themeColor="text1"/>
                <w:sz w:val="20"/>
                <w:szCs w:val="20"/>
              </w:rPr>
            </w:pPr>
            <w:proofErr w:type="spellStart"/>
            <w:proofErr w:type="gramStart"/>
            <w:r w:rsidRPr="53388D09">
              <w:rPr>
                <w:rFonts w:ascii="Arial" w:eastAsia="Arial" w:hAnsi="Arial" w:cs="Arial"/>
                <w:color w:val="000000" w:themeColor="text1"/>
                <w:sz w:val="20"/>
                <w:szCs w:val="20"/>
              </w:rPr>
              <w:t>ecoDynamic</w:t>
            </w:r>
            <w:proofErr w:type="spellEnd"/>
            <w:proofErr w:type="gramEnd"/>
          </w:p>
        </w:tc>
        <w:tc>
          <w:tcPr>
            <w:tcW w:w="4508" w:type="dxa"/>
          </w:tcPr>
          <w:p w14:paraId="45F772F9" w14:textId="76023FA1" w:rsidR="53388D09" w:rsidRDefault="53388D09" w:rsidP="53388D09">
            <w:pPr>
              <w:rPr>
                <w:rFonts w:ascii="Arial" w:eastAsia="Arial" w:hAnsi="Arial" w:cs="Arial"/>
                <w:color w:val="000000" w:themeColor="text1"/>
                <w:sz w:val="20"/>
                <w:szCs w:val="20"/>
              </w:rPr>
            </w:pPr>
          </w:p>
        </w:tc>
      </w:tr>
    </w:tbl>
    <w:p w14:paraId="6F62BBF7" w14:textId="77777777" w:rsidR="001B2CAF" w:rsidRDefault="001B2CAF" w:rsidP="3B07E28A">
      <w:pPr>
        <w:spacing w:line="276" w:lineRule="auto"/>
        <w:jc w:val="both"/>
        <w:rPr>
          <w:rFonts w:ascii="Aptos" w:eastAsia="Aptos" w:hAnsi="Aptos" w:cs="Aptos"/>
          <w:lang w:val="en-US"/>
        </w:rPr>
      </w:pPr>
    </w:p>
    <w:p w14:paraId="13BC7497" w14:textId="6E668E01" w:rsidR="3865BB5D" w:rsidRPr="0011715E" w:rsidRDefault="15A98772" w:rsidP="3B07E28A">
      <w:pPr>
        <w:spacing w:line="276" w:lineRule="auto"/>
        <w:jc w:val="both"/>
        <w:rPr>
          <w:rFonts w:ascii="Aptos" w:eastAsia="Aptos" w:hAnsi="Aptos" w:cs="Aptos"/>
          <w:lang w:val="en-US"/>
        </w:rPr>
      </w:pPr>
      <w:r w:rsidRPr="3B07E28A">
        <w:rPr>
          <w:rFonts w:ascii="Aptos" w:eastAsia="Aptos" w:hAnsi="Aptos" w:cs="Aptos"/>
          <w:lang w:val="en-US"/>
        </w:rPr>
        <w:t>In Australia, we have found that the market is largely dominated by major players, particularly in implementing recycling strategies. Examples include collecting steel scrap to produce “sustainable steel,” and recycling plastics into pipes. We also find that these companies tend to be more vertically integrated, with business activities spanning collection, recycling, remanufacturing, and distribution.</w:t>
      </w:r>
      <w:r w:rsidR="4C6DB3B2" w:rsidRPr="3B07E28A">
        <w:rPr>
          <w:rFonts w:ascii="Aptos" w:eastAsia="Aptos" w:hAnsi="Aptos" w:cs="Aptos"/>
          <w:lang w:val="en-US"/>
        </w:rPr>
        <w:t xml:space="preserve"> </w:t>
      </w:r>
      <w:r w:rsidR="0E0D6EB9" w:rsidRPr="3B07E28A">
        <w:rPr>
          <w:rFonts w:ascii="Aptos" w:eastAsia="Aptos" w:hAnsi="Aptos" w:cs="Aptos"/>
          <w:lang w:val="en-US"/>
        </w:rPr>
        <w:t xml:space="preserve">The real estate market in Australia is almost entirely commercially driven, with minimal public ownership of housing stock, therefore, there is less </w:t>
      </w:r>
      <w:r w:rsidR="71FAF291" w:rsidRPr="3B07E28A">
        <w:rPr>
          <w:rFonts w:ascii="Aptos" w:eastAsia="Aptos" w:hAnsi="Aptos" w:cs="Aptos"/>
          <w:lang w:val="en-US"/>
        </w:rPr>
        <w:t>capacity for public actors to steer construction practices</w:t>
      </w:r>
      <w:r w:rsidR="5B0CA516" w:rsidRPr="3B07E28A">
        <w:rPr>
          <w:rFonts w:ascii="Aptos" w:eastAsia="Aptos" w:hAnsi="Aptos" w:cs="Aptos"/>
          <w:lang w:val="en-US"/>
        </w:rPr>
        <w:t xml:space="preserve"> through procurement</w:t>
      </w:r>
      <w:r w:rsidR="71FAF291" w:rsidRPr="3B07E28A">
        <w:rPr>
          <w:rFonts w:ascii="Aptos" w:eastAsia="Aptos" w:hAnsi="Aptos" w:cs="Aptos"/>
          <w:lang w:val="en-US"/>
        </w:rPr>
        <w:t xml:space="preserve">, while </w:t>
      </w:r>
      <w:r w:rsidR="148E38D3" w:rsidRPr="3B07E28A">
        <w:rPr>
          <w:rFonts w:ascii="Aptos" w:eastAsia="Aptos" w:hAnsi="Aptos" w:cs="Aptos"/>
          <w:lang w:val="en-US"/>
        </w:rPr>
        <w:t xml:space="preserve">bigger commercial developers hold </w:t>
      </w:r>
      <w:r w:rsidR="5B0CA516" w:rsidRPr="3B07E28A">
        <w:rPr>
          <w:rFonts w:ascii="Aptos" w:eastAsia="Aptos" w:hAnsi="Aptos" w:cs="Aptos"/>
          <w:lang w:val="en-US"/>
        </w:rPr>
        <w:t>greater influence</w:t>
      </w:r>
      <w:r w:rsidR="0E0D6EB9" w:rsidRPr="3B07E28A">
        <w:rPr>
          <w:rFonts w:ascii="Aptos" w:eastAsia="Aptos" w:hAnsi="Aptos" w:cs="Aptos"/>
          <w:lang w:val="en-US"/>
        </w:rPr>
        <w:t>.</w:t>
      </w:r>
    </w:p>
    <w:p w14:paraId="6819D5C5" w14:textId="7D25B1E6" w:rsidR="3865BB5D" w:rsidRPr="001E1CEB" w:rsidRDefault="15A98772" w:rsidP="3B07E28A">
      <w:pPr>
        <w:spacing w:line="276" w:lineRule="auto"/>
        <w:jc w:val="both"/>
        <w:rPr>
          <w:rFonts w:ascii="Aptos" w:eastAsia="Aptos" w:hAnsi="Aptos" w:cs="Aptos"/>
          <w:lang w:val="en-US"/>
        </w:rPr>
      </w:pPr>
      <w:r w:rsidRPr="3B07E28A">
        <w:rPr>
          <w:rFonts w:ascii="Aptos" w:eastAsia="Aptos" w:hAnsi="Aptos" w:cs="Aptos"/>
          <w:lang w:val="en-US"/>
        </w:rPr>
        <w:t xml:space="preserve">In the Netherlands, </w:t>
      </w:r>
      <w:r w:rsidR="2940B31F" w:rsidRPr="3B07E28A">
        <w:rPr>
          <w:rFonts w:ascii="Aptos" w:eastAsia="Aptos" w:hAnsi="Aptos" w:cs="Aptos"/>
          <w:lang w:val="en-US"/>
        </w:rPr>
        <w:t xml:space="preserve">instead, </w:t>
      </w:r>
      <w:r w:rsidRPr="3B07E28A">
        <w:rPr>
          <w:rFonts w:ascii="Aptos" w:eastAsia="Aptos" w:hAnsi="Aptos" w:cs="Aptos"/>
          <w:lang w:val="en-US"/>
        </w:rPr>
        <w:t xml:space="preserve">we observe </w:t>
      </w:r>
      <w:r w:rsidR="2940B31F" w:rsidRPr="3B07E28A">
        <w:rPr>
          <w:rFonts w:ascii="Aptos" w:eastAsia="Aptos" w:hAnsi="Aptos" w:cs="Aptos"/>
          <w:lang w:val="en-US"/>
        </w:rPr>
        <w:t xml:space="preserve">stronger </w:t>
      </w:r>
      <w:r w:rsidR="7E4B3882" w:rsidRPr="3B07E28A">
        <w:rPr>
          <w:rFonts w:ascii="Aptos" w:eastAsia="Aptos" w:hAnsi="Aptos" w:cs="Aptos"/>
          <w:lang w:val="en-US"/>
        </w:rPr>
        <w:t>engagement by industrial associations and collaboration between SMEs</w:t>
      </w:r>
      <w:r w:rsidRPr="3B07E28A">
        <w:rPr>
          <w:rFonts w:ascii="Aptos" w:eastAsia="Aptos" w:hAnsi="Aptos" w:cs="Aptos"/>
          <w:lang w:val="en-US"/>
        </w:rPr>
        <w:t xml:space="preserve">. For example, in aluminum recycling, multiple firms are involved, with different parties responsible for specific stages of the recycling process. We also observe more cooperatives in the Netherlands, such as </w:t>
      </w:r>
      <w:proofErr w:type="spellStart"/>
      <w:r w:rsidRPr="3B07E28A">
        <w:rPr>
          <w:rFonts w:ascii="Aptos" w:eastAsia="Aptos" w:hAnsi="Aptos" w:cs="Aptos"/>
          <w:lang w:val="en-US"/>
        </w:rPr>
        <w:t>Cirkelstad</w:t>
      </w:r>
      <w:proofErr w:type="spellEnd"/>
      <w:r w:rsidRPr="3B07E28A">
        <w:rPr>
          <w:rFonts w:ascii="Aptos" w:eastAsia="Aptos" w:hAnsi="Aptos" w:cs="Aptos"/>
          <w:lang w:val="en-US"/>
        </w:rPr>
        <w:t>, which bring together public and private actors, including businesses and municipalities.</w:t>
      </w:r>
      <w:r w:rsidR="5CAD1311" w:rsidRPr="3B07E28A">
        <w:rPr>
          <w:rFonts w:ascii="Aptos" w:eastAsia="Aptos" w:hAnsi="Aptos" w:cs="Aptos"/>
          <w:lang w:val="en-US"/>
        </w:rPr>
        <w:t xml:space="preserve"> In the real estate market,</w:t>
      </w:r>
      <w:r w:rsidR="412C6202" w:rsidRPr="3B07E28A">
        <w:rPr>
          <w:rFonts w:ascii="Aptos" w:eastAsia="Aptos" w:hAnsi="Aptos" w:cs="Aptos"/>
          <w:lang w:val="en-US"/>
        </w:rPr>
        <w:t xml:space="preserve"> </w:t>
      </w:r>
      <w:r w:rsidR="5CAD1311" w:rsidRPr="3B07E28A">
        <w:rPr>
          <w:rFonts w:ascii="Aptos" w:eastAsia="Aptos" w:hAnsi="Aptos" w:cs="Aptos"/>
          <w:lang w:val="en-US"/>
        </w:rPr>
        <w:t>Netherlands has a significant proportion of public and social housing, allowing public authorities to act as key drivers of circular construction through procurement and regulatory initiatives.</w:t>
      </w:r>
    </w:p>
    <w:p w14:paraId="23775F7E" w14:textId="5E090F17" w:rsidR="00D24BC2" w:rsidRPr="00F04087" w:rsidRDefault="43A3E29D" w:rsidP="00F04087">
      <w:pPr>
        <w:pStyle w:val="ListParagraph"/>
        <w:numPr>
          <w:ilvl w:val="0"/>
          <w:numId w:val="4"/>
        </w:numPr>
        <w:jc w:val="both"/>
        <w:rPr>
          <w:b/>
          <w:bCs/>
          <w:lang w:val="en-US"/>
        </w:rPr>
      </w:pPr>
      <w:r w:rsidRPr="00F04087">
        <w:rPr>
          <w:b/>
          <w:bCs/>
          <w:lang w:val="en-US"/>
        </w:rPr>
        <w:t xml:space="preserve">Commonalities </w:t>
      </w:r>
      <w:r w:rsidR="6D16F575" w:rsidRPr="00F04087">
        <w:rPr>
          <w:b/>
          <w:bCs/>
          <w:lang w:val="en-US"/>
        </w:rPr>
        <w:t>in p</w:t>
      </w:r>
      <w:r w:rsidR="0A9B46C4" w:rsidRPr="00F04087">
        <w:rPr>
          <w:b/>
          <w:bCs/>
          <w:lang w:val="en-US"/>
        </w:rPr>
        <w:t>latform implementation</w:t>
      </w:r>
    </w:p>
    <w:p w14:paraId="12260035" w14:textId="212C5757" w:rsidR="00B77EBD" w:rsidRPr="00E80FE3" w:rsidRDefault="5C2BB2EB" w:rsidP="00B77EBD">
      <w:pPr>
        <w:jc w:val="both"/>
        <w:rPr>
          <w:lang w:val="en-US"/>
        </w:rPr>
      </w:pPr>
      <w:r w:rsidRPr="3B07E28A">
        <w:rPr>
          <w:lang w:val="en-US"/>
        </w:rPr>
        <w:t xml:space="preserve">In both countries, </w:t>
      </w:r>
      <w:r w:rsidR="5CAD1311" w:rsidRPr="3B07E28A">
        <w:rPr>
          <w:lang w:val="en-US"/>
        </w:rPr>
        <w:t xml:space="preserve">we observe that </w:t>
      </w:r>
      <w:r w:rsidR="05898227" w:rsidRPr="3B07E28A">
        <w:rPr>
          <w:lang w:val="en-US"/>
        </w:rPr>
        <w:t xml:space="preserve">platform </w:t>
      </w:r>
      <w:r w:rsidRPr="3B07E28A">
        <w:rPr>
          <w:lang w:val="en-US"/>
        </w:rPr>
        <w:t xml:space="preserve">business models are exploratory in terms of circular economy </w:t>
      </w:r>
      <w:r w:rsidR="35F83701" w:rsidRPr="3B07E28A">
        <w:rPr>
          <w:lang w:val="en-US"/>
        </w:rPr>
        <w:t xml:space="preserve">value proposition. </w:t>
      </w:r>
      <w:r w:rsidR="2808561F" w:rsidRPr="3B07E28A">
        <w:rPr>
          <w:lang w:val="en-US"/>
        </w:rPr>
        <w:t xml:space="preserve">There is clear potential for digital platforms to enhance the reuse of construction products, as seen in pilot initiatives such as material marketplaces (e.g. Insert and Harvest Map in the Netherlands; </w:t>
      </w:r>
      <w:proofErr w:type="spellStart"/>
      <w:r w:rsidR="2808561F" w:rsidRPr="3B07E28A">
        <w:rPr>
          <w:lang w:val="en-US"/>
        </w:rPr>
        <w:t>Superyard</w:t>
      </w:r>
      <w:proofErr w:type="spellEnd"/>
      <w:r w:rsidR="2808561F" w:rsidRPr="3B07E28A">
        <w:rPr>
          <w:lang w:val="en-US"/>
        </w:rPr>
        <w:t xml:space="preserve"> in Australia). However, these models have yet to demonstrate sustained scalability or widespread industry adoption. </w:t>
      </w:r>
      <w:r w:rsidR="49A53FA0" w:rsidRPr="3B07E28A">
        <w:rPr>
          <w:lang w:val="en-US"/>
        </w:rPr>
        <w:t xml:space="preserve"> </w:t>
      </w:r>
      <w:r w:rsidR="4FF8C226" w:rsidRPr="3B07E28A">
        <w:rPr>
          <w:lang w:val="en-US"/>
        </w:rPr>
        <w:t>Moreover, p</w:t>
      </w:r>
      <w:r w:rsidR="35F83701" w:rsidRPr="3B07E28A">
        <w:rPr>
          <w:lang w:val="en-US"/>
        </w:rPr>
        <w:t xml:space="preserve">latforms for circular resource sharing and product-as-a-service models are desirable </w:t>
      </w:r>
      <w:r w:rsidR="4FF8C226" w:rsidRPr="3B07E28A">
        <w:rPr>
          <w:lang w:val="en-US"/>
        </w:rPr>
        <w:t>but remain as a niche practice.</w:t>
      </w:r>
      <w:r w:rsidR="5CAD1311" w:rsidRPr="3B07E28A">
        <w:rPr>
          <w:lang w:val="en-US"/>
        </w:rPr>
        <w:t xml:space="preserve"> </w:t>
      </w:r>
      <w:r w:rsidR="7181B621" w:rsidRPr="3B07E28A">
        <w:rPr>
          <w:lang w:val="en-US"/>
        </w:rPr>
        <w:t xml:space="preserve">Their uptake is often limited to demonstration projects or innovation-oriented firms, and constrained by systemic </w:t>
      </w:r>
      <w:r w:rsidR="7181B621" w:rsidRPr="3B07E28A">
        <w:rPr>
          <w:lang w:val="en-US"/>
        </w:rPr>
        <w:lastRenderedPageBreak/>
        <w:t xml:space="preserve">barriers such as fragmented supply chains, limited standardization, and uncertain economic incentives. </w:t>
      </w:r>
    </w:p>
    <w:p w14:paraId="0C5F566E" w14:textId="24ABCF98" w:rsidR="2323CEC8" w:rsidRDefault="31210494" w:rsidP="2323CEC8">
      <w:pPr>
        <w:jc w:val="both"/>
        <w:rPr>
          <w:lang w:val="en-US"/>
        </w:rPr>
      </w:pPr>
      <w:r w:rsidRPr="3B07E28A">
        <w:rPr>
          <w:lang w:val="en-US"/>
        </w:rPr>
        <w:t xml:space="preserve">On the other hand, </w:t>
      </w:r>
      <w:r w:rsidR="4D7C1CF6" w:rsidRPr="3B07E28A">
        <w:rPr>
          <w:lang w:val="en-US"/>
        </w:rPr>
        <w:t xml:space="preserve">a notable trend in both the Netherlands and Australia is the growing interest among construction supply chain stakeholders in developing semi-open digital ecosystems aimed at industrializing specific segments of the construction process. These platform initiatives are typically anchored around </w:t>
      </w:r>
      <w:bookmarkStart w:id="0" w:name="_Int_Kjw7CIHO"/>
      <w:r w:rsidR="4D7C1CF6" w:rsidRPr="3B07E28A">
        <w:rPr>
          <w:lang w:val="en-US"/>
        </w:rPr>
        <w:t>particular materials</w:t>
      </w:r>
      <w:bookmarkEnd w:id="0"/>
      <w:r w:rsidR="4D7C1CF6" w:rsidRPr="3B07E28A">
        <w:rPr>
          <w:lang w:val="en-US"/>
        </w:rPr>
        <w:t xml:space="preserve">, such as steel, </w:t>
      </w:r>
      <w:proofErr w:type="spellStart"/>
      <w:r w:rsidR="4D7C1CF6" w:rsidRPr="3B07E28A">
        <w:rPr>
          <w:lang w:val="en-US"/>
        </w:rPr>
        <w:t>aluminium</w:t>
      </w:r>
      <w:proofErr w:type="spellEnd"/>
      <w:r w:rsidR="4D7C1CF6" w:rsidRPr="3B07E28A">
        <w:rPr>
          <w:lang w:val="en-US"/>
        </w:rPr>
        <w:t xml:space="preserve">, or engineered timber; or based on certain construction typologies, such as modular and panelized systems. For instance, in the Netherlands, industrial consortia involved in modular housing have experimented with shared digital platforms to coordinate supply chains and track materials across lifecycle stages. Similarly, in Australia, commercial groups in the steel fabrication and modular building sectors are exploring digital coordination platforms. </w:t>
      </w:r>
      <w:r w:rsidR="6D3FE1EF" w:rsidRPr="3B07E28A">
        <w:rPr>
          <w:lang w:val="en-US"/>
        </w:rPr>
        <w:t>These types of platforms primarily focus on connecting product suppliers with demand-side actors, supporting circular principles such as design for disassembly, resource sharing, and waste reduction. While they demonstrate potential within defined value chains, there is limited evidence that they have scaled to address broader systemic gaps in the construction ecosystem or contribute meaningfully to higher-order circular goals like cross-project material reuse and building component recovery at scale.</w:t>
      </w:r>
    </w:p>
    <w:p w14:paraId="7681E0F3" w14:textId="169E05E4" w:rsidR="44F5816D" w:rsidRPr="00F04087" w:rsidRDefault="175842A8" w:rsidP="00F04087">
      <w:pPr>
        <w:pStyle w:val="ListParagraph"/>
        <w:numPr>
          <w:ilvl w:val="0"/>
          <w:numId w:val="4"/>
        </w:numPr>
        <w:jc w:val="both"/>
        <w:rPr>
          <w:b/>
          <w:bCs/>
          <w:lang w:val="en-US"/>
        </w:rPr>
      </w:pPr>
      <w:r w:rsidRPr="00F04087">
        <w:rPr>
          <w:b/>
          <w:bCs/>
          <w:lang w:val="en-US"/>
        </w:rPr>
        <w:t>Different</w:t>
      </w:r>
      <w:r w:rsidR="3F9D8609" w:rsidRPr="00F04087">
        <w:rPr>
          <w:b/>
          <w:bCs/>
          <w:lang w:val="en-US"/>
        </w:rPr>
        <w:t xml:space="preserve"> ecosystems shaping platform business models</w:t>
      </w:r>
      <w:r w:rsidRPr="00F04087">
        <w:rPr>
          <w:b/>
          <w:bCs/>
          <w:lang w:val="en-US"/>
        </w:rPr>
        <w:t xml:space="preserve"> </w:t>
      </w:r>
    </w:p>
    <w:p w14:paraId="6F86FB09" w14:textId="77DC2B14" w:rsidR="00480F85" w:rsidRPr="0039010D" w:rsidRDefault="00480F85" w:rsidP="00480F85">
      <w:pPr>
        <w:spacing w:line="276" w:lineRule="auto"/>
        <w:jc w:val="both"/>
        <w:rPr>
          <w:rFonts w:ascii="Aptos" w:eastAsia="Aptos" w:hAnsi="Aptos" w:cs="Aptos"/>
          <w:lang w:val="en-US"/>
        </w:rPr>
      </w:pPr>
      <w:r w:rsidRPr="0039010D">
        <w:rPr>
          <w:rFonts w:ascii="Aptos" w:eastAsia="Aptos" w:hAnsi="Aptos" w:cs="Aptos"/>
          <w:lang w:val="en-US"/>
        </w:rPr>
        <w:t xml:space="preserve">The comparison of Australian and Dutch cases shows that circular construction platform models are strongly shaped by local geographic, market and policy conditions. In Australia, the identified cases are dominated by recycling, resource recovery, and waste-to-product models. Their value proposition is usually linked to reducing landfill, lowering disposal costs, meeting sustainability requirements, and providing measurable recovery outcomes. This reflects a business model logic centered on material recovery and recycling, rather than on the direct reuse of whole building components. Reuse-oriented models do exist in Australia, but they appear more fragmented and locally bounded. Platform-type models such as </w:t>
      </w:r>
      <w:proofErr w:type="spellStart"/>
      <w:r w:rsidRPr="0039010D">
        <w:rPr>
          <w:rFonts w:ascii="Aptos" w:eastAsia="Aptos" w:hAnsi="Aptos" w:cs="Aptos"/>
          <w:lang w:val="en-US"/>
        </w:rPr>
        <w:t>Superyard</w:t>
      </w:r>
      <w:proofErr w:type="spellEnd"/>
      <w:r w:rsidRPr="0039010D">
        <w:rPr>
          <w:rFonts w:ascii="Aptos" w:eastAsia="Aptos" w:hAnsi="Aptos" w:cs="Aptos"/>
          <w:lang w:val="en-US"/>
        </w:rPr>
        <w:t xml:space="preserve"> and ASPIRE are present, but their function is often broader waste exchange or surplus-material matching across businesses and councils. </w:t>
      </w:r>
    </w:p>
    <w:p w14:paraId="2859737F" w14:textId="2D285748" w:rsidR="00480F85" w:rsidRPr="0039010D" w:rsidRDefault="00480F85" w:rsidP="00480F85">
      <w:pPr>
        <w:spacing w:line="276" w:lineRule="auto"/>
        <w:jc w:val="both"/>
        <w:rPr>
          <w:rFonts w:ascii="Aptos" w:eastAsia="Aptos" w:hAnsi="Aptos" w:cs="Aptos"/>
          <w:lang w:val="en-US"/>
        </w:rPr>
      </w:pPr>
      <w:r>
        <w:rPr>
          <w:rFonts w:ascii="Aptos" w:eastAsia="Aptos" w:hAnsi="Aptos" w:cs="Aptos"/>
          <w:lang w:val="en-US"/>
        </w:rPr>
        <w:t>In the Dutch case, a</w:t>
      </w:r>
      <w:r w:rsidRPr="0039010D">
        <w:rPr>
          <w:rFonts w:ascii="Aptos" w:eastAsia="Aptos" w:hAnsi="Aptos" w:cs="Aptos"/>
          <w:lang w:val="en-US"/>
        </w:rPr>
        <w:t xml:space="preserve">longside recycling and upcycling businesses, the Netherlands has a much broader range of reuse-oriented intermediaries. </w:t>
      </w:r>
      <w:r w:rsidR="00ED6DEA" w:rsidRPr="00ED6DEA">
        <w:rPr>
          <w:rFonts w:ascii="Aptos" w:eastAsia="Aptos" w:hAnsi="Aptos" w:cs="Aptos"/>
          <w:lang w:val="en-US"/>
        </w:rPr>
        <w:t>Digital platforms and material exchange systems make secondary materials visible and connect supply with demand, while urban mining and circular demolition actors recover components from donor buildings and prepare them for reuse. These are complemented by physical reuse hubs that store, process and redistribute materials, as well as information platforms and component-specific suppliers that support material passports, future reuse potential and circular product solutions.</w:t>
      </w:r>
      <w:r w:rsidR="00FE6C12">
        <w:rPr>
          <w:rFonts w:ascii="Aptos" w:eastAsia="Aptos" w:hAnsi="Aptos" w:cs="Aptos"/>
          <w:lang w:val="en-US"/>
        </w:rPr>
        <w:t xml:space="preserve"> </w:t>
      </w:r>
      <w:r w:rsidR="001A4183" w:rsidRPr="0039010D">
        <w:rPr>
          <w:rFonts w:ascii="Aptos" w:eastAsia="Aptos" w:hAnsi="Aptos" w:cs="Aptos"/>
          <w:lang w:val="en-US"/>
        </w:rPr>
        <w:t xml:space="preserve">This indicates that the Dutch landscape is not only more reuse-oriented, but also more functionally differentiated. Digital platforms, material </w:t>
      </w:r>
      <w:r w:rsidR="001A4183" w:rsidRPr="0039010D">
        <w:rPr>
          <w:rFonts w:ascii="Aptos" w:eastAsia="Aptos" w:hAnsi="Aptos" w:cs="Aptos"/>
          <w:lang w:val="en-US"/>
        </w:rPr>
        <w:lastRenderedPageBreak/>
        <w:t xml:space="preserve">passport systems, urban mining services, circular demolition actors and reuse hubs </w:t>
      </w:r>
      <w:r w:rsidR="001A4183">
        <w:rPr>
          <w:rFonts w:ascii="Aptos" w:eastAsia="Aptos" w:hAnsi="Aptos" w:cs="Aptos"/>
          <w:lang w:val="en-US"/>
        </w:rPr>
        <w:t xml:space="preserve">demonstrate more </w:t>
      </w:r>
      <w:r w:rsidR="0039010D">
        <w:rPr>
          <w:rFonts w:ascii="Aptos" w:eastAsia="Aptos" w:hAnsi="Aptos" w:cs="Aptos"/>
          <w:lang w:val="en-US"/>
        </w:rPr>
        <w:t xml:space="preserve">emerging </w:t>
      </w:r>
      <w:r w:rsidR="001A4183">
        <w:rPr>
          <w:rFonts w:ascii="Aptos" w:eastAsia="Aptos" w:hAnsi="Aptos" w:cs="Aptos"/>
          <w:lang w:val="en-US"/>
        </w:rPr>
        <w:t xml:space="preserve">functions such as </w:t>
      </w:r>
      <w:r w:rsidR="001A4183" w:rsidRPr="0039010D">
        <w:rPr>
          <w:rFonts w:ascii="Aptos" w:eastAsia="Aptos" w:hAnsi="Aptos" w:cs="Aptos"/>
          <w:lang w:val="en-US"/>
        </w:rPr>
        <w:t>identification, recovery, verification and redistribution of reusable building materials. In contrast to the Australian</w:t>
      </w:r>
      <w:r w:rsidR="0039010D">
        <w:rPr>
          <w:rFonts w:ascii="Aptos" w:eastAsia="Aptos" w:hAnsi="Aptos" w:cs="Aptos"/>
          <w:lang w:val="en-US"/>
        </w:rPr>
        <w:t xml:space="preserve"> cases that are more waste stream focused</w:t>
      </w:r>
      <w:r w:rsidR="001A4183" w:rsidRPr="0039010D">
        <w:rPr>
          <w:rFonts w:ascii="Aptos" w:eastAsia="Aptos" w:hAnsi="Aptos" w:cs="Aptos"/>
          <w:lang w:val="en-US"/>
        </w:rPr>
        <w:t xml:space="preserve">, the Dutch cases are more positioned around keeping components in use, circular procurement and </w:t>
      </w:r>
      <w:r w:rsidR="0039010D">
        <w:rPr>
          <w:rFonts w:ascii="Aptos" w:eastAsia="Aptos" w:hAnsi="Aptos" w:cs="Aptos"/>
          <w:lang w:val="en-US"/>
        </w:rPr>
        <w:t xml:space="preserve">supply chain </w:t>
      </w:r>
      <w:r w:rsidR="001A4183" w:rsidRPr="0039010D">
        <w:rPr>
          <w:rFonts w:ascii="Aptos" w:eastAsia="Aptos" w:hAnsi="Aptos" w:cs="Aptos"/>
          <w:lang w:val="en-US"/>
        </w:rPr>
        <w:t>collaborative structures.</w:t>
      </w:r>
    </w:p>
    <w:p w14:paraId="737738E4" w14:textId="77777777" w:rsidR="00516741" w:rsidRDefault="00480F85" w:rsidP="00480F85">
      <w:pPr>
        <w:spacing w:line="276" w:lineRule="auto"/>
        <w:jc w:val="both"/>
        <w:rPr>
          <w:rFonts w:ascii="Aptos" w:eastAsia="Aptos" w:hAnsi="Aptos" w:cs="Aptos"/>
          <w:lang w:val="en-US"/>
        </w:rPr>
      </w:pPr>
      <w:r w:rsidRPr="0039010D">
        <w:rPr>
          <w:rFonts w:ascii="Aptos" w:eastAsia="Aptos" w:hAnsi="Aptos" w:cs="Aptos"/>
          <w:lang w:val="en-US"/>
        </w:rPr>
        <w:t xml:space="preserve">The contrast between the two countries therefore suggests that circular platform business models cannot be understood through a universal hierarchy of circular strategies alone. In theory, reuse is often positioned above recycling because it preserves more product value. However, in the Australian context, geographic dispersion, long transport distances, and lower market density may make </w:t>
      </w:r>
      <w:proofErr w:type="gramStart"/>
      <w:r w:rsidRPr="0039010D">
        <w:rPr>
          <w:rFonts w:ascii="Aptos" w:eastAsia="Aptos" w:hAnsi="Aptos" w:cs="Aptos"/>
          <w:lang w:val="en-US"/>
        </w:rPr>
        <w:t>whole-component</w:t>
      </w:r>
      <w:proofErr w:type="gramEnd"/>
      <w:r w:rsidRPr="0039010D">
        <w:rPr>
          <w:rFonts w:ascii="Aptos" w:eastAsia="Aptos" w:hAnsi="Aptos" w:cs="Aptos"/>
          <w:lang w:val="en-US"/>
        </w:rPr>
        <w:t xml:space="preserve"> reuse difficult to scale economically. Under these conditions, recycling and waste-to-product models may offer a more realistic pathway for advancing circularity, especially when recovered materials can be processed into standardized construction inputs for domestic infrastructure or export-oriented supply chains. In the Dutch context, by contrast, high urban density, short distances between projects, stronger public procurement leverage and more developed circular infrastructure create more </w:t>
      </w:r>
      <w:proofErr w:type="spellStart"/>
      <w:r w:rsidRPr="0039010D">
        <w:rPr>
          <w:rFonts w:ascii="Aptos" w:eastAsia="Aptos" w:hAnsi="Aptos" w:cs="Aptos"/>
          <w:lang w:val="en-US"/>
        </w:rPr>
        <w:t>favourable</w:t>
      </w:r>
      <w:proofErr w:type="spellEnd"/>
      <w:r w:rsidRPr="0039010D">
        <w:rPr>
          <w:rFonts w:ascii="Aptos" w:eastAsia="Aptos" w:hAnsi="Aptos" w:cs="Aptos"/>
          <w:lang w:val="en-US"/>
        </w:rPr>
        <w:t xml:space="preserve"> conditions for platform-mediated reuse.</w:t>
      </w:r>
      <w:r w:rsidR="00516741">
        <w:rPr>
          <w:rFonts w:ascii="Aptos" w:eastAsia="Aptos" w:hAnsi="Aptos" w:cs="Aptos"/>
          <w:lang w:val="en-US"/>
        </w:rPr>
        <w:t xml:space="preserve"> </w:t>
      </w:r>
      <w:r w:rsidR="00ED6DEA">
        <w:rPr>
          <w:rFonts w:ascii="Aptos" w:eastAsia="Aptos" w:hAnsi="Aptos" w:cs="Aptos"/>
          <w:lang w:val="en-US"/>
        </w:rPr>
        <w:t>The</w:t>
      </w:r>
      <w:r w:rsidRPr="0039010D">
        <w:rPr>
          <w:rFonts w:ascii="Aptos" w:eastAsia="Aptos" w:hAnsi="Aptos" w:cs="Aptos"/>
          <w:lang w:val="en-US"/>
        </w:rPr>
        <w:t xml:space="preserve"> comparison </w:t>
      </w:r>
      <w:r w:rsidR="0039010D">
        <w:rPr>
          <w:rFonts w:ascii="Aptos" w:eastAsia="Aptos" w:hAnsi="Aptos" w:cs="Aptos"/>
          <w:lang w:val="en-US"/>
        </w:rPr>
        <w:t xml:space="preserve">of business model cases </w:t>
      </w:r>
      <w:r w:rsidRPr="0039010D">
        <w:rPr>
          <w:rFonts w:ascii="Aptos" w:eastAsia="Aptos" w:hAnsi="Aptos" w:cs="Aptos"/>
          <w:lang w:val="en-US"/>
        </w:rPr>
        <w:t xml:space="preserve">shows that circular economy strategies need to be selected in relation to local conditions. </w:t>
      </w:r>
    </w:p>
    <w:p w14:paraId="6370D23D" w14:textId="5740FEAE" w:rsidR="00480F85" w:rsidRPr="0039010D" w:rsidRDefault="00480F85" w:rsidP="00480F85">
      <w:pPr>
        <w:spacing w:line="276" w:lineRule="auto"/>
        <w:jc w:val="both"/>
        <w:rPr>
          <w:rFonts w:ascii="Aptos" w:eastAsia="Aptos" w:hAnsi="Aptos" w:cs="Aptos"/>
          <w:lang w:val="en-US"/>
        </w:rPr>
      </w:pPr>
      <w:r w:rsidRPr="0039010D">
        <w:rPr>
          <w:rFonts w:ascii="Aptos" w:eastAsia="Aptos" w:hAnsi="Aptos" w:cs="Aptos"/>
          <w:lang w:val="en-US"/>
        </w:rPr>
        <w:t>We therefore propose an analytical framework that first assesses the geographic, demographic, policy, logistics and market conditions of a given context, and then links these conditions to suitable circular business models. Such a framework can help researchers and practitioners move beyond predefined R-strategy hierarchies and identify which types of circular platforms, reuse hubs, recycling actors, material passport systems or product-service models are most appropriate for a specific national or regional setting.</w:t>
      </w:r>
    </w:p>
    <w:p w14:paraId="3B70839C" w14:textId="77777777" w:rsidR="00082A56" w:rsidRDefault="00082A56" w:rsidP="3B07E28A">
      <w:pPr>
        <w:jc w:val="both"/>
        <w:rPr>
          <w:rFonts w:ascii="Aptos" w:eastAsia="Aptos" w:hAnsi="Aptos" w:cs="Aptos"/>
          <w:lang w:val="en-US"/>
        </w:rPr>
      </w:pPr>
    </w:p>
    <w:p w14:paraId="08CEE21C" w14:textId="77777777" w:rsidR="00E8484A" w:rsidRPr="00E8484A" w:rsidRDefault="00E8484A" w:rsidP="00E8484A">
      <w:pPr>
        <w:jc w:val="both"/>
        <w:rPr>
          <w:b/>
          <w:bCs/>
          <w:lang w:val="en-US"/>
        </w:rPr>
      </w:pPr>
      <w:r w:rsidRPr="00E8484A">
        <w:rPr>
          <w:b/>
          <w:bCs/>
          <w:lang w:val="en-US"/>
        </w:rPr>
        <w:t>Contribution to Theory and Practice</w:t>
      </w:r>
    </w:p>
    <w:p w14:paraId="39D7DAB9" w14:textId="300EB61D" w:rsidR="00E8484A" w:rsidRPr="00E8484A" w:rsidRDefault="2A6C9EA2" w:rsidP="00E8484A">
      <w:pPr>
        <w:jc w:val="both"/>
        <w:rPr>
          <w:lang w:val="en-US"/>
        </w:rPr>
      </w:pPr>
      <w:r w:rsidRPr="3B07E28A">
        <w:rPr>
          <w:b/>
          <w:bCs/>
          <w:lang w:val="en-US"/>
        </w:rPr>
        <w:t>Theoretical Contribution:</w:t>
      </w:r>
      <w:r w:rsidRPr="3B07E28A">
        <w:rPr>
          <w:lang w:val="en-US"/>
        </w:rPr>
        <w:t xml:space="preserve"> </w:t>
      </w:r>
    </w:p>
    <w:p w14:paraId="3E30B465" w14:textId="0AE46BEF" w:rsidR="3E809D7F" w:rsidRDefault="3E809D7F" w:rsidP="2427505A">
      <w:pPr>
        <w:jc w:val="both"/>
        <w:rPr>
          <w:lang w:val="en-US"/>
        </w:rPr>
      </w:pPr>
      <w:r w:rsidRPr="2427505A">
        <w:rPr>
          <w:lang w:val="en-US"/>
        </w:rPr>
        <w:t xml:space="preserve">The research advances two main theoretical streams. First, it contributes to platform business model theory by demonstrating how the emergence, configuration, and viability of platform-based business models in construction are conditioned by national institutional, regulatory, geographic, and market environments. Much of the existing platform literature characterizes orchestration mechanisms, network effects, and value propositions as relatively context-independent properties of platforms </w:t>
      </w:r>
      <w:r w:rsidR="00A213C6">
        <w:rPr>
          <w:lang w:val="en-US"/>
        </w:rPr>
        <w:fldChar w:fldCharType="begin"/>
      </w:r>
      <w:r w:rsidR="00A213C6">
        <w:rPr>
          <w:lang w:val="en-US"/>
        </w:rPr>
        <w:instrText xml:space="preserve"> ADDIN ZOTERO_ITEM CSL_CITATION {"citationID":"vJ1k753I","properties":{"unsorted":false,"formattedCitation":"(Blackburn et al., 2023)","plainCitation":"(Blackburn et al., 2023)","noteIndex":0},"citationItems":[{"id":9632,"uris":["http://zotero.org/users/9219121/items/DGQGQUU7"],"itemData":{"id":9632,"type":"article-journal","abstract":"Digital platform technology enables circular business models that facilitate the reduction, reuse, and recycling of resources and materials across large ecosystems of platform actors. However, little is currently known about the inner workings of such platforms and how they are organized. Framing these platforms as meta-organizations, this study examines the orchestration mechanisms deployed by platform owners to facilitate economic value creation with a circular business model among a large group of actors. Building on an inductive analysis of 10 European platform organizations, this study identifies five meta-organizational orchestration mechanisms and develops an empirically grounded model that explains how the focal firm orchestrates value creation with a platform-based circular business model. This study advances the existing knowledge on orchestration mechanisms in platform-based meta-organizations in a circular economy context and highlights novel implications for theory and practice.","container-title":"Organization &amp; Environment","DOI":"10.1177/10860266221130717","ISSN":"1086-0266","issue":"2","language":"en","page":"253-281","publisher":"SAGE Publications Inc","source":"SAGE Journals","title":"Digital Platforms for the Circular Economy: Exploring Meta-Organizational Orchestration Mechanisms","title-short":"Digital Platforms for the Circular Economy","volume":"36","author":[{"family":"Blackburn","given":"Outi"},{"family":"Ritala","given":"Paavo"},{"family":"Keränen","given":"Joona"}],"issued":{"date-parts":[["2023",6,1]]}}}],"schema":"https://github.com/citation-style-language/schema/raw/master/csl-citation.json"} </w:instrText>
      </w:r>
      <w:r w:rsidR="00A213C6">
        <w:rPr>
          <w:lang w:val="en-US"/>
        </w:rPr>
        <w:fldChar w:fldCharType="separate"/>
      </w:r>
      <w:r w:rsidR="00A213C6" w:rsidRPr="00A213C6">
        <w:rPr>
          <w:rFonts w:ascii="Aptos" w:hAnsi="Aptos"/>
          <w:lang w:val="en-US"/>
        </w:rPr>
        <w:t>(Blackburn et al., 2023)</w:t>
      </w:r>
      <w:r w:rsidR="00A213C6">
        <w:rPr>
          <w:lang w:val="en-US"/>
        </w:rPr>
        <w:fldChar w:fldCharType="end"/>
      </w:r>
      <w:r w:rsidRPr="2427505A">
        <w:rPr>
          <w:lang w:val="en-US"/>
        </w:rPr>
        <w:t xml:space="preserve">. Our findings extend recent contingency-based accounts </w:t>
      </w:r>
      <w:r w:rsidR="00EE2176">
        <w:rPr>
          <w:lang w:val="en-US"/>
        </w:rPr>
        <w:fldChar w:fldCharType="begin"/>
      </w:r>
      <w:r w:rsidR="00EE2176">
        <w:rPr>
          <w:lang w:val="en-US"/>
        </w:rPr>
        <w:instrText xml:space="preserve"> ADDIN ZOTERO_ITEM CSL_CITATION {"citationID":"d2ESEgzm","properties":{"unsorted":false,"formattedCitation":"(Ding et al., 2026; Hijazi et al., 2025)","plainCitation":"(Ding et al., 2026; Hijazi et al., 2025)","noteIndex":0},"citationItems":[{"id":20379,"uris":["http://zotero.org/users/9219121/items/TE4JY638"],"itemData":{"id":20379,"type":"article-journal","abstract":"Digital platforms are increasingly promoted as key enablers of circular construction, yet empirical insight remains limited into incumbent supply chain actors’ needs and experiences with these platforms as emerging intermediaries. Addressing this gap, this study examines the perceptions of supply chain actors operating within the Dutch construction sector, drawing on 18 semi-structured interviews, a focus group workshop, and observations from two national circular digital transition programs. Building on existing research, digital platforms are conceptualized not merely as technical infrastructures, but as intermediaries embedded within existing supply chain practices and coordination arrangements, forming triadic relationships between supply and demand actors. Accordingly, the analysis is structured according to different intermediation needs across material flows, support flows, and systemic coordination. The findings indicate that digital platforms are widely expected to enhance supply-demand visibility and matchmaking, support compliance with evolving circularity-related KPIs, and facilitate cross-sector coordination. However, their adoption and perceived value vary substantially across actors, product types, and supply chain configurations, with persistent challenges in coordinating material logistics, accounting for environmental and social externalities and managing evolving platform power dynamics. The study contributes to construction management and circular supply chain research by advancing the concept of intermediaries for examining how digital platforms shape circular transitions. It further highlights the importance of more context-sensitive platform design and governance arrangements that respond to diverse intermediation needs and underlying platform dynamics in the transition to circular construction.","archive":"S903","citation-key":"dingDigitalPlatformsCircular2026","container-title":"Construction Management and Economics","DOI":"10.1080/01446193.2026.2666549","ISSN":"0144-6193","issue":"0","note":"_eprint: https://doi.org/10.1080/01446193.2026.2666549","page":"1-20","publisher":"Routledge","source":"Taylor and Francis+NEJM","title":"Digital platforms for circular construction: incumbent supply chain actors’ perceptions of emerging intermediaries in the Dutch context","title-short":"Digital platforms for circular construction","volume":"0","author":[{"family":"Ding","given":"Lu"},{"family":"Wang","given":"Tong"},{"family":"Chan","given":"Paul W."}],"issued":{"date-parts":[["2026",5,9]]}}},{"id":9854,"uris":["http://zotero.org/users/9219121/items/SFBC2TQE"],"itemData":{"id":9854,"type":"article-journal","archive":"D034","container-title":"Building Research &amp; Information","DOI":"10.1080/09613218.2025.2510270","ISSN":"0961-3218, 1466-4321","language":"en","license":"http://creativecommons.org/licenses/by/4.0/","page":"1-20","publisher":"Informa UK Limited","source":"Crossref","title":"A contingency approach to platform implementation: platform types, attributes, and value chain integration","title-short":"A contingency approach to platform implementation","author":[{"family":"Hijazi","given":"Amer A."},{"family":"Das","given":"Priyadarshini"},{"family":"Li","given":"Yimin"},{"family":"Moehler","given":"Robert C."},{"family":"Maxwell","given":"Duncan W."}],"issued":{"date-parts":[["2025",6,11]]}}}],"schema":"https://github.com/citation-style-language/schema/raw/master/csl-citation.json"} </w:instrText>
      </w:r>
      <w:r w:rsidR="00EE2176">
        <w:rPr>
          <w:lang w:val="en-US"/>
        </w:rPr>
        <w:fldChar w:fldCharType="separate"/>
      </w:r>
      <w:r w:rsidR="00EE2176" w:rsidRPr="00EE2176">
        <w:rPr>
          <w:rFonts w:ascii="Aptos" w:hAnsi="Aptos"/>
          <w:lang w:val="en-US"/>
        </w:rPr>
        <w:t>(Ding et al., 2026; Hijazi et al., 2025)</w:t>
      </w:r>
      <w:r w:rsidR="00EE2176">
        <w:rPr>
          <w:lang w:val="en-US"/>
        </w:rPr>
        <w:fldChar w:fldCharType="end"/>
      </w:r>
      <w:r w:rsidRPr="2427505A">
        <w:rPr>
          <w:lang w:val="en-US"/>
        </w:rPr>
        <w:t xml:space="preserve"> from the firm and platform level to the national ecosystem level, showing that the viability of particular platform business models depends on a stack of enabling </w:t>
      </w:r>
      <w:r w:rsidRPr="2427505A">
        <w:rPr>
          <w:lang w:val="en-US"/>
        </w:rPr>
        <w:lastRenderedPageBreak/>
        <w:t>conditions external to the platform itself. Second, the study contributes to sustainability transitions theory by providing an empirically grounded comparative account of how policy bindingness</w:t>
      </w:r>
      <w:r w:rsidR="4D8E374D" w:rsidRPr="2427505A">
        <w:rPr>
          <w:lang w:val="en-US"/>
        </w:rPr>
        <w:t xml:space="preserve"> and </w:t>
      </w:r>
      <w:r w:rsidRPr="2427505A">
        <w:rPr>
          <w:lang w:val="en-US"/>
        </w:rPr>
        <w:t xml:space="preserve">market </w:t>
      </w:r>
      <w:r w:rsidR="5D1AE706" w:rsidRPr="2427505A">
        <w:rPr>
          <w:lang w:val="en-US"/>
        </w:rPr>
        <w:t xml:space="preserve">condition </w:t>
      </w:r>
      <w:r w:rsidRPr="2427505A">
        <w:rPr>
          <w:lang w:val="en-US"/>
        </w:rPr>
        <w:t xml:space="preserve">shape the niche-level innovations that emerge in different national systems. </w:t>
      </w:r>
      <w:r w:rsidR="3FF4FF0B" w:rsidRPr="2427505A">
        <w:rPr>
          <w:lang w:val="en-US"/>
        </w:rPr>
        <w:t>By contrasting two countries with similar transition drivers but divergent enabling conditions, the study complicates normative context-independent framings in circular economy discourse (such as the universal prioritization of reuse over recycling) and supports a more context-sensitive theorization of transition pathways.</w:t>
      </w:r>
      <w:r w:rsidRPr="2427505A">
        <w:rPr>
          <w:lang w:val="en-US"/>
        </w:rPr>
        <w:t xml:space="preserve"> Methodologically, the use of an MDSD comparative strategy and analytical </w:t>
      </w:r>
      <w:r w:rsidR="00F04087" w:rsidRPr="2427505A">
        <w:rPr>
          <w:lang w:val="en-US"/>
        </w:rPr>
        <w:t>generalization</w:t>
      </w:r>
      <w:r w:rsidRPr="2427505A">
        <w:rPr>
          <w:lang w:val="en-US"/>
        </w:rPr>
        <w:t xml:space="preserve"> also provides an example for researchers, demonstrating how international cases can yield insights with relevance beyond the immediate cases.</w:t>
      </w:r>
    </w:p>
    <w:p w14:paraId="21146DBF" w14:textId="2F23D98E" w:rsidR="2A6C9EA2" w:rsidRDefault="2A6C9EA2" w:rsidP="3B07E28A">
      <w:pPr>
        <w:spacing w:line="276" w:lineRule="auto"/>
        <w:jc w:val="both"/>
        <w:rPr>
          <w:lang w:val="en-US"/>
        </w:rPr>
      </w:pPr>
      <w:r w:rsidRPr="3B07E28A">
        <w:rPr>
          <w:b/>
          <w:bCs/>
          <w:lang w:val="en-US"/>
        </w:rPr>
        <w:t>Practical Contribution:</w:t>
      </w:r>
      <w:r w:rsidRPr="3B07E28A">
        <w:rPr>
          <w:lang w:val="en-US"/>
        </w:rPr>
        <w:t xml:space="preserve"> For policymakers, industry practitioners, and technology developers, this study will offer actionable lessons on leveraging platform models to achieve circular economy goals in construction. Policymakers, for instance, can learn how different regulatory approaches impact the effectiveness of digital platforms. The research will likely recommend policy </w:t>
      </w:r>
      <w:r w:rsidR="469EDE9C" w:rsidRPr="3B07E28A">
        <w:rPr>
          <w:lang w:val="en-US"/>
        </w:rPr>
        <w:t xml:space="preserve">and industrial </w:t>
      </w:r>
      <w:r w:rsidRPr="3B07E28A">
        <w:rPr>
          <w:lang w:val="en-US"/>
        </w:rPr>
        <w:t xml:space="preserve">actions such as developing open data standards for material passports and </w:t>
      </w:r>
      <w:r w:rsidR="469EDE9C" w:rsidRPr="3B07E28A">
        <w:rPr>
          <w:lang w:val="en-US"/>
        </w:rPr>
        <w:t xml:space="preserve">digital </w:t>
      </w:r>
      <w:r w:rsidRPr="3B07E28A">
        <w:rPr>
          <w:lang w:val="en-US"/>
        </w:rPr>
        <w:t>marketplaces to ensure interoperability</w:t>
      </w:r>
      <w:r w:rsidR="469EDE9C" w:rsidRPr="3B07E28A">
        <w:rPr>
          <w:lang w:val="en-US"/>
        </w:rPr>
        <w:t xml:space="preserve"> and </w:t>
      </w:r>
      <w:r w:rsidR="50F7C42F" w:rsidRPr="3B07E28A">
        <w:rPr>
          <w:lang w:val="en-US"/>
        </w:rPr>
        <w:t>equity and</w:t>
      </w:r>
      <w:r w:rsidRPr="3B07E28A">
        <w:rPr>
          <w:lang w:val="en-US"/>
        </w:rPr>
        <w:t xml:space="preserve"> aligning circular economy goals with digital transformation initiatives in construction.</w:t>
      </w:r>
    </w:p>
    <w:p w14:paraId="070354C1" w14:textId="77777777" w:rsidR="00E04130" w:rsidRDefault="00E04130" w:rsidP="00E04130">
      <w:pPr>
        <w:jc w:val="both"/>
        <w:rPr>
          <w:lang w:val="en-US"/>
        </w:rPr>
      </w:pPr>
    </w:p>
    <w:p w14:paraId="2FC7F3BE" w14:textId="0A1C0868" w:rsidR="008B65B1" w:rsidRPr="00E8484A" w:rsidRDefault="008B65B1" w:rsidP="008B65B1">
      <w:pPr>
        <w:jc w:val="both"/>
        <w:rPr>
          <w:b/>
          <w:bCs/>
          <w:lang w:val="en-US"/>
        </w:rPr>
      </w:pPr>
      <w:r>
        <w:rPr>
          <w:b/>
          <w:bCs/>
          <w:lang w:val="en-US"/>
        </w:rPr>
        <w:t>Reference</w:t>
      </w:r>
    </w:p>
    <w:p w14:paraId="3C7DB7D7" w14:textId="77777777" w:rsidR="00516741" w:rsidRPr="00516741" w:rsidRDefault="00EF3813" w:rsidP="00516741">
      <w:pPr>
        <w:pStyle w:val="Bibliography"/>
        <w:spacing w:after="100" w:afterAutospacing="1" w:line="240" w:lineRule="auto"/>
        <w:ind w:left="0" w:firstLine="0"/>
        <w:rPr>
          <w:lang w:val="en-US"/>
        </w:rPr>
      </w:pPr>
      <w:r>
        <w:rPr>
          <w:lang w:val="en-US"/>
        </w:rPr>
        <w:fldChar w:fldCharType="begin"/>
      </w:r>
      <w:r w:rsidR="00516741">
        <w:rPr>
          <w:lang w:val="en-US"/>
        </w:rPr>
        <w:instrText xml:space="preserve"> ADDIN ZOTERO_BIBL {"uncited":[],"omitted":[],"custom":[]} CSL_BIBLIOGRAPHY </w:instrText>
      </w:r>
      <w:r>
        <w:rPr>
          <w:lang w:val="en-US"/>
        </w:rPr>
        <w:fldChar w:fldCharType="separate"/>
      </w:r>
      <w:r w:rsidR="00516741" w:rsidRPr="00516741">
        <w:rPr>
          <w:lang w:val="en-US"/>
        </w:rPr>
        <w:t xml:space="preserve">Abadi, M., Huang, J., Yeow, J., Mohandes, S. R., &amp; Zhang, L. (2023). Towards a complex push-to-pull dynamics in circular construction supply chains: A systematic literature review. </w:t>
      </w:r>
      <w:r w:rsidR="00516741" w:rsidRPr="00516741">
        <w:rPr>
          <w:i/>
          <w:iCs/>
          <w:lang w:val="en-US"/>
        </w:rPr>
        <w:t>Engineering, Construction and Architectural Management</w:t>
      </w:r>
      <w:r w:rsidR="00516741" w:rsidRPr="00516741">
        <w:rPr>
          <w:lang w:val="en-US"/>
        </w:rPr>
        <w:t>. B7A1. https://doi.org/10.1108/ECAM-03-2023-0294</w:t>
      </w:r>
    </w:p>
    <w:p w14:paraId="3E02774A" w14:textId="77777777" w:rsidR="00516741" w:rsidRPr="00516741" w:rsidRDefault="00516741" w:rsidP="00516741">
      <w:pPr>
        <w:pStyle w:val="Bibliography"/>
        <w:spacing w:after="100" w:afterAutospacing="1" w:line="240" w:lineRule="auto"/>
        <w:ind w:left="0" w:firstLine="0"/>
        <w:rPr>
          <w:lang w:val="en-US"/>
        </w:rPr>
      </w:pPr>
      <w:r w:rsidRPr="00516741">
        <w:rPr>
          <w:lang w:val="de-DE"/>
        </w:rPr>
        <w:t xml:space="preserve">Adabre, M. A., Chan, A. P. C., Darko, A., Yang, Y., &amp; Debrah, C. (2025). </w:t>
      </w:r>
      <w:r w:rsidRPr="00516741">
        <w:rPr>
          <w:lang w:val="en-US"/>
        </w:rPr>
        <w:t xml:space="preserve">Institutional drivers for circular economy implementation in transitional housing: The case of Hong Kong. </w:t>
      </w:r>
      <w:r w:rsidRPr="00516741">
        <w:rPr>
          <w:i/>
          <w:iCs/>
          <w:lang w:val="en-US"/>
        </w:rPr>
        <w:t>Cities</w:t>
      </w:r>
      <w:r w:rsidRPr="00516741">
        <w:rPr>
          <w:lang w:val="en-US"/>
        </w:rPr>
        <w:t xml:space="preserve">, </w:t>
      </w:r>
      <w:r w:rsidRPr="00516741">
        <w:rPr>
          <w:i/>
          <w:iCs/>
          <w:lang w:val="en-US"/>
        </w:rPr>
        <w:t>164</w:t>
      </w:r>
      <w:r w:rsidRPr="00516741">
        <w:rPr>
          <w:lang w:val="en-US"/>
        </w:rPr>
        <w:t>, 106067. D807. https://doi.org/10.1016/j.cities.2025.106067</w:t>
      </w:r>
    </w:p>
    <w:p w14:paraId="7FA736F5" w14:textId="77777777" w:rsidR="00516741" w:rsidRPr="00516741" w:rsidRDefault="00516741" w:rsidP="00516741">
      <w:pPr>
        <w:pStyle w:val="Bibliography"/>
        <w:spacing w:after="100" w:afterAutospacing="1" w:line="240" w:lineRule="auto"/>
        <w:ind w:left="0" w:firstLine="0"/>
        <w:rPr>
          <w:lang w:val="en-US"/>
        </w:rPr>
      </w:pPr>
      <w:r w:rsidRPr="00516741">
        <w:rPr>
          <w:lang w:val="en-US"/>
        </w:rPr>
        <w:t xml:space="preserve">Anckar, C. (2008). On the Applicability of the Most Similar Systems Design and the Most Different Systems Design in Comparative Research. </w:t>
      </w:r>
      <w:r w:rsidRPr="00516741">
        <w:rPr>
          <w:i/>
          <w:iCs/>
          <w:lang w:val="en-US"/>
        </w:rPr>
        <w:t>International Journal of Social Research Methodology</w:t>
      </w:r>
      <w:r w:rsidRPr="00516741">
        <w:rPr>
          <w:lang w:val="en-US"/>
        </w:rPr>
        <w:t xml:space="preserve">, </w:t>
      </w:r>
      <w:r w:rsidRPr="00516741">
        <w:rPr>
          <w:i/>
          <w:iCs/>
          <w:lang w:val="en-US"/>
        </w:rPr>
        <w:t>11</w:t>
      </w:r>
      <w:r w:rsidRPr="00516741">
        <w:rPr>
          <w:lang w:val="en-US"/>
        </w:rPr>
        <w:t>(5), 389–401. https://doi.org/10.1080/13645570701401552</w:t>
      </w:r>
    </w:p>
    <w:p w14:paraId="4CF4567B" w14:textId="77777777" w:rsidR="00516741" w:rsidRPr="00516741" w:rsidRDefault="00516741" w:rsidP="00516741">
      <w:pPr>
        <w:pStyle w:val="Bibliography"/>
        <w:spacing w:after="100" w:afterAutospacing="1" w:line="240" w:lineRule="auto"/>
        <w:ind w:left="0" w:firstLine="0"/>
        <w:rPr>
          <w:lang w:val="en-US"/>
        </w:rPr>
      </w:pPr>
      <w:r w:rsidRPr="00516741">
        <w:rPr>
          <w:lang w:val="en-US"/>
        </w:rPr>
        <w:t xml:space="preserve">Benachio, G. L. F., Freitas, M. do C. D., &amp; Tavares, S. F. (2020). Circular economy in the construction industry: A systematic literature review. </w:t>
      </w:r>
      <w:r w:rsidRPr="00516741">
        <w:rPr>
          <w:i/>
          <w:iCs/>
          <w:lang w:val="en-US"/>
        </w:rPr>
        <w:t>Journal of Cleaner Production</w:t>
      </w:r>
      <w:r w:rsidRPr="00516741">
        <w:rPr>
          <w:lang w:val="en-US"/>
        </w:rPr>
        <w:t xml:space="preserve">, </w:t>
      </w:r>
      <w:r w:rsidRPr="00516741">
        <w:rPr>
          <w:i/>
          <w:iCs/>
          <w:lang w:val="en-US"/>
        </w:rPr>
        <w:t>260</w:t>
      </w:r>
      <w:r w:rsidRPr="00516741">
        <w:rPr>
          <w:lang w:val="en-US"/>
        </w:rPr>
        <w:t>, 121046. R056. https://doi.org/10.1016/j.jclepro.2020.121046</w:t>
      </w:r>
    </w:p>
    <w:p w14:paraId="54A681BA" w14:textId="77777777" w:rsidR="00516741" w:rsidRPr="00516741" w:rsidRDefault="00516741" w:rsidP="00516741">
      <w:pPr>
        <w:pStyle w:val="Bibliography"/>
        <w:spacing w:after="100" w:afterAutospacing="1" w:line="240" w:lineRule="auto"/>
        <w:ind w:left="0" w:firstLine="0"/>
        <w:rPr>
          <w:lang w:val="en-US"/>
        </w:rPr>
      </w:pPr>
      <w:r w:rsidRPr="00516741">
        <w:rPr>
          <w:lang w:val="en-US"/>
        </w:rPr>
        <w:t xml:space="preserve">Blackburn, O., Ritala, P., &amp; Keränen, J. (2023). Digital Platforms for the Circular Economy: Exploring Meta-Organizational Orchestration Mechanisms. </w:t>
      </w:r>
      <w:r w:rsidRPr="00516741">
        <w:rPr>
          <w:i/>
          <w:iCs/>
          <w:lang w:val="en-US"/>
        </w:rPr>
        <w:t>Organization &amp; Environment</w:t>
      </w:r>
      <w:r w:rsidRPr="00516741">
        <w:rPr>
          <w:lang w:val="en-US"/>
        </w:rPr>
        <w:t xml:space="preserve">, </w:t>
      </w:r>
      <w:r w:rsidRPr="00516741">
        <w:rPr>
          <w:i/>
          <w:iCs/>
          <w:lang w:val="en-US"/>
        </w:rPr>
        <w:t>36</w:t>
      </w:r>
      <w:r w:rsidRPr="00516741">
        <w:rPr>
          <w:lang w:val="en-US"/>
        </w:rPr>
        <w:t>(2), 253–281. https://doi.org/10.1177/10860266221130717</w:t>
      </w:r>
    </w:p>
    <w:p w14:paraId="12CB9CA2" w14:textId="77777777" w:rsidR="00516741" w:rsidRPr="00516741" w:rsidRDefault="00516741" w:rsidP="00516741">
      <w:pPr>
        <w:pStyle w:val="Bibliography"/>
        <w:spacing w:after="100" w:afterAutospacing="1" w:line="240" w:lineRule="auto"/>
        <w:ind w:left="0" w:firstLine="0"/>
        <w:rPr>
          <w:lang w:val="en-US"/>
        </w:rPr>
      </w:pPr>
      <w:r w:rsidRPr="00516741">
        <w:rPr>
          <w:lang w:val="en-US"/>
        </w:rPr>
        <w:lastRenderedPageBreak/>
        <w:t xml:space="preserve">Blue Environment. (2022). </w:t>
      </w:r>
      <w:r w:rsidRPr="00516741">
        <w:rPr>
          <w:i/>
          <w:iCs/>
          <w:lang w:val="en-US"/>
        </w:rPr>
        <w:t>National Waste Report 2022—DCCEEW</w:t>
      </w:r>
      <w:r w:rsidRPr="00516741">
        <w:rPr>
          <w:lang w:val="en-US"/>
        </w:rPr>
        <w:t>. https://www.dcceew.gov.au/environment/protection/waste/national-waste-reports/2022</w:t>
      </w:r>
    </w:p>
    <w:p w14:paraId="2844A116" w14:textId="77777777" w:rsidR="00516741" w:rsidRPr="00516741" w:rsidRDefault="00516741" w:rsidP="00516741">
      <w:pPr>
        <w:pStyle w:val="Bibliography"/>
        <w:spacing w:after="100" w:afterAutospacing="1" w:line="240" w:lineRule="auto"/>
        <w:ind w:left="0" w:firstLine="0"/>
        <w:rPr>
          <w:lang w:val="en-US"/>
        </w:rPr>
      </w:pPr>
      <w:r w:rsidRPr="00516741">
        <w:rPr>
          <w:lang w:val="en-US"/>
        </w:rPr>
        <w:t xml:space="preserve">Çetin, S. (2023). </w:t>
      </w:r>
      <w:r w:rsidRPr="00516741">
        <w:rPr>
          <w:i/>
          <w:iCs/>
          <w:lang w:val="en-US"/>
        </w:rPr>
        <w:t>Towards a circular building industry through digitalisation: Exploring how digital technologies can help narrow, slow, close, and regenerate the loops in social housing practice: 22 (2023)</w:t>
      </w:r>
      <w:r w:rsidRPr="00516741">
        <w:rPr>
          <w:lang w:val="en-US"/>
        </w:rPr>
        <w:t xml:space="preserve"> [Dissertation (TU Delft), A+BE | Architecture and the Built Environment]. S805. https://doi.org/10.7480/abe.2023.22</w:t>
      </w:r>
    </w:p>
    <w:p w14:paraId="6BE47F3D" w14:textId="77777777" w:rsidR="00516741" w:rsidRPr="00516741" w:rsidRDefault="00516741" w:rsidP="00516741">
      <w:pPr>
        <w:pStyle w:val="Bibliography"/>
        <w:spacing w:after="100" w:afterAutospacing="1" w:line="240" w:lineRule="auto"/>
        <w:ind w:left="0" w:firstLine="0"/>
        <w:rPr>
          <w:lang w:val="en-US"/>
        </w:rPr>
      </w:pPr>
      <w:r w:rsidRPr="00516741">
        <w:rPr>
          <w:lang w:val="en-US"/>
        </w:rPr>
        <w:t xml:space="preserve">Crielaard, M. (WVL). (2015). </w:t>
      </w:r>
      <w:r w:rsidRPr="00516741">
        <w:rPr>
          <w:i/>
          <w:iCs/>
          <w:lang w:val="en-US"/>
        </w:rPr>
        <w:t>Circular economy in the Dutch construction sector</w:t>
      </w:r>
      <w:r w:rsidRPr="00516741">
        <w:rPr>
          <w:lang w:val="en-US"/>
        </w:rPr>
        <w:t>. NP02.</w:t>
      </w:r>
    </w:p>
    <w:p w14:paraId="37F2347B" w14:textId="77777777" w:rsidR="00516741" w:rsidRPr="00516741" w:rsidRDefault="00516741" w:rsidP="00516741">
      <w:pPr>
        <w:pStyle w:val="Bibliography"/>
        <w:spacing w:after="100" w:afterAutospacing="1" w:line="240" w:lineRule="auto"/>
        <w:ind w:left="0" w:firstLine="0"/>
        <w:rPr>
          <w:lang w:val="en-US"/>
        </w:rPr>
      </w:pPr>
      <w:r w:rsidRPr="00516741">
        <w:rPr>
          <w:lang w:val="en-US"/>
        </w:rPr>
        <w:t xml:space="preserve">Ding, L., Wang, T., &amp; Chan, P. W. (2023). Forward and reverse logistics for circular economy in construction: A systematic literature review. </w:t>
      </w:r>
      <w:r w:rsidRPr="00516741">
        <w:rPr>
          <w:i/>
          <w:iCs/>
          <w:lang w:val="en-US"/>
        </w:rPr>
        <w:t>Journal of Cleaner Production</w:t>
      </w:r>
      <w:r w:rsidRPr="00516741">
        <w:rPr>
          <w:lang w:val="en-US"/>
        </w:rPr>
        <w:t xml:space="preserve">, </w:t>
      </w:r>
      <w:r w:rsidRPr="00516741">
        <w:rPr>
          <w:i/>
          <w:iCs/>
          <w:lang w:val="en-US"/>
        </w:rPr>
        <w:t>388</w:t>
      </w:r>
      <w:r w:rsidRPr="00516741">
        <w:rPr>
          <w:lang w:val="en-US"/>
        </w:rPr>
        <w:t>, 135981. S900. https://doi.org/10.1016/j.jclepro.2023.135981</w:t>
      </w:r>
    </w:p>
    <w:p w14:paraId="61D42D1F" w14:textId="77777777" w:rsidR="00516741" w:rsidRPr="00516741" w:rsidRDefault="00516741" w:rsidP="00516741">
      <w:pPr>
        <w:pStyle w:val="Bibliography"/>
        <w:spacing w:after="100" w:afterAutospacing="1" w:line="240" w:lineRule="auto"/>
        <w:ind w:left="0" w:firstLine="0"/>
        <w:rPr>
          <w:lang w:val="en-US"/>
        </w:rPr>
      </w:pPr>
      <w:r w:rsidRPr="00516741">
        <w:rPr>
          <w:lang w:val="en-US"/>
        </w:rPr>
        <w:t xml:space="preserve">Ding, L., Wang, T., &amp; Chan, P. W. (2026). Digital platforms for circular construction: Incumbent supply chain actors’ perceptions of emerging intermediaries in the Dutch context. </w:t>
      </w:r>
      <w:r w:rsidRPr="00516741">
        <w:rPr>
          <w:i/>
          <w:iCs/>
          <w:lang w:val="en-US"/>
        </w:rPr>
        <w:t>Construction Management and Economics</w:t>
      </w:r>
      <w:r w:rsidRPr="00516741">
        <w:rPr>
          <w:lang w:val="en-US"/>
        </w:rPr>
        <w:t xml:space="preserve">, </w:t>
      </w:r>
      <w:r w:rsidRPr="00516741">
        <w:rPr>
          <w:i/>
          <w:iCs/>
          <w:lang w:val="en-US"/>
        </w:rPr>
        <w:t>0</w:t>
      </w:r>
      <w:r w:rsidRPr="00516741">
        <w:rPr>
          <w:lang w:val="en-US"/>
        </w:rPr>
        <w:t>(0), 1–20. S903. https://doi.org/10.1080/01446193.2026.2666549</w:t>
      </w:r>
    </w:p>
    <w:p w14:paraId="23D3E152" w14:textId="77777777" w:rsidR="00516741" w:rsidRPr="00516741" w:rsidRDefault="00516741" w:rsidP="00516741">
      <w:pPr>
        <w:pStyle w:val="Bibliography"/>
        <w:spacing w:after="100" w:afterAutospacing="1" w:line="240" w:lineRule="auto"/>
        <w:ind w:left="0" w:firstLine="0"/>
        <w:rPr>
          <w:lang w:val="en-US"/>
        </w:rPr>
      </w:pPr>
      <w:r w:rsidRPr="00516741">
        <w:rPr>
          <w:lang w:val="en-US"/>
        </w:rPr>
        <w:t xml:space="preserve">Eurostad. (2025). </w:t>
      </w:r>
      <w:r w:rsidRPr="00516741">
        <w:rPr>
          <w:i/>
          <w:iCs/>
          <w:lang w:val="en-US"/>
        </w:rPr>
        <w:t>[env_wasgen] Generation of waste by waste category, hazardousness and NACE Rev. 2 activity</w:t>
      </w:r>
      <w:r w:rsidRPr="00516741">
        <w:rPr>
          <w:lang w:val="en-US"/>
        </w:rPr>
        <w:t>. https://ec.europa.eu/eurostat/databrowser/view/env_wasgen/default/bar?lang=en</w:t>
      </w:r>
    </w:p>
    <w:p w14:paraId="1277BF37" w14:textId="77777777" w:rsidR="00516741" w:rsidRPr="00F04087" w:rsidRDefault="00516741" w:rsidP="00516741">
      <w:pPr>
        <w:pStyle w:val="Bibliography"/>
        <w:spacing w:after="100" w:afterAutospacing="1" w:line="240" w:lineRule="auto"/>
        <w:ind w:left="0" w:firstLine="0"/>
        <w:rPr>
          <w:lang w:val="en-US"/>
        </w:rPr>
      </w:pPr>
      <w:r w:rsidRPr="00516741">
        <w:rPr>
          <w:lang w:val="de-DE"/>
        </w:rPr>
        <w:t xml:space="preserve">Hijazi, A. A., Das, P., Li, Y., Moehler, R. C., &amp; Maxwell, D. W. (2025). </w:t>
      </w:r>
      <w:r w:rsidRPr="00516741">
        <w:rPr>
          <w:lang w:val="en-US"/>
        </w:rPr>
        <w:t xml:space="preserve">A contingency approach to platform implementation: Platform types, attributes, and value chain integration. </w:t>
      </w:r>
      <w:r w:rsidRPr="00F04087">
        <w:rPr>
          <w:i/>
          <w:iCs/>
          <w:lang w:val="en-US"/>
        </w:rPr>
        <w:t>Building Research &amp; Information</w:t>
      </w:r>
      <w:r w:rsidRPr="00F04087">
        <w:rPr>
          <w:lang w:val="en-US"/>
        </w:rPr>
        <w:t>, 1–20. D034. https://doi.org/10.1080/09613218.2025.2510270</w:t>
      </w:r>
    </w:p>
    <w:p w14:paraId="16EF4BD8" w14:textId="77777777" w:rsidR="00516741" w:rsidRPr="00516741" w:rsidRDefault="00516741" w:rsidP="00516741">
      <w:pPr>
        <w:pStyle w:val="Bibliography"/>
        <w:spacing w:after="100" w:afterAutospacing="1" w:line="240" w:lineRule="auto"/>
        <w:ind w:left="0" w:firstLine="0"/>
        <w:rPr>
          <w:lang w:val="en-US"/>
        </w:rPr>
      </w:pPr>
      <w:r w:rsidRPr="00516741">
        <w:rPr>
          <w:lang w:val="en-US"/>
        </w:rPr>
        <w:t xml:space="preserve">Jahan, I., Zhang, G., Bhuiyan, M., Navaratnam, S., &amp; Shi, L. (2022). Experts’ Perceptions of the Management and Minimisation of Waste in the Australian Construction Industry. </w:t>
      </w:r>
      <w:r w:rsidRPr="00516741">
        <w:rPr>
          <w:i/>
          <w:iCs/>
          <w:lang w:val="en-US"/>
        </w:rPr>
        <w:t>Sustainability (Switzerland)</w:t>
      </w:r>
      <w:r w:rsidRPr="00516741">
        <w:rPr>
          <w:lang w:val="en-US"/>
        </w:rPr>
        <w:t xml:space="preserve">, </w:t>
      </w:r>
      <w:r w:rsidRPr="00516741">
        <w:rPr>
          <w:i/>
          <w:iCs/>
          <w:lang w:val="en-US"/>
        </w:rPr>
        <w:t>14</w:t>
      </w:r>
      <w:r w:rsidRPr="00516741">
        <w:rPr>
          <w:lang w:val="en-US"/>
        </w:rPr>
        <w:t>(18). B54O. https://doi.org/10.3390/su141811319</w:t>
      </w:r>
    </w:p>
    <w:p w14:paraId="753D4D0C" w14:textId="77777777" w:rsidR="00516741" w:rsidRPr="00516741" w:rsidRDefault="00516741" w:rsidP="00516741">
      <w:pPr>
        <w:pStyle w:val="Bibliography"/>
        <w:spacing w:after="100" w:afterAutospacing="1" w:line="240" w:lineRule="auto"/>
        <w:ind w:left="0" w:firstLine="0"/>
        <w:rPr>
          <w:lang w:val="en-US"/>
        </w:rPr>
      </w:pPr>
      <w:r w:rsidRPr="00516741">
        <w:rPr>
          <w:lang w:val="en-US"/>
        </w:rPr>
        <w:t xml:space="preserve">Kedir, F., Hall, D. M., Brantvall, S., Lessing, J., Hollberg, A., &amp; Soman, R. K. (2024). Circular information flows in industrialized housing construction: The case of a multi-family housing product platform in Sweden. </w:t>
      </w:r>
      <w:r w:rsidRPr="00516741">
        <w:rPr>
          <w:i/>
          <w:iCs/>
          <w:lang w:val="en-US"/>
        </w:rPr>
        <w:t>Construction Innovation</w:t>
      </w:r>
      <w:r w:rsidRPr="00516741">
        <w:rPr>
          <w:lang w:val="en-US"/>
        </w:rPr>
        <w:t xml:space="preserve">, </w:t>
      </w:r>
      <w:r w:rsidRPr="00516741">
        <w:rPr>
          <w:i/>
          <w:iCs/>
          <w:lang w:val="en-US"/>
        </w:rPr>
        <w:t>24</w:t>
      </w:r>
      <w:r w:rsidRPr="00516741">
        <w:rPr>
          <w:lang w:val="en-US"/>
        </w:rPr>
        <w:t>(5), 1354–1379. C725. https://doi.org/10.1108/CI-08-2022-0199</w:t>
      </w:r>
    </w:p>
    <w:p w14:paraId="4BC1AC4F" w14:textId="77777777" w:rsidR="00516741" w:rsidRPr="00516741" w:rsidRDefault="00516741" w:rsidP="00516741">
      <w:pPr>
        <w:pStyle w:val="Bibliography"/>
        <w:spacing w:after="100" w:afterAutospacing="1" w:line="240" w:lineRule="auto"/>
        <w:ind w:left="0" w:firstLine="0"/>
        <w:rPr>
          <w:lang w:val="en-US"/>
        </w:rPr>
      </w:pPr>
      <w:r w:rsidRPr="00516741">
        <w:rPr>
          <w:lang w:val="en-US"/>
        </w:rPr>
        <w:t xml:space="preserve">Keles, C., Cruz Rios, F., &amp; Hoque, S. (2025). Digital Technologies and Circular Economy in the Construction Sector: A Review of Lifecycle Applications, Integrations, Potential, and Limitations. </w:t>
      </w:r>
      <w:r w:rsidRPr="00516741">
        <w:rPr>
          <w:i/>
          <w:iCs/>
          <w:lang w:val="en-US"/>
        </w:rPr>
        <w:t>Buildings</w:t>
      </w:r>
      <w:r w:rsidRPr="00516741">
        <w:rPr>
          <w:lang w:val="en-US"/>
        </w:rPr>
        <w:t xml:space="preserve">, </w:t>
      </w:r>
      <w:r w:rsidRPr="00516741">
        <w:rPr>
          <w:i/>
          <w:iCs/>
          <w:lang w:val="en-US"/>
        </w:rPr>
        <w:t>15</w:t>
      </w:r>
      <w:r w:rsidRPr="00516741">
        <w:rPr>
          <w:lang w:val="en-US"/>
        </w:rPr>
        <w:t>(4), 553. D641. https://doi.org/10.3390/buildings15040553</w:t>
      </w:r>
    </w:p>
    <w:p w14:paraId="5FFC42B7" w14:textId="77777777" w:rsidR="00516741" w:rsidRPr="00516741" w:rsidRDefault="00516741" w:rsidP="00516741">
      <w:pPr>
        <w:pStyle w:val="Bibliography"/>
        <w:spacing w:after="100" w:afterAutospacing="1" w:line="240" w:lineRule="auto"/>
        <w:ind w:left="0" w:firstLine="0"/>
        <w:rPr>
          <w:lang w:val="en-US"/>
        </w:rPr>
      </w:pPr>
      <w:r w:rsidRPr="00516741">
        <w:rPr>
          <w:lang w:val="en-US"/>
        </w:rPr>
        <w:t xml:space="preserve">Li, Y., Maxwell, D. W., &amp; Moehler, R. (2025). Facilitating platform-based business model innovation in construction start-ups: A dynamic capability perspective. </w:t>
      </w:r>
      <w:r w:rsidRPr="00516741">
        <w:rPr>
          <w:i/>
          <w:iCs/>
          <w:lang w:val="en-US"/>
        </w:rPr>
        <w:t>Construction Management and Economics</w:t>
      </w:r>
      <w:r w:rsidRPr="00516741">
        <w:rPr>
          <w:lang w:val="en-US"/>
        </w:rPr>
        <w:t>, 1–18. D037. https://doi.org/10.1080/01446193.2025.2528795</w:t>
      </w:r>
    </w:p>
    <w:p w14:paraId="6B985586" w14:textId="77777777" w:rsidR="00516741" w:rsidRPr="00516741" w:rsidRDefault="00516741" w:rsidP="00516741">
      <w:pPr>
        <w:pStyle w:val="Bibliography"/>
        <w:spacing w:after="100" w:afterAutospacing="1" w:line="240" w:lineRule="auto"/>
        <w:ind w:left="0" w:firstLine="0"/>
        <w:rPr>
          <w:lang w:val="en-US"/>
        </w:rPr>
      </w:pPr>
      <w:r w:rsidRPr="00516741">
        <w:rPr>
          <w:lang w:val="en-US"/>
        </w:rPr>
        <w:lastRenderedPageBreak/>
        <w:t xml:space="preserve">Moglia, M., Nygaard, C. A., Shittu, O., Halefom, T. H., &amp; Trewick, S. (2023). Roles of Virtual Intermediaries in the Transition to a Circular Economy. In </w:t>
      </w:r>
      <w:r w:rsidRPr="00516741">
        <w:rPr>
          <w:i/>
          <w:iCs/>
          <w:lang w:val="en-US"/>
        </w:rPr>
        <w:t>The Routledge Handbook of Catalysts for a Sustainable Circular Economy</w:t>
      </w:r>
      <w:r w:rsidRPr="00516741">
        <w:rPr>
          <w:lang w:val="en-US"/>
        </w:rPr>
        <w:t>. Routledge. C609.</w:t>
      </w:r>
    </w:p>
    <w:p w14:paraId="4E15D6DC" w14:textId="77777777" w:rsidR="00516741" w:rsidRPr="00516741" w:rsidRDefault="00516741" w:rsidP="00516741">
      <w:pPr>
        <w:pStyle w:val="Bibliography"/>
        <w:spacing w:after="100" w:afterAutospacing="1" w:line="240" w:lineRule="auto"/>
        <w:ind w:left="0" w:firstLine="0"/>
        <w:rPr>
          <w:lang w:val="en-US"/>
        </w:rPr>
      </w:pPr>
      <w:r w:rsidRPr="00516741">
        <w:rPr>
          <w:lang w:val="en-US"/>
        </w:rPr>
        <w:t xml:space="preserve">OECD. (2025). </w:t>
      </w:r>
      <w:r w:rsidRPr="00516741">
        <w:rPr>
          <w:i/>
          <w:iCs/>
          <w:lang w:val="en-US"/>
        </w:rPr>
        <w:t>Australia (AUS) and Netherlands (NLD) Trade</w:t>
      </w:r>
      <w:r w:rsidRPr="00516741">
        <w:rPr>
          <w:lang w:val="en-US"/>
        </w:rPr>
        <w:t xml:space="preserve"> [Dataset]. https://oec.world/en/profile/bilateral-country/aus/partner/nld</w:t>
      </w:r>
    </w:p>
    <w:p w14:paraId="36E0A664" w14:textId="77777777" w:rsidR="00516741" w:rsidRPr="00516741" w:rsidRDefault="00516741" w:rsidP="00516741">
      <w:pPr>
        <w:pStyle w:val="Bibliography"/>
        <w:spacing w:after="100" w:afterAutospacing="1" w:line="240" w:lineRule="auto"/>
        <w:ind w:left="0" w:firstLine="0"/>
        <w:rPr>
          <w:lang w:val="en-US"/>
        </w:rPr>
      </w:pPr>
      <w:r w:rsidRPr="00516741">
        <w:rPr>
          <w:lang w:val="en-US"/>
        </w:rPr>
        <w:t xml:space="preserve">Oorschot, L., &amp; Asselbergs, T. (2021). New housing concepts: Modular, circular, biobased, reproducible, and affordable. </w:t>
      </w:r>
      <w:r w:rsidRPr="00516741">
        <w:rPr>
          <w:i/>
          <w:iCs/>
          <w:lang w:val="en-US"/>
        </w:rPr>
        <w:t>Sustainability (Switzerland)</w:t>
      </w:r>
      <w:r w:rsidRPr="00516741">
        <w:rPr>
          <w:lang w:val="en-US"/>
        </w:rPr>
        <w:t xml:space="preserve">, </w:t>
      </w:r>
      <w:r w:rsidRPr="00516741">
        <w:rPr>
          <w:i/>
          <w:iCs/>
          <w:lang w:val="en-US"/>
        </w:rPr>
        <w:t>13</w:t>
      </w:r>
      <w:r w:rsidRPr="00516741">
        <w:rPr>
          <w:lang w:val="en-US"/>
        </w:rPr>
        <w:t>(24). B7A7. https://doi.org/10.3390/su132413772</w:t>
      </w:r>
    </w:p>
    <w:p w14:paraId="635C1674" w14:textId="77777777" w:rsidR="00516741" w:rsidRPr="00516741" w:rsidRDefault="00516741" w:rsidP="00516741">
      <w:pPr>
        <w:pStyle w:val="Bibliography"/>
        <w:spacing w:after="100" w:afterAutospacing="1" w:line="240" w:lineRule="auto"/>
        <w:ind w:left="0" w:firstLine="0"/>
      </w:pPr>
      <w:r w:rsidRPr="00516741">
        <w:rPr>
          <w:lang w:val="en-US"/>
        </w:rPr>
        <w:t xml:space="preserve">Yu, Y. (2024). </w:t>
      </w:r>
      <w:r w:rsidRPr="00516741">
        <w:rPr>
          <w:i/>
          <w:iCs/>
          <w:lang w:val="en-US"/>
        </w:rPr>
        <w:t>Circular Construction Ecosystems: Designing a Circularity Information Platform for the Built Environment</w:t>
      </w:r>
      <w:r w:rsidRPr="00516741">
        <w:rPr>
          <w:lang w:val="en-US"/>
        </w:rPr>
        <w:t xml:space="preserve">. </w:t>
      </w:r>
      <w:r w:rsidRPr="00516741">
        <w:t>S950. https://research.utwente.nl/en/publications/circular-construction-ecosystems-designing-a-circularity-informat</w:t>
      </w:r>
    </w:p>
    <w:p w14:paraId="1D49228B" w14:textId="5E9FFFA5" w:rsidR="00243715" w:rsidRPr="00E04130" w:rsidRDefault="00EF3813" w:rsidP="00516741">
      <w:pPr>
        <w:spacing w:after="100" w:afterAutospacing="1" w:line="240" w:lineRule="auto"/>
        <w:jc w:val="both"/>
        <w:rPr>
          <w:lang w:val="en-US"/>
        </w:rPr>
      </w:pPr>
      <w:r>
        <w:rPr>
          <w:lang w:val="en-US"/>
        </w:rPr>
        <w:fldChar w:fldCharType="end"/>
      </w:r>
    </w:p>
    <w:p w14:paraId="0C9C8FCB" w14:textId="7D157AC1" w:rsidR="006D3F9A" w:rsidRPr="006D3F9A" w:rsidRDefault="006D3F9A" w:rsidP="00516741">
      <w:pPr>
        <w:spacing w:after="100" w:afterAutospacing="1" w:line="240" w:lineRule="auto"/>
        <w:rPr>
          <w:lang w:val="en-US"/>
        </w:rPr>
      </w:pPr>
    </w:p>
    <w:sectPr w:rsidR="006D3F9A" w:rsidRPr="006D3F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NX4dihUamcnNbt" int2:id="CihMRal7">
      <int2:state int2:value="Rejected" int2:type="spell"/>
    </int2:textHash>
    <int2:textHash int2:hashCode="Piydw8NFNmO7RR" int2:id="Se7Afsna">
      <int2:state int2:value="Rejected" int2:type="spell"/>
    </int2:textHash>
    <int2:textHash int2:hashCode="M+lQXRKULoJZo8" int2:id="vtpjIUhS">
      <int2:state int2:value="Rejected" int2:type="spell"/>
    </int2:textHash>
    <int2:bookmark int2:bookmarkName="_Int_Kjw7CIHO" int2:invalidationBookmarkName="" int2:hashCode="1OcdMFO+86tb1J" int2:id="hoit7AUQ">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8BDB"/>
    <w:multiLevelType w:val="hybridMultilevel"/>
    <w:tmpl w:val="042C5FE2"/>
    <w:lvl w:ilvl="0" w:tplc="C80A9C7E">
      <w:start w:val="1"/>
      <w:numFmt w:val="decimal"/>
      <w:lvlText w:val="%1."/>
      <w:lvlJc w:val="left"/>
      <w:pPr>
        <w:ind w:left="420" w:hanging="420"/>
      </w:pPr>
    </w:lvl>
    <w:lvl w:ilvl="1" w:tplc="0E3A2EA4">
      <w:start w:val="1"/>
      <w:numFmt w:val="lowerLetter"/>
      <w:lvlText w:val="%2."/>
      <w:lvlJc w:val="left"/>
      <w:pPr>
        <w:ind w:left="840" w:hanging="420"/>
      </w:pPr>
    </w:lvl>
    <w:lvl w:ilvl="2" w:tplc="C8C00AC8">
      <w:start w:val="1"/>
      <w:numFmt w:val="lowerRoman"/>
      <w:lvlText w:val="%3."/>
      <w:lvlJc w:val="right"/>
      <w:pPr>
        <w:ind w:left="1260" w:hanging="420"/>
      </w:pPr>
    </w:lvl>
    <w:lvl w:ilvl="3" w:tplc="FBF47E20">
      <w:start w:val="1"/>
      <w:numFmt w:val="decimal"/>
      <w:lvlText w:val="%4."/>
      <w:lvlJc w:val="left"/>
      <w:pPr>
        <w:ind w:left="1680" w:hanging="420"/>
      </w:pPr>
    </w:lvl>
    <w:lvl w:ilvl="4" w:tplc="028C0E96">
      <w:start w:val="1"/>
      <w:numFmt w:val="lowerLetter"/>
      <w:lvlText w:val="%5."/>
      <w:lvlJc w:val="left"/>
      <w:pPr>
        <w:ind w:left="2100" w:hanging="420"/>
      </w:pPr>
    </w:lvl>
    <w:lvl w:ilvl="5" w:tplc="0368FC48">
      <w:start w:val="1"/>
      <w:numFmt w:val="lowerRoman"/>
      <w:lvlText w:val="%6."/>
      <w:lvlJc w:val="right"/>
      <w:pPr>
        <w:ind w:left="2520" w:hanging="420"/>
      </w:pPr>
    </w:lvl>
    <w:lvl w:ilvl="6" w:tplc="0DD274D0">
      <w:start w:val="1"/>
      <w:numFmt w:val="decimal"/>
      <w:lvlText w:val="%7."/>
      <w:lvlJc w:val="left"/>
      <w:pPr>
        <w:ind w:left="2940" w:hanging="420"/>
      </w:pPr>
    </w:lvl>
    <w:lvl w:ilvl="7" w:tplc="D6C02F22">
      <w:start w:val="1"/>
      <w:numFmt w:val="lowerLetter"/>
      <w:lvlText w:val="%8."/>
      <w:lvlJc w:val="left"/>
      <w:pPr>
        <w:ind w:left="3360" w:hanging="420"/>
      </w:pPr>
    </w:lvl>
    <w:lvl w:ilvl="8" w:tplc="875C4D2A">
      <w:start w:val="1"/>
      <w:numFmt w:val="lowerRoman"/>
      <w:lvlText w:val="%9."/>
      <w:lvlJc w:val="right"/>
      <w:pPr>
        <w:ind w:left="3780" w:hanging="420"/>
      </w:pPr>
    </w:lvl>
  </w:abstractNum>
  <w:abstractNum w:abstractNumId="1" w15:restartNumberingAfterBreak="0">
    <w:nsid w:val="126609FC"/>
    <w:multiLevelType w:val="hybridMultilevel"/>
    <w:tmpl w:val="EDAC989C"/>
    <w:lvl w:ilvl="0" w:tplc="3FC61D88">
      <w:start w:val="1"/>
      <w:numFmt w:val="decimal"/>
      <w:lvlText w:val="%1."/>
      <w:lvlJc w:val="left"/>
      <w:pPr>
        <w:ind w:left="420" w:hanging="420"/>
      </w:pPr>
    </w:lvl>
    <w:lvl w:ilvl="1" w:tplc="73085AB2">
      <w:start w:val="1"/>
      <w:numFmt w:val="lowerLetter"/>
      <w:lvlText w:val="%2."/>
      <w:lvlJc w:val="left"/>
      <w:pPr>
        <w:ind w:left="840" w:hanging="420"/>
      </w:pPr>
    </w:lvl>
    <w:lvl w:ilvl="2" w:tplc="DEB6A764">
      <w:start w:val="1"/>
      <w:numFmt w:val="lowerRoman"/>
      <w:lvlText w:val="%3."/>
      <w:lvlJc w:val="right"/>
      <w:pPr>
        <w:ind w:left="1260" w:hanging="420"/>
      </w:pPr>
    </w:lvl>
    <w:lvl w:ilvl="3" w:tplc="1C728B02">
      <w:start w:val="1"/>
      <w:numFmt w:val="decimal"/>
      <w:lvlText w:val="%4."/>
      <w:lvlJc w:val="left"/>
      <w:pPr>
        <w:ind w:left="1680" w:hanging="420"/>
      </w:pPr>
    </w:lvl>
    <w:lvl w:ilvl="4" w:tplc="3EE680CE">
      <w:start w:val="1"/>
      <w:numFmt w:val="lowerLetter"/>
      <w:lvlText w:val="%5."/>
      <w:lvlJc w:val="left"/>
      <w:pPr>
        <w:ind w:left="2100" w:hanging="420"/>
      </w:pPr>
    </w:lvl>
    <w:lvl w:ilvl="5" w:tplc="E354B844">
      <w:start w:val="1"/>
      <w:numFmt w:val="lowerRoman"/>
      <w:lvlText w:val="%6."/>
      <w:lvlJc w:val="right"/>
      <w:pPr>
        <w:ind w:left="2520" w:hanging="420"/>
      </w:pPr>
    </w:lvl>
    <w:lvl w:ilvl="6" w:tplc="A68004AA">
      <w:start w:val="1"/>
      <w:numFmt w:val="decimal"/>
      <w:lvlText w:val="%7."/>
      <w:lvlJc w:val="left"/>
      <w:pPr>
        <w:ind w:left="2940" w:hanging="420"/>
      </w:pPr>
    </w:lvl>
    <w:lvl w:ilvl="7" w:tplc="2DE885C8">
      <w:start w:val="1"/>
      <w:numFmt w:val="lowerLetter"/>
      <w:lvlText w:val="%8."/>
      <w:lvlJc w:val="left"/>
      <w:pPr>
        <w:ind w:left="3360" w:hanging="420"/>
      </w:pPr>
    </w:lvl>
    <w:lvl w:ilvl="8" w:tplc="D4124F3C">
      <w:start w:val="1"/>
      <w:numFmt w:val="lowerRoman"/>
      <w:lvlText w:val="%9."/>
      <w:lvlJc w:val="right"/>
      <w:pPr>
        <w:ind w:left="3780" w:hanging="420"/>
      </w:pPr>
    </w:lvl>
  </w:abstractNum>
  <w:abstractNum w:abstractNumId="2" w15:restartNumberingAfterBreak="0">
    <w:nsid w:val="69ED0120"/>
    <w:multiLevelType w:val="hybridMultilevel"/>
    <w:tmpl w:val="0E7CEB20"/>
    <w:lvl w:ilvl="0" w:tplc="248A4268">
      <w:start w:val="3"/>
      <w:numFmt w:val="decimal"/>
      <w:lvlText w:val="%1."/>
      <w:lvlJc w:val="left"/>
      <w:pPr>
        <w:ind w:left="780" w:hanging="360"/>
      </w:pPr>
      <w:rPr>
        <w:rFonts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3" w15:restartNumberingAfterBreak="0">
    <w:nsid w:val="73240D83"/>
    <w:multiLevelType w:val="hybridMultilevel"/>
    <w:tmpl w:val="F5BA85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DCA9430"/>
    <w:multiLevelType w:val="hybridMultilevel"/>
    <w:tmpl w:val="FFFFFFFF"/>
    <w:lvl w:ilvl="0" w:tplc="99561598">
      <w:start w:val="1"/>
      <w:numFmt w:val="decimal"/>
      <w:lvlText w:val="%1."/>
      <w:lvlJc w:val="left"/>
      <w:pPr>
        <w:ind w:left="420" w:hanging="420"/>
      </w:pPr>
    </w:lvl>
    <w:lvl w:ilvl="1" w:tplc="BA086CF4">
      <w:start w:val="1"/>
      <w:numFmt w:val="lowerLetter"/>
      <w:lvlText w:val="%2."/>
      <w:lvlJc w:val="left"/>
      <w:pPr>
        <w:ind w:left="840" w:hanging="420"/>
      </w:pPr>
    </w:lvl>
    <w:lvl w:ilvl="2" w:tplc="4196785A">
      <w:start w:val="1"/>
      <w:numFmt w:val="lowerRoman"/>
      <w:lvlText w:val="%3."/>
      <w:lvlJc w:val="right"/>
      <w:pPr>
        <w:ind w:left="1260" w:hanging="420"/>
      </w:pPr>
    </w:lvl>
    <w:lvl w:ilvl="3" w:tplc="B3DCB1D6">
      <w:start w:val="1"/>
      <w:numFmt w:val="decimal"/>
      <w:lvlText w:val="%4."/>
      <w:lvlJc w:val="left"/>
      <w:pPr>
        <w:ind w:left="1680" w:hanging="420"/>
      </w:pPr>
    </w:lvl>
    <w:lvl w:ilvl="4" w:tplc="E12E1C6E">
      <w:start w:val="1"/>
      <w:numFmt w:val="lowerLetter"/>
      <w:lvlText w:val="%5."/>
      <w:lvlJc w:val="left"/>
      <w:pPr>
        <w:ind w:left="2100" w:hanging="420"/>
      </w:pPr>
    </w:lvl>
    <w:lvl w:ilvl="5" w:tplc="03F65804">
      <w:start w:val="1"/>
      <w:numFmt w:val="lowerRoman"/>
      <w:lvlText w:val="%6."/>
      <w:lvlJc w:val="right"/>
      <w:pPr>
        <w:ind w:left="2520" w:hanging="420"/>
      </w:pPr>
    </w:lvl>
    <w:lvl w:ilvl="6" w:tplc="F0965498">
      <w:start w:val="1"/>
      <w:numFmt w:val="decimal"/>
      <w:lvlText w:val="%7."/>
      <w:lvlJc w:val="left"/>
      <w:pPr>
        <w:ind w:left="2940" w:hanging="420"/>
      </w:pPr>
    </w:lvl>
    <w:lvl w:ilvl="7" w:tplc="B46413EC">
      <w:start w:val="1"/>
      <w:numFmt w:val="lowerLetter"/>
      <w:lvlText w:val="%8."/>
      <w:lvlJc w:val="left"/>
      <w:pPr>
        <w:ind w:left="3360" w:hanging="420"/>
      </w:pPr>
    </w:lvl>
    <w:lvl w:ilvl="8" w:tplc="8AD240D0">
      <w:start w:val="1"/>
      <w:numFmt w:val="lowerRoman"/>
      <w:lvlText w:val="%9."/>
      <w:lvlJc w:val="right"/>
      <w:pPr>
        <w:ind w:left="3780" w:hanging="420"/>
      </w:pPr>
    </w:lvl>
  </w:abstractNum>
  <w:num w:numId="1" w16cid:durableId="124198963">
    <w:abstractNumId w:val="3"/>
  </w:num>
  <w:num w:numId="2" w16cid:durableId="1886871076">
    <w:abstractNumId w:val="1"/>
  </w:num>
  <w:num w:numId="3" w16cid:durableId="217742213">
    <w:abstractNumId w:val="0"/>
  </w:num>
  <w:num w:numId="4" w16cid:durableId="262108792">
    <w:abstractNumId w:val="4"/>
  </w:num>
  <w:num w:numId="5" w16cid:durableId="1004288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9A"/>
    <w:rsid w:val="000024E6"/>
    <w:rsid w:val="00004E15"/>
    <w:rsid w:val="00007870"/>
    <w:rsid w:val="000140FE"/>
    <w:rsid w:val="00021B38"/>
    <w:rsid w:val="000234E1"/>
    <w:rsid w:val="00023A7B"/>
    <w:rsid w:val="00026419"/>
    <w:rsid w:val="00027D46"/>
    <w:rsid w:val="00031D36"/>
    <w:rsid w:val="0003654C"/>
    <w:rsid w:val="000432A0"/>
    <w:rsid w:val="00045C08"/>
    <w:rsid w:val="00052D13"/>
    <w:rsid w:val="00054F87"/>
    <w:rsid w:val="00065CCE"/>
    <w:rsid w:val="00066F37"/>
    <w:rsid w:val="00081F26"/>
    <w:rsid w:val="00082A56"/>
    <w:rsid w:val="0008652F"/>
    <w:rsid w:val="000A0826"/>
    <w:rsid w:val="000A1C0F"/>
    <w:rsid w:val="000A5F2D"/>
    <w:rsid w:val="000B01A3"/>
    <w:rsid w:val="000B4A01"/>
    <w:rsid w:val="000C58AE"/>
    <w:rsid w:val="000D0264"/>
    <w:rsid w:val="000D2563"/>
    <w:rsid w:val="000D7A1E"/>
    <w:rsid w:val="000F0BFA"/>
    <w:rsid w:val="000F312A"/>
    <w:rsid w:val="001141E0"/>
    <w:rsid w:val="0011715E"/>
    <w:rsid w:val="00126774"/>
    <w:rsid w:val="0013202F"/>
    <w:rsid w:val="00132C44"/>
    <w:rsid w:val="0013350B"/>
    <w:rsid w:val="00135FBA"/>
    <w:rsid w:val="00150094"/>
    <w:rsid w:val="00151A9C"/>
    <w:rsid w:val="00160AF8"/>
    <w:rsid w:val="001657AA"/>
    <w:rsid w:val="0018158B"/>
    <w:rsid w:val="0018215A"/>
    <w:rsid w:val="00184A24"/>
    <w:rsid w:val="00192A7A"/>
    <w:rsid w:val="001A4183"/>
    <w:rsid w:val="001A42AE"/>
    <w:rsid w:val="001B2CAF"/>
    <w:rsid w:val="001B736A"/>
    <w:rsid w:val="001D05F5"/>
    <w:rsid w:val="001D1CBF"/>
    <w:rsid w:val="001E1CEB"/>
    <w:rsid w:val="001E5021"/>
    <w:rsid w:val="001E6FA4"/>
    <w:rsid w:val="001F3B31"/>
    <w:rsid w:val="001F40C2"/>
    <w:rsid w:val="001F7FB3"/>
    <w:rsid w:val="002056D0"/>
    <w:rsid w:val="002156E0"/>
    <w:rsid w:val="00216E1F"/>
    <w:rsid w:val="002209D0"/>
    <w:rsid w:val="0022556F"/>
    <w:rsid w:val="002255FA"/>
    <w:rsid w:val="0023571A"/>
    <w:rsid w:val="00243715"/>
    <w:rsid w:val="002441D8"/>
    <w:rsid w:val="002513E2"/>
    <w:rsid w:val="00252525"/>
    <w:rsid w:val="002532E5"/>
    <w:rsid w:val="0026391D"/>
    <w:rsid w:val="00264985"/>
    <w:rsid w:val="002663AD"/>
    <w:rsid w:val="002704CB"/>
    <w:rsid w:val="00274D7E"/>
    <w:rsid w:val="002800C2"/>
    <w:rsid w:val="0028106F"/>
    <w:rsid w:val="00286475"/>
    <w:rsid w:val="00290B09"/>
    <w:rsid w:val="002A2333"/>
    <w:rsid w:val="002A614B"/>
    <w:rsid w:val="002B18A7"/>
    <w:rsid w:val="002B643F"/>
    <w:rsid w:val="002B7264"/>
    <w:rsid w:val="002B7425"/>
    <w:rsid w:val="002E1FEF"/>
    <w:rsid w:val="002F0D80"/>
    <w:rsid w:val="00307148"/>
    <w:rsid w:val="00313551"/>
    <w:rsid w:val="0031422F"/>
    <w:rsid w:val="003142DD"/>
    <w:rsid w:val="00314C7B"/>
    <w:rsid w:val="00332D3A"/>
    <w:rsid w:val="00332E08"/>
    <w:rsid w:val="00337415"/>
    <w:rsid w:val="00340343"/>
    <w:rsid w:val="00340B88"/>
    <w:rsid w:val="00343E22"/>
    <w:rsid w:val="003469A7"/>
    <w:rsid w:val="003513FA"/>
    <w:rsid w:val="00361A3A"/>
    <w:rsid w:val="003675BB"/>
    <w:rsid w:val="003900A8"/>
    <w:rsid w:val="0039010D"/>
    <w:rsid w:val="00391F78"/>
    <w:rsid w:val="003A58B0"/>
    <w:rsid w:val="003A6283"/>
    <w:rsid w:val="003C0765"/>
    <w:rsid w:val="003C2BC6"/>
    <w:rsid w:val="003C4BF1"/>
    <w:rsid w:val="003C4D00"/>
    <w:rsid w:val="003D1058"/>
    <w:rsid w:val="003E174A"/>
    <w:rsid w:val="003E5520"/>
    <w:rsid w:val="003E57F1"/>
    <w:rsid w:val="003F1639"/>
    <w:rsid w:val="003F6FFD"/>
    <w:rsid w:val="004002DF"/>
    <w:rsid w:val="004129B7"/>
    <w:rsid w:val="004176DE"/>
    <w:rsid w:val="004213F3"/>
    <w:rsid w:val="00421720"/>
    <w:rsid w:val="00432B24"/>
    <w:rsid w:val="0043335C"/>
    <w:rsid w:val="00443F0A"/>
    <w:rsid w:val="004452E7"/>
    <w:rsid w:val="00450D23"/>
    <w:rsid w:val="00457F24"/>
    <w:rsid w:val="00463A8A"/>
    <w:rsid w:val="00470BBE"/>
    <w:rsid w:val="004759C9"/>
    <w:rsid w:val="00480F85"/>
    <w:rsid w:val="004824BE"/>
    <w:rsid w:val="00490AC3"/>
    <w:rsid w:val="00497558"/>
    <w:rsid w:val="004A04B8"/>
    <w:rsid w:val="004A3D97"/>
    <w:rsid w:val="004A5542"/>
    <w:rsid w:val="004A5855"/>
    <w:rsid w:val="004A5B33"/>
    <w:rsid w:val="004A5F0B"/>
    <w:rsid w:val="004A5F95"/>
    <w:rsid w:val="004B1DE9"/>
    <w:rsid w:val="004B342E"/>
    <w:rsid w:val="004B606D"/>
    <w:rsid w:val="004C2440"/>
    <w:rsid w:val="004C6191"/>
    <w:rsid w:val="004CC6E8"/>
    <w:rsid w:val="004D176B"/>
    <w:rsid w:val="004D1A1D"/>
    <w:rsid w:val="004D24B9"/>
    <w:rsid w:val="004E12A4"/>
    <w:rsid w:val="004E3AD0"/>
    <w:rsid w:val="004E4AA2"/>
    <w:rsid w:val="004E6805"/>
    <w:rsid w:val="004F0C5A"/>
    <w:rsid w:val="00501A2B"/>
    <w:rsid w:val="00503870"/>
    <w:rsid w:val="00506511"/>
    <w:rsid w:val="00507B6D"/>
    <w:rsid w:val="005116FF"/>
    <w:rsid w:val="00514F8C"/>
    <w:rsid w:val="00516741"/>
    <w:rsid w:val="00526D54"/>
    <w:rsid w:val="00534305"/>
    <w:rsid w:val="00543EFF"/>
    <w:rsid w:val="00547A7D"/>
    <w:rsid w:val="0057208B"/>
    <w:rsid w:val="00580861"/>
    <w:rsid w:val="00581E3B"/>
    <w:rsid w:val="00587F25"/>
    <w:rsid w:val="005B2906"/>
    <w:rsid w:val="005B5FA8"/>
    <w:rsid w:val="005B62B8"/>
    <w:rsid w:val="005C04CA"/>
    <w:rsid w:val="005C3064"/>
    <w:rsid w:val="005C31B1"/>
    <w:rsid w:val="005D4A00"/>
    <w:rsid w:val="005E7DF7"/>
    <w:rsid w:val="005F6BE5"/>
    <w:rsid w:val="00603EB0"/>
    <w:rsid w:val="00604128"/>
    <w:rsid w:val="00607496"/>
    <w:rsid w:val="00614C30"/>
    <w:rsid w:val="00632EDA"/>
    <w:rsid w:val="0063556E"/>
    <w:rsid w:val="00637397"/>
    <w:rsid w:val="00640892"/>
    <w:rsid w:val="00640EC0"/>
    <w:rsid w:val="00644724"/>
    <w:rsid w:val="00650345"/>
    <w:rsid w:val="006516F2"/>
    <w:rsid w:val="006523A4"/>
    <w:rsid w:val="0065251C"/>
    <w:rsid w:val="00654D08"/>
    <w:rsid w:val="0066264A"/>
    <w:rsid w:val="00662960"/>
    <w:rsid w:val="006705A1"/>
    <w:rsid w:val="0067125D"/>
    <w:rsid w:val="00673546"/>
    <w:rsid w:val="00680082"/>
    <w:rsid w:val="00682778"/>
    <w:rsid w:val="00685074"/>
    <w:rsid w:val="006914D6"/>
    <w:rsid w:val="00695701"/>
    <w:rsid w:val="00696CC7"/>
    <w:rsid w:val="006A1049"/>
    <w:rsid w:val="006A1323"/>
    <w:rsid w:val="006A365C"/>
    <w:rsid w:val="006B186D"/>
    <w:rsid w:val="006B21A7"/>
    <w:rsid w:val="006C3579"/>
    <w:rsid w:val="006D01E1"/>
    <w:rsid w:val="006D3F9A"/>
    <w:rsid w:val="006E3C2E"/>
    <w:rsid w:val="006F38C4"/>
    <w:rsid w:val="006F47AC"/>
    <w:rsid w:val="006F5239"/>
    <w:rsid w:val="006F7A32"/>
    <w:rsid w:val="00701E02"/>
    <w:rsid w:val="0070777E"/>
    <w:rsid w:val="007113E5"/>
    <w:rsid w:val="007146CA"/>
    <w:rsid w:val="007272EA"/>
    <w:rsid w:val="00730B8C"/>
    <w:rsid w:val="007344A0"/>
    <w:rsid w:val="00734858"/>
    <w:rsid w:val="00735709"/>
    <w:rsid w:val="00743382"/>
    <w:rsid w:val="0074347E"/>
    <w:rsid w:val="0074419F"/>
    <w:rsid w:val="00753AAD"/>
    <w:rsid w:val="0076562C"/>
    <w:rsid w:val="007703D6"/>
    <w:rsid w:val="00770E63"/>
    <w:rsid w:val="00782686"/>
    <w:rsid w:val="00784786"/>
    <w:rsid w:val="007854D4"/>
    <w:rsid w:val="007869FB"/>
    <w:rsid w:val="00797372"/>
    <w:rsid w:val="007A12AC"/>
    <w:rsid w:val="007A33CD"/>
    <w:rsid w:val="007A54AB"/>
    <w:rsid w:val="007C58B9"/>
    <w:rsid w:val="007C5D57"/>
    <w:rsid w:val="007E09C7"/>
    <w:rsid w:val="007F0815"/>
    <w:rsid w:val="007F3472"/>
    <w:rsid w:val="007F695B"/>
    <w:rsid w:val="0080310F"/>
    <w:rsid w:val="00805399"/>
    <w:rsid w:val="00807C5F"/>
    <w:rsid w:val="0081700F"/>
    <w:rsid w:val="00827B35"/>
    <w:rsid w:val="00831366"/>
    <w:rsid w:val="008335EC"/>
    <w:rsid w:val="008423DC"/>
    <w:rsid w:val="00856143"/>
    <w:rsid w:val="00871909"/>
    <w:rsid w:val="008772F7"/>
    <w:rsid w:val="00880384"/>
    <w:rsid w:val="00890A4E"/>
    <w:rsid w:val="0089163A"/>
    <w:rsid w:val="00895E29"/>
    <w:rsid w:val="008A0024"/>
    <w:rsid w:val="008A26D0"/>
    <w:rsid w:val="008A39C6"/>
    <w:rsid w:val="008A3F53"/>
    <w:rsid w:val="008B4204"/>
    <w:rsid w:val="008B59A3"/>
    <w:rsid w:val="008B65B1"/>
    <w:rsid w:val="008B66A4"/>
    <w:rsid w:val="008B736C"/>
    <w:rsid w:val="008B78B7"/>
    <w:rsid w:val="008C5677"/>
    <w:rsid w:val="008C5AED"/>
    <w:rsid w:val="008C7CB4"/>
    <w:rsid w:val="008D7BBB"/>
    <w:rsid w:val="008E1F77"/>
    <w:rsid w:val="008E411C"/>
    <w:rsid w:val="008F38AE"/>
    <w:rsid w:val="008F58D5"/>
    <w:rsid w:val="008F604F"/>
    <w:rsid w:val="008F7241"/>
    <w:rsid w:val="008FE6A8"/>
    <w:rsid w:val="00902AC3"/>
    <w:rsid w:val="00902B6A"/>
    <w:rsid w:val="009129A6"/>
    <w:rsid w:val="00912BF3"/>
    <w:rsid w:val="00917E22"/>
    <w:rsid w:val="009211C6"/>
    <w:rsid w:val="00921B1D"/>
    <w:rsid w:val="0092536E"/>
    <w:rsid w:val="00925E6A"/>
    <w:rsid w:val="00933C6A"/>
    <w:rsid w:val="00936F67"/>
    <w:rsid w:val="00940DBA"/>
    <w:rsid w:val="00941B5E"/>
    <w:rsid w:val="00942A4B"/>
    <w:rsid w:val="00943999"/>
    <w:rsid w:val="0094711D"/>
    <w:rsid w:val="00961CD4"/>
    <w:rsid w:val="00964D50"/>
    <w:rsid w:val="0097149C"/>
    <w:rsid w:val="00972E3A"/>
    <w:rsid w:val="00977FAD"/>
    <w:rsid w:val="0098003F"/>
    <w:rsid w:val="00982FBC"/>
    <w:rsid w:val="0098749F"/>
    <w:rsid w:val="0099368D"/>
    <w:rsid w:val="009964E2"/>
    <w:rsid w:val="009A4083"/>
    <w:rsid w:val="009B0DE8"/>
    <w:rsid w:val="009B3468"/>
    <w:rsid w:val="009B7B68"/>
    <w:rsid w:val="009D0784"/>
    <w:rsid w:val="009D2181"/>
    <w:rsid w:val="009D3518"/>
    <w:rsid w:val="009D3F65"/>
    <w:rsid w:val="009D665A"/>
    <w:rsid w:val="009D7734"/>
    <w:rsid w:val="009E6D84"/>
    <w:rsid w:val="009E763B"/>
    <w:rsid w:val="009F6009"/>
    <w:rsid w:val="00A035CF"/>
    <w:rsid w:val="00A05896"/>
    <w:rsid w:val="00A07353"/>
    <w:rsid w:val="00A12380"/>
    <w:rsid w:val="00A213C6"/>
    <w:rsid w:val="00A30684"/>
    <w:rsid w:val="00A360EC"/>
    <w:rsid w:val="00A405ED"/>
    <w:rsid w:val="00A41A8E"/>
    <w:rsid w:val="00A41FB4"/>
    <w:rsid w:val="00A42936"/>
    <w:rsid w:val="00A468D9"/>
    <w:rsid w:val="00A52329"/>
    <w:rsid w:val="00A53E2E"/>
    <w:rsid w:val="00A61D72"/>
    <w:rsid w:val="00A67625"/>
    <w:rsid w:val="00A7093C"/>
    <w:rsid w:val="00A729F1"/>
    <w:rsid w:val="00A7467A"/>
    <w:rsid w:val="00A86E3D"/>
    <w:rsid w:val="00A93E7D"/>
    <w:rsid w:val="00AA0849"/>
    <w:rsid w:val="00AA106C"/>
    <w:rsid w:val="00AA190B"/>
    <w:rsid w:val="00AA2E58"/>
    <w:rsid w:val="00AA4F04"/>
    <w:rsid w:val="00AB0EDE"/>
    <w:rsid w:val="00AB3D09"/>
    <w:rsid w:val="00AC708F"/>
    <w:rsid w:val="00AD7E7B"/>
    <w:rsid w:val="00AE150F"/>
    <w:rsid w:val="00AE4880"/>
    <w:rsid w:val="00AE4A53"/>
    <w:rsid w:val="00AE5E3B"/>
    <w:rsid w:val="00AF1A93"/>
    <w:rsid w:val="00AF40EA"/>
    <w:rsid w:val="00AF537E"/>
    <w:rsid w:val="00AF5CCC"/>
    <w:rsid w:val="00AF636E"/>
    <w:rsid w:val="00B00BEA"/>
    <w:rsid w:val="00B02AC2"/>
    <w:rsid w:val="00B17A6F"/>
    <w:rsid w:val="00B17F41"/>
    <w:rsid w:val="00B318CB"/>
    <w:rsid w:val="00B33A45"/>
    <w:rsid w:val="00B35F31"/>
    <w:rsid w:val="00B368A3"/>
    <w:rsid w:val="00B4481A"/>
    <w:rsid w:val="00B51132"/>
    <w:rsid w:val="00B53776"/>
    <w:rsid w:val="00B60755"/>
    <w:rsid w:val="00B61AA5"/>
    <w:rsid w:val="00B66334"/>
    <w:rsid w:val="00B75890"/>
    <w:rsid w:val="00B77EBD"/>
    <w:rsid w:val="00B8189C"/>
    <w:rsid w:val="00B82EBE"/>
    <w:rsid w:val="00B8502E"/>
    <w:rsid w:val="00B863A2"/>
    <w:rsid w:val="00B90C58"/>
    <w:rsid w:val="00B96922"/>
    <w:rsid w:val="00BA5F98"/>
    <w:rsid w:val="00BB282E"/>
    <w:rsid w:val="00BC269D"/>
    <w:rsid w:val="00BD0CC9"/>
    <w:rsid w:val="00BD37B8"/>
    <w:rsid w:val="00BE0EFB"/>
    <w:rsid w:val="00BE3342"/>
    <w:rsid w:val="00BE4AA9"/>
    <w:rsid w:val="00BE4DA0"/>
    <w:rsid w:val="00BE600A"/>
    <w:rsid w:val="00BE61FC"/>
    <w:rsid w:val="00BE66EC"/>
    <w:rsid w:val="00BF5E62"/>
    <w:rsid w:val="00C01FFE"/>
    <w:rsid w:val="00C05E50"/>
    <w:rsid w:val="00C07A85"/>
    <w:rsid w:val="00C07D04"/>
    <w:rsid w:val="00C23502"/>
    <w:rsid w:val="00C26CA5"/>
    <w:rsid w:val="00C44E87"/>
    <w:rsid w:val="00C4522F"/>
    <w:rsid w:val="00C50F43"/>
    <w:rsid w:val="00C51EBB"/>
    <w:rsid w:val="00C72A70"/>
    <w:rsid w:val="00C73562"/>
    <w:rsid w:val="00C7396B"/>
    <w:rsid w:val="00C73974"/>
    <w:rsid w:val="00C773B0"/>
    <w:rsid w:val="00C80C97"/>
    <w:rsid w:val="00C918F2"/>
    <w:rsid w:val="00C91A5D"/>
    <w:rsid w:val="00C957B4"/>
    <w:rsid w:val="00CA2637"/>
    <w:rsid w:val="00CA4BDD"/>
    <w:rsid w:val="00CB2DDB"/>
    <w:rsid w:val="00CB2EDA"/>
    <w:rsid w:val="00CB3108"/>
    <w:rsid w:val="00CB414E"/>
    <w:rsid w:val="00CB59AB"/>
    <w:rsid w:val="00CB6993"/>
    <w:rsid w:val="00CC0FD0"/>
    <w:rsid w:val="00CC6FAB"/>
    <w:rsid w:val="00CD0A55"/>
    <w:rsid w:val="00CD6B24"/>
    <w:rsid w:val="00CE22F3"/>
    <w:rsid w:val="00CE6B0E"/>
    <w:rsid w:val="00CF53BB"/>
    <w:rsid w:val="00D06CB2"/>
    <w:rsid w:val="00D12779"/>
    <w:rsid w:val="00D17C65"/>
    <w:rsid w:val="00D24BC2"/>
    <w:rsid w:val="00D26AFE"/>
    <w:rsid w:val="00D30002"/>
    <w:rsid w:val="00D30C53"/>
    <w:rsid w:val="00D34357"/>
    <w:rsid w:val="00D34BAB"/>
    <w:rsid w:val="00D35DDF"/>
    <w:rsid w:val="00D37BA8"/>
    <w:rsid w:val="00D463AD"/>
    <w:rsid w:val="00D51D4C"/>
    <w:rsid w:val="00D5347D"/>
    <w:rsid w:val="00D53BAE"/>
    <w:rsid w:val="00D54B2D"/>
    <w:rsid w:val="00D56DA6"/>
    <w:rsid w:val="00D57E12"/>
    <w:rsid w:val="00D63DD7"/>
    <w:rsid w:val="00D65789"/>
    <w:rsid w:val="00D65C65"/>
    <w:rsid w:val="00D6738F"/>
    <w:rsid w:val="00D752B3"/>
    <w:rsid w:val="00D7614C"/>
    <w:rsid w:val="00D82388"/>
    <w:rsid w:val="00D87B8E"/>
    <w:rsid w:val="00D900B0"/>
    <w:rsid w:val="00D969CD"/>
    <w:rsid w:val="00DB4EDA"/>
    <w:rsid w:val="00DB631F"/>
    <w:rsid w:val="00DC0EE0"/>
    <w:rsid w:val="00DC1FA8"/>
    <w:rsid w:val="00DC733D"/>
    <w:rsid w:val="00DD51B1"/>
    <w:rsid w:val="00DD6DDD"/>
    <w:rsid w:val="00DE1071"/>
    <w:rsid w:val="00DE168A"/>
    <w:rsid w:val="00DE750B"/>
    <w:rsid w:val="00DE7EF1"/>
    <w:rsid w:val="00DF2A44"/>
    <w:rsid w:val="00DF5F99"/>
    <w:rsid w:val="00E04130"/>
    <w:rsid w:val="00E10875"/>
    <w:rsid w:val="00E11B5D"/>
    <w:rsid w:val="00E13C6D"/>
    <w:rsid w:val="00E168B2"/>
    <w:rsid w:val="00E200DB"/>
    <w:rsid w:val="00E21484"/>
    <w:rsid w:val="00E23402"/>
    <w:rsid w:val="00E23C12"/>
    <w:rsid w:val="00E34564"/>
    <w:rsid w:val="00E377BD"/>
    <w:rsid w:val="00E51B63"/>
    <w:rsid w:val="00E57009"/>
    <w:rsid w:val="00E644CD"/>
    <w:rsid w:val="00E65D1B"/>
    <w:rsid w:val="00E71380"/>
    <w:rsid w:val="00E72A72"/>
    <w:rsid w:val="00E74725"/>
    <w:rsid w:val="00E80C16"/>
    <w:rsid w:val="00E80FE3"/>
    <w:rsid w:val="00E83D50"/>
    <w:rsid w:val="00E8484A"/>
    <w:rsid w:val="00E95B39"/>
    <w:rsid w:val="00E9743D"/>
    <w:rsid w:val="00E97C47"/>
    <w:rsid w:val="00EA38A6"/>
    <w:rsid w:val="00EA5653"/>
    <w:rsid w:val="00EB02EB"/>
    <w:rsid w:val="00EB41F7"/>
    <w:rsid w:val="00EB55F7"/>
    <w:rsid w:val="00EC20B2"/>
    <w:rsid w:val="00ED2B21"/>
    <w:rsid w:val="00ED6DEA"/>
    <w:rsid w:val="00ED6FF6"/>
    <w:rsid w:val="00ED7521"/>
    <w:rsid w:val="00EE2176"/>
    <w:rsid w:val="00EE5CCE"/>
    <w:rsid w:val="00EE7ACA"/>
    <w:rsid w:val="00EF3813"/>
    <w:rsid w:val="00F02000"/>
    <w:rsid w:val="00F027D8"/>
    <w:rsid w:val="00F04087"/>
    <w:rsid w:val="00F06E23"/>
    <w:rsid w:val="00F06FE0"/>
    <w:rsid w:val="00F16789"/>
    <w:rsid w:val="00F16B8E"/>
    <w:rsid w:val="00F17C9D"/>
    <w:rsid w:val="00F21750"/>
    <w:rsid w:val="00F22863"/>
    <w:rsid w:val="00F35E00"/>
    <w:rsid w:val="00F36561"/>
    <w:rsid w:val="00F365F9"/>
    <w:rsid w:val="00F42618"/>
    <w:rsid w:val="00F45CDE"/>
    <w:rsid w:val="00F50CB5"/>
    <w:rsid w:val="00F50D37"/>
    <w:rsid w:val="00F616F1"/>
    <w:rsid w:val="00F61E11"/>
    <w:rsid w:val="00F72088"/>
    <w:rsid w:val="00F74136"/>
    <w:rsid w:val="00F7625C"/>
    <w:rsid w:val="00F7668D"/>
    <w:rsid w:val="00F8163D"/>
    <w:rsid w:val="00F86A89"/>
    <w:rsid w:val="00F91DD0"/>
    <w:rsid w:val="00FA02E1"/>
    <w:rsid w:val="00FA32AE"/>
    <w:rsid w:val="00FA345C"/>
    <w:rsid w:val="00FB1B34"/>
    <w:rsid w:val="00FB1D5D"/>
    <w:rsid w:val="00FB1DEA"/>
    <w:rsid w:val="00FB4329"/>
    <w:rsid w:val="00FC09BB"/>
    <w:rsid w:val="00FC1446"/>
    <w:rsid w:val="00FC1665"/>
    <w:rsid w:val="00FC5357"/>
    <w:rsid w:val="00FC6645"/>
    <w:rsid w:val="00FC715E"/>
    <w:rsid w:val="00FD159B"/>
    <w:rsid w:val="00FD5283"/>
    <w:rsid w:val="00FD6FF6"/>
    <w:rsid w:val="00FE04DE"/>
    <w:rsid w:val="00FE2A18"/>
    <w:rsid w:val="00FE5863"/>
    <w:rsid w:val="00FE6C12"/>
    <w:rsid w:val="00FF4167"/>
    <w:rsid w:val="00FF5B9D"/>
    <w:rsid w:val="013FE9D4"/>
    <w:rsid w:val="015D165B"/>
    <w:rsid w:val="0220DA40"/>
    <w:rsid w:val="0260F39E"/>
    <w:rsid w:val="03A43148"/>
    <w:rsid w:val="04134C8D"/>
    <w:rsid w:val="04542A81"/>
    <w:rsid w:val="05898227"/>
    <w:rsid w:val="05F2E438"/>
    <w:rsid w:val="0671DCB0"/>
    <w:rsid w:val="0686BE38"/>
    <w:rsid w:val="068FF70E"/>
    <w:rsid w:val="06E89E29"/>
    <w:rsid w:val="07ECCC14"/>
    <w:rsid w:val="08DDC093"/>
    <w:rsid w:val="0933BD07"/>
    <w:rsid w:val="095B8D12"/>
    <w:rsid w:val="09A1B301"/>
    <w:rsid w:val="09C88987"/>
    <w:rsid w:val="09DAAD11"/>
    <w:rsid w:val="0A004A09"/>
    <w:rsid w:val="0A20461F"/>
    <w:rsid w:val="0A35E514"/>
    <w:rsid w:val="0A7C8965"/>
    <w:rsid w:val="0A9B46C4"/>
    <w:rsid w:val="0AEA0E51"/>
    <w:rsid w:val="0B2A797B"/>
    <w:rsid w:val="0B674FA7"/>
    <w:rsid w:val="0BC8E81F"/>
    <w:rsid w:val="0BEC9BCD"/>
    <w:rsid w:val="0CC5C35E"/>
    <w:rsid w:val="0D175831"/>
    <w:rsid w:val="0D5DE4AA"/>
    <w:rsid w:val="0D83B80D"/>
    <w:rsid w:val="0D88AC49"/>
    <w:rsid w:val="0DA679CD"/>
    <w:rsid w:val="0DB77B17"/>
    <w:rsid w:val="0E0D6EB9"/>
    <w:rsid w:val="0E4FB237"/>
    <w:rsid w:val="0E9F68CA"/>
    <w:rsid w:val="0ECF7E3C"/>
    <w:rsid w:val="0EEFCDD1"/>
    <w:rsid w:val="0F1BC2A7"/>
    <w:rsid w:val="0F8A2292"/>
    <w:rsid w:val="0F9438F0"/>
    <w:rsid w:val="0FD8DCF2"/>
    <w:rsid w:val="0FFC58E8"/>
    <w:rsid w:val="107040F3"/>
    <w:rsid w:val="112F8389"/>
    <w:rsid w:val="1159FD48"/>
    <w:rsid w:val="116F7AD1"/>
    <w:rsid w:val="11F029D3"/>
    <w:rsid w:val="12102247"/>
    <w:rsid w:val="123C859C"/>
    <w:rsid w:val="1285EFF3"/>
    <w:rsid w:val="12ABA90B"/>
    <w:rsid w:val="134F3175"/>
    <w:rsid w:val="13785460"/>
    <w:rsid w:val="137A5D6F"/>
    <w:rsid w:val="140FB906"/>
    <w:rsid w:val="1460F62D"/>
    <w:rsid w:val="148E38D3"/>
    <w:rsid w:val="148E7BFB"/>
    <w:rsid w:val="14CB58BB"/>
    <w:rsid w:val="156448DB"/>
    <w:rsid w:val="15990625"/>
    <w:rsid w:val="15A98772"/>
    <w:rsid w:val="163323C8"/>
    <w:rsid w:val="16C49EF2"/>
    <w:rsid w:val="175842A8"/>
    <w:rsid w:val="175F4038"/>
    <w:rsid w:val="17789C84"/>
    <w:rsid w:val="182DB23E"/>
    <w:rsid w:val="18B3DA1D"/>
    <w:rsid w:val="190AAFC5"/>
    <w:rsid w:val="19651BB3"/>
    <w:rsid w:val="19CBF814"/>
    <w:rsid w:val="1A59B265"/>
    <w:rsid w:val="1AD34D72"/>
    <w:rsid w:val="1B29A71A"/>
    <w:rsid w:val="1B32C1A2"/>
    <w:rsid w:val="1BCE8EF4"/>
    <w:rsid w:val="1BD3AC4E"/>
    <w:rsid w:val="1C7FE80A"/>
    <w:rsid w:val="1C83F577"/>
    <w:rsid w:val="1D2DF33C"/>
    <w:rsid w:val="1D5FB9E5"/>
    <w:rsid w:val="1D79F9DE"/>
    <w:rsid w:val="1DD8E8A5"/>
    <w:rsid w:val="1E00660C"/>
    <w:rsid w:val="1EA1E881"/>
    <w:rsid w:val="1EE021BC"/>
    <w:rsid w:val="1F0A71F6"/>
    <w:rsid w:val="201DF6AE"/>
    <w:rsid w:val="2036D3EC"/>
    <w:rsid w:val="208CD70F"/>
    <w:rsid w:val="20CC9D3C"/>
    <w:rsid w:val="21FA6EF0"/>
    <w:rsid w:val="222C66FE"/>
    <w:rsid w:val="22F0A537"/>
    <w:rsid w:val="231DB208"/>
    <w:rsid w:val="2323CEC8"/>
    <w:rsid w:val="2427505A"/>
    <w:rsid w:val="248A717C"/>
    <w:rsid w:val="249BA6F1"/>
    <w:rsid w:val="255BD7BF"/>
    <w:rsid w:val="2564FFC4"/>
    <w:rsid w:val="258B9907"/>
    <w:rsid w:val="25A286EE"/>
    <w:rsid w:val="25FE398B"/>
    <w:rsid w:val="26D5C6C1"/>
    <w:rsid w:val="2763B985"/>
    <w:rsid w:val="278B79CB"/>
    <w:rsid w:val="278BE1C7"/>
    <w:rsid w:val="27CA744D"/>
    <w:rsid w:val="27CD77BE"/>
    <w:rsid w:val="2808561F"/>
    <w:rsid w:val="28271608"/>
    <w:rsid w:val="2940B31F"/>
    <w:rsid w:val="294CB2CF"/>
    <w:rsid w:val="2A0A81C7"/>
    <w:rsid w:val="2A1A1B4F"/>
    <w:rsid w:val="2A6BC4C8"/>
    <w:rsid w:val="2A6C9EA2"/>
    <w:rsid w:val="2AA7A77B"/>
    <w:rsid w:val="2BEFC25D"/>
    <w:rsid w:val="2BF7B408"/>
    <w:rsid w:val="2C345376"/>
    <w:rsid w:val="2C6C8A19"/>
    <w:rsid w:val="2CD8A0FD"/>
    <w:rsid w:val="2D48E5C6"/>
    <w:rsid w:val="2DC32388"/>
    <w:rsid w:val="2DEF7502"/>
    <w:rsid w:val="2FEABA0A"/>
    <w:rsid w:val="3099164D"/>
    <w:rsid w:val="3110AA53"/>
    <w:rsid w:val="3115C996"/>
    <w:rsid w:val="31210494"/>
    <w:rsid w:val="31F0F266"/>
    <w:rsid w:val="3253B3E6"/>
    <w:rsid w:val="32603F86"/>
    <w:rsid w:val="331468A4"/>
    <w:rsid w:val="331C74AC"/>
    <w:rsid w:val="33570808"/>
    <w:rsid w:val="339FDFF4"/>
    <w:rsid w:val="33AA40B6"/>
    <w:rsid w:val="343C31E7"/>
    <w:rsid w:val="348AFF23"/>
    <w:rsid w:val="34A66534"/>
    <w:rsid w:val="35216A6A"/>
    <w:rsid w:val="354B87BE"/>
    <w:rsid w:val="3571784B"/>
    <w:rsid w:val="35F83701"/>
    <w:rsid w:val="3631E8D0"/>
    <w:rsid w:val="3655A6A1"/>
    <w:rsid w:val="3664D24B"/>
    <w:rsid w:val="36DED3C0"/>
    <w:rsid w:val="37446659"/>
    <w:rsid w:val="3757E279"/>
    <w:rsid w:val="3865BB5D"/>
    <w:rsid w:val="3896A64D"/>
    <w:rsid w:val="390E072A"/>
    <w:rsid w:val="3A4FF2DE"/>
    <w:rsid w:val="3A70F732"/>
    <w:rsid w:val="3AF5880F"/>
    <w:rsid w:val="3B07E28A"/>
    <w:rsid w:val="3B15AAD5"/>
    <w:rsid w:val="3C628041"/>
    <w:rsid w:val="3D56AE70"/>
    <w:rsid w:val="3DA266EC"/>
    <w:rsid w:val="3DDEBEEE"/>
    <w:rsid w:val="3E2D09F0"/>
    <w:rsid w:val="3E809D7F"/>
    <w:rsid w:val="3E989371"/>
    <w:rsid w:val="3EB903CC"/>
    <w:rsid w:val="3EF5B318"/>
    <w:rsid w:val="3F9D8609"/>
    <w:rsid w:val="3FC7DE83"/>
    <w:rsid w:val="3FF4FF0B"/>
    <w:rsid w:val="40168D22"/>
    <w:rsid w:val="4048C89C"/>
    <w:rsid w:val="4061C8DD"/>
    <w:rsid w:val="40E5F4F9"/>
    <w:rsid w:val="40F0BF16"/>
    <w:rsid w:val="412C6202"/>
    <w:rsid w:val="41C5FCB9"/>
    <w:rsid w:val="41FD6245"/>
    <w:rsid w:val="42B17D3B"/>
    <w:rsid w:val="42C4C00C"/>
    <w:rsid w:val="42FCB20A"/>
    <w:rsid w:val="4399A642"/>
    <w:rsid w:val="439C229B"/>
    <w:rsid w:val="43A3E29D"/>
    <w:rsid w:val="4498FC96"/>
    <w:rsid w:val="44E17713"/>
    <w:rsid w:val="44E6AABC"/>
    <w:rsid w:val="44F5816D"/>
    <w:rsid w:val="45B8A86E"/>
    <w:rsid w:val="45C212E3"/>
    <w:rsid w:val="45FF7176"/>
    <w:rsid w:val="469D16B2"/>
    <w:rsid w:val="469EDE9C"/>
    <w:rsid w:val="46A9E610"/>
    <w:rsid w:val="46C4D9E4"/>
    <w:rsid w:val="475DB7F8"/>
    <w:rsid w:val="47B104E5"/>
    <w:rsid w:val="47CDD4F9"/>
    <w:rsid w:val="482673ED"/>
    <w:rsid w:val="482A793F"/>
    <w:rsid w:val="48EE5ECE"/>
    <w:rsid w:val="49A53FA0"/>
    <w:rsid w:val="49AEACC9"/>
    <w:rsid w:val="4A97475D"/>
    <w:rsid w:val="4AA3573D"/>
    <w:rsid w:val="4AFC2506"/>
    <w:rsid w:val="4B03B261"/>
    <w:rsid w:val="4BA4D477"/>
    <w:rsid w:val="4BB13434"/>
    <w:rsid w:val="4C242F0B"/>
    <w:rsid w:val="4C388C38"/>
    <w:rsid w:val="4C6DB3B2"/>
    <w:rsid w:val="4CC759BC"/>
    <w:rsid w:val="4CD86E19"/>
    <w:rsid w:val="4D04C338"/>
    <w:rsid w:val="4D43530A"/>
    <w:rsid w:val="4D78CE81"/>
    <w:rsid w:val="4D7C1CF6"/>
    <w:rsid w:val="4D8E374D"/>
    <w:rsid w:val="4DC93506"/>
    <w:rsid w:val="4DCACC4A"/>
    <w:rsid w:val="4E5BB550"/>
    <w:rsid w:val="4EB3DA77"/>
    <w:rsid w:val="4FB1C3E8"/>
    <w:rsid w:val="4FF8C226"/>
    <w:rsid w:val="50160BC1"/>
    <w:rsid w:val="50204614"/>
    <w:rsid w:val="50741BD5"/>
    <w:rsid w:val="50F7C42F"/>
    <w:rsid w:val="50F8B323"/>
    <w:rsid w:val="5125EE8F"/>
    <w:rsid w:val="513A0196"/>
    <w:rsid w:val="51BFF1ED"/>
    <w:rsid w:val="5209612B"/>
    <w:rsid w:val="5209A37B"/>
    <w:rsid w:val="5266748F"/>
    <w:rsid w:val="530583E2"/>
    <w:rsid w:val="5314501F"/>
    <w:rsid w:val="53388D09"/>
    <w:rsid w:val="533C43DC"/>
    <w:rsid w:val="547BB197"/>
    <w:rsid w:val="54C05C01"/>
    <w:rsid w:val="54DEF90B"/>
    <w:rsid w:val="555146ED"/>
    <w:rsid w:val="5579E81A"/>
    <w:rsid w:val="55A53DCE"/>
    <w:rsid w:val="55C5A805"/>
    <w:rsid w:val="562B76EE"/>
    <w:rsid w:val="578E86E3"/>
    <w:rsid w:val="579450A0"/>
    <w:rsid w:val="57B9C118"/>
    <w:rsid w:val="5829EE8D"/>
    <w:rsid w:val="582C2DD6"/>
    <w:rsid w:val="592DE54A"/>
    <w:rsid w:val="596C07F5"/>
    <w:rsid w:val="599935E2"/>
    <w:rsid w:val="59B4D77E"/>
    <w:rsid w:val="5AFC563F"/>
    <w:rsid w:val="5B0CA516"/>
    <w:rsid w:val="5B211B10"/>
    <w:rsid w:val="5B59B8DA"/>
    <w:rsid w:val="5BED1353"/>
    <w:rsid w:val="5BF86F16"/>
    <w:rsid w:val="5C2BB2EB"/>
    <w:rsid w:val="5CAD1311"/>
    <w:rsid w:val="5CC2FEC5"/>
    <w:rsid w:val="5CCC5A2F"/>
    <w:rsid w:val="5CCDB4B7"/>
    <w:rsid w:val="5D1AE706"/>
    <w:rsid w:val="5D2B8A44"/>
    <w:rsid w:val="5D52A16A"/>
    <w:rsid w:val="5D83B47C"/>
    <w:rsid w:val="5D897E86"/>
    <w:rsid w:val="5DEBD45B"/>
    <w:rsid w:val="5EAC00FC"/>
    <w:rsid w:val="6028697F"/>
    <w:rsid w:val="6075AAD0"/>
    <w:rsid w:val="60F7CC7C"/>
    <w:rsid w:val="629063C7"/>
    <w:rsid w:val="63E0B8D9"/>
    <w:rsid w:val="64AC2B88"/>
    <w:rsid w:val="64FF0821"/>
    <w:rsid w:val="65F662D4"/>
    <w:rsid w:val="6644DF7C"/>
    <w:rsid w:val="666596A9"/>
    <w:rsid w:val="66C7664B"/>
    <w:rsid w:val="6765FDD7"/>
    <w:rsid w:val="6776B3CE"/>
    <w:rsid w:val="677CA5DC"/>
    <w:rsid w:val="678016CB"/>
    <w:rsid w:val="67FADC80"/>
    <w:rsid w:val="682550B7"/>
    <w:rsid w:val="68BC43CC"/>
    <w:rsid w:val="68C6014D"/>
    <w:rsid w:val="699B9178"/>
    <w:rsid w:val="6A6FF23F"/>
    <w:rsid w:val="6B24FABE"/>
    <w:rsid w:val="6B78F578"/>
    <w:rsid w:val="6C59D4A9"/>
    <w:rsid w:val="6C5F0CBC"/>
    <w:rsid w:val="6C87B173"/>
    <w:rsid w:val="6D16F575"/>
    <w:rsid w:val="6D25F8CF"/>
    <w:rsid w:val="6D3FE1EF"/>
    <w:rsid w:val="6D4B7737"/>
    <w:rsid w:val="6D575015"/>
    <w:rsid w:val="6D5E318D"/>
    <w:rsid w:val="6D8732F1"/>
    <w:rsid w:val="6D8F396A"/>
    <w:rsid w:val="6DB867A6"/>
    <w:rsid w:val="6DC5ECF4"/>
    <w:rsid w:val="6DCA9E25"/>
    <w:rsid w:val="6E1FBB81"/>
    <w:rsid w:val="6EA4A914"/>
    <w:rsid w:val="6EA99FAE"/>
    <w:rsid w:val="6EC474B6"/>
    <w:rsid w:val="6EDBA35B"/>
    <w:rsid w:val="6F0D3F06"/>
    <w:rsid w:val="6FCB58C5"/>
    <w:rsid w:val="6FDD24C0"/>
    <w:rsid w:val="7051D594"/>
    <w:rsid w:val="706F9A34"/>
    <w:rsid w:val="7089F79D"/>
    <w:rsid w:val="709753CD"/>
    <w:rsid w:val="70C0C7A8"/>
    <w:rsid w:val="70F903BB"/>
    <w:rsid w:val="7181B621"/>
    <w:rsid w:val="71FAF291"/>
    <w:rsid w:val="72D00AFD"/>
    <w:rsid w:val="72FA077D"/>
    <w:rsid w:val="73C3D20B"/>
    <w:rsid w:val="74026AF6"/>
    <w:rsid w:val="74328A93"/>
    <w:rsid w:val="745D6FD5"/>
    <w:rsid w:val="74BDB6E3"/>
    <w:rsid w:val="7536343E"/>
    <w:rsid w:val="75D09240"/>
    <w:rsid w:val="7616CB80"/>
    <w:rsid w:val="76C5DF52"/>
    <w:rsid w:val="76ECC688"/>
    <w:rsid w:val="7731103B"/>
    <w:rsid w:val="7736BD26"/>
    <w:rsid w:val="775E542D"/>
    <w:rsid w:val="77B8D8C4"/>
    <w:rsid w:val="788ED4AE"/>
    <w:rsid w:val="789F4512"/>
    <w:rsid w:val="78D5E521"/>
    <w:rsid w:val="790CADE9"/>
    <w:rsid w:val="797B4C1D"/>
    <w:rsid w:val="7A68320A"/>
    <w:rsid w:val="7B3474E1"/>
    <w:rsid w:val="7BC0D4F9"/>
    <w:rsid w:val="7CC13515"/>
    <w:rsid w:val="7D12843D"/>
    <w:rsid w:val="7D38CFBF"/>
    <w:rsid w:val="7DD7E84D"/>
    <w:rsid w:val="7DDC63BD"/>
    <w:rsid w:val="7E4B3882"/>
    <w:rsid w:val="7EA0C0D7"/>
    <w:rsid w:val="7F0960A1"/>
    <w:rsid w:val="7F1C4E0C"/>
    <w:rsid w:val="7F5B6CDB"/>
    <w:rsid w:val="7FCF827F"/>
    <w:rsid w:val="7FECC8A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2CD8"/>
  <w15:chartTrackingRefBased/>
  <w15:docId w15:val="{84F637ED-F6CC-4CE7-93B8-18F480727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F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F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F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F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F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F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F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F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F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F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F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F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F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F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F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F9A"/>
    <w:rPr>
      <w:rFonts w:eastAsiaTheme="majorEastAsia" w:cstheme="majorBidi"/>
      <w:color w:val="272727" w:themeColor="text1" w:themeTint="D8"/>
    </w:rPr>
  </w:style>
  <w:style w:type="paragraph" w:styleId="Title">
    <w:name w:val="Title"/>
    <w:basedOn w:val="Normal"/>
    <w:next w:val="Normal"/>
    <w:link w:val="TitleChar"/>
    <w:uiPriority w:val="10"/>
    <w:qFormat/>
    <w:rsid w:val="006D3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F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F9A"/>
    <w:pPr>
      <w:spacing w:before="160"/>
      <w:jc w:val="center"/>
    </w:pPr>
    <w:rPr>
      <w:i/>
      <w:iCs/>
      <w:color w:val="404040" w:themeColor="text1" w:themeTint="BF"/>
    </w:rPr>
  </w:style>
  <w:style w:type="character" w:customStyle="1" w:styleId="QuoteChar">
    <w:name w:val="Quote Char"/>
    <w:basedOn w:val="DefaultParagraphFont"/>
    <w:link w:val="Quote"/>
    <w:uiPriority w:val="29"/>
    <w:rsid w:val="006D3F9A"/>
    <w:rPr>
      <w:i/>
      <w:iCs/>
      <w:color w:val="404040" w:themeColor="text1" w:themeTint="BF"/>
    </w:rPr>
  </w:style>
  <w:style w:type="paragraph" w:styleId="ListParagraph">
    <w:name w:val="List Paragraph"/>
    <w:basedOn w:val="Normal"/>
    <w:uiPriority w:val="34"/>
    <w:qFormat/>
    <w:rsid w:val="006D3F9A"/>
    <w:pPr>
      <w:ind w:left="720"/>
      <w:contextualSpacing/>
    </w:pPr>
  </w:style>
  <w:style w:type="character" w:styleId="IntenseEmphasis">
    <w:name w:val="Intense Emphasis"/>
    <w:basedOn w:val="DefaultParagraphFont"/>
    <w:uiPriority w:val="21"/>
    <w:qFormat/>
    <w:rsid w:val="006D3F9A"/>
    <w:rPr>
      <w:i/>
      <w:iCs/>
      <w:color w:val="0F4761" w:themeColor="accent1" w:themeShade="BF"/>
    </w:rPr>
  </w:style>
  <w:style w:type="paragraph" w:styleId="IntenseQuote">
    <w:name w:val="Intense Quote"/>
    <w:basedOn w:val="Normal"/>
    <w:next w:val="Normal"/>
    <w:link w:val="IntenseQuoteChar"/>
    <w:uiPriority w:val="30"/>
    <w:qFormat/>
    <w:rsid w:val="006D3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F9A"/>
    <w:rPr>
      <w:i/>
      <w:iCs/>
      <w:color w:val="0F4761" w:themeColor="accent1" w:themeShade="BF"/>
    </w:rPr>
  </w:style>
  <w:style w:type="character" w:styleId="IntenseReference">
    <w:name w:val="Intense Reference"/>
    <w:basedOn w:val="DefaultParagraphFont"/>
    <w:uiPriority w:val="32"/>
    <w:qFormat/>
    <w:rsid w:val="006D3F9A"/>
    <w:rPr>
      <w:b/>
      <w:bCs/>
      <w:smallCaps/>
      <w:color w:val="0F4761" w:themeColor="accent1" w:themeShade="BF"/>
      <w:spacing w:val="5"/>
    </w:rPr>
  </w:style>
  <w:style w:type="character" w:styleId="Hyperlink">
    <w:name w:val="Hyperlink"/>
    <w:basedOn w:val="DefaultParagraphFont"/>
    <w:uiPriority w:val="99"/>
    <w:unhideWhenUsed/>
    <w:rsid w:val="006D3F9A"/>
    <w:rPr>
      <w:color w:val="467886" w:themeColor="hyperlink"/>
      <w:u w:val="single"/>
    </w:rPr>
  </w:style>
  <w:style w:type="character" w:styleId="UnresolvedMention">
    <w:name w:val="Unresolved Mention"/>
    <w:basedOn w:val="DefaultParagraphFont"/>
    <w:uiPriority w:val="99"/>
    <w:semiHidden/>
    <w:unhideWhenUsed/>
    <w:rsid w:val="006D3F9A"/>
    <w:rPr>
      <w:color w:val="605E5C"/>
      <w:shd w:val="clear" w:color="auto" w:fill="E1DFDD"/>
    </w:rPr>
  </w:style>
  <w:style w:type="paragraph" w:styleId="Revision">
    <w:name w:val="Revision"/>
    <w:hidden/>
    <w:uiPriority w:val="99"/>
    <w:semiHidden/>
    <w:rsid w:val="00DD6DDD"/>
    <w:pPr>
      <w:spacing w:after="0" w:line="240" w:lineRule="auto"/>
    </w:pPr>
  </w:style>
  <w:style w:type="paragraph" w:styleId="Bibliography">
    <w:name w:val="Bibliography"/>
    <w:basedOn w:val="Normal"/>
    <w:next w:val="Normal"/>
    <w:uiPriority w:val="37"/>
    <w:unhideWhenUsed/>
    <w:rsid w:val="00EF3813"/>
    <w:pPr>
      <w:spacing w:after="0" w:line="480" w:lineRule="auto"/>
      <w:ind w:left="720" w:hanging="720"/>
    </w:pPr>
  </w:style>
  <w:style w:type="table" w:styleId="TableGrid">
    <w:name w:val="Table Grid"/>
    <w:basedOn w:val="TableNormal"/>
    <w:uiPriority w:val="59"/>
    <w:rsid w:val="007344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E377BD"/>
    <w:rPr>
      <w:color w:val="96607D" w:themeColor="followedHyperlink"/>
      <w:u w:val="single"/>
    </w:rPr>
  </w:style>
  <w:style w:type="paragraph" w:styleId="NormalWeb">
    <w:name w:val="Normal (Web)"/>
    <w:basedOn w:val="Normal"/>
    <w:uiPriority w:val="99"/>
    <w:semiHidden/>
    <w:unhideWhenUsed/>
    <w:rsid w:val="001A418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6AABA-2887-4B06-9E8E-2257E8414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11</Pages>
  <Words>10278</Words>
  <Characters>68356</Characters>
  <Application>Microsoft Office Word</Application>
  <DocSecurity>0</DocSecurity>
  <Lines>1314</Lines>
  <Paragraphs>473</Paragraphs>
  <ScaleCrop>false</ScaleCrop>
  <Company/>
  <LinksUpToDate>false</LinksUpToDate>
  <CharactersWithSpaces>78161</CharactersWithSpaces>
  <SharedDoc>false</SharedDoc>
  <HLinks>
    <vt:vector size="18" baseType="variant">
      <vt:variant>
        <vt:i4>1179765</vt:i4>
      </vt:variant>
      <vt:variant>
        <vt:i4>27</vt:i4>
      </vt:variant>
      <vt:variant>
        <vt:i4>0</vt:i4>
      </vt:variant>
      <vt:variant>
        <vt:i4>5</vt:i4>
      </vt:variant>
      <vt:variant>
        <vt:lpwstr>https://ec.europa.eu/eurostat/databrowser/view/env_wasgen/default/bar?lang=en</vt:lpwstr>
      </vt:variant>
      <vt:variant>
        <vt:lpwstr/>
      </vt:variant>
      <vt:variant>
        <vt:i4>7536698</vt:i4>
      </vt:variant>
      <vt:variant>
        <vt:i4>24</vt:i4>
      </vt:variant>
      <vt:variant>
        <vt:i4>0</vt:i4>
      </vt:variant>
      <vt:variant>
        <vt:i4>5</vt:i4>
      </vt:variant>
      <vt:variant>
        <vt:lpwstr>https://www.dcceew.gov.au/environment/protection/waste/national-waste-reports/2022</vt:lpwstr>
      </vt:variant>
      <vt:variant>
        <vt:lpwstr/>
      </vt:variant>
      <vt:variant>
        <vt:i4>7471140</vt:i4>
      </vt:variant>
      <vt:variant>
        <vt:i4>21</vt:i4>
      </vt:variant>
      <vt:variant>
        <vt:i4>0</vt:i4>
      </vt:variant>
      <vt:variant>
        <vt:i4>5</vt:i4>
      </vt:variant>
      <vt:variant>
        <vt:lpwstr>https://oec.world/en/profile/bilateral-country/aus/partner/nld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Ding</dc:creator>
  <cp:keywords/>
  <dc:description/>
  <cp:lastModifiedBy>Lu Ding</cp:lastModifiedBy>
  <cp:revision>416</cp:revision>
  <dcterms:created xsi:type="dcterms:W3CDTF">2026-01-06T13:24:00Z</dcterms:created>
  <dcterms:modified xsi:type="dcterms:W3CDTF">2026-05-31T20:49:00Z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zotero-version="9.0.4"&gt;&lt;session id="IJDc3y7r"/&gt;&lt;style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