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6B71" w14:textId="223F32C0" w:rsidR="007972EC" w:rsidRDefault="007972EC" w:rsidP="00AB3B1B">
      <w:pPr>
        <w:pStyle w:val="Titel"/>
        <w:rPr>
          <w:sz w:val="44"/>
          <w:szCs w:val="44"/>
          <w:lang w:val="en-US"/>
        </w:rPr>
      </w:pPr>
      <w:r w:rsidRPr="00AB3B1B">
        <w:rPr>
          <w:sz w:val="44"/>
          <w:szCs w:val="44"/>
          <w:lang w:val="en-US"/>
        </w:rPr>
        <w:t>Strategic Partnerships as Stabilizing Platforms</w:t>
      </w:r>
      <w:r w:rsidR="00C062C1">
        <w:rPr>
          <w:sz w:val="44"/>
          <w:szCs w:val="44"/>
          <w:lang w:val="en-US"/>
        </w:rPr>
        <w:t xml:space="preserve"> - </w:t>
      </w:r>
      <w:r w:rsidRPr="00AB3B1B">
        <w:rPr>
          <w:sz w:val="44"/>
          <w:szCs w:val="44"/>
          <w:lang w:val="en-US"/>
        </w:rPr>
        <w:t>Extending Platform Theory in Construction</w:t>
      </w:r>
    </w:p>
    <w:p w14:paraId="3115F40C" w14:textId="2419710F" w:rsidR="002319FD" w:rsidRPr="00C95B71" w:rsidRDefault="00C95B71" w:rsidP="002319FD">
      <w:pPr>
        <w:rPr>
          <w:b/>
          <w:bCs/>
          <w:lang w:val="en-US"/>
        </w:rPr>
      </w:pPr>
      <w:r w:rsidRPr="00C95B71">
        <w:rPr>
          <w:b/>
          <w:bCs/>
          <w:lang w:val="en-US"/>
        </w:rPr>
        <w:t>Author</w:t>
      </w:r>
      <w:r w:rsidR="00FC76D1">
        <w:rPr>
          <w:b/>
          <w:bCs/>
          <w:lang w:val="en-US"/>
        </w:rPr>
        <w:t>s</w:t>
      </w:r>
    </w:p>
    <w:p w14:paraId="3FE34D93" w14:textId="06FFF2FC" w:rsidR="00C95B71" w:rsidRPr="00C638B8" w:rsidRDefault="004E199F" w:rsidP="00617A5B">
      <w:pPr>
        <w:rPr>
          <w:lang w:val="en-US"/>
        </w:rPr>
      </w:pPr>
      <w:r w:rsidRPr="00C638B8">
        <w:rPr>
          <w:lang w:val="en-US"/>
        </w:rPr>
        <w:t>Simone Dalvang</w:t>
      </w:r>
      <w:r w:rsidR="00C95B71" w:rsidRPr="00C638B8">
        <w:rPr>
          <w:lang w:val="en-US"/>
        </w:rPr>
        <w:t xml:space="preserve">, </w:t>
      </w:r>
      <w:r w:rsidR="00596FB0" w:rsidRPr="00C638B8">
        <w:rPr>
          <w:lang w:val="en-US"/>
        </w:rPr>
        <w:t xml:space="preserve">Suela </w:t>
      </w:r>
      <w:r w:rsidR="00C638B8" w:rsidRPr="00C638B8">
        <w:rPr>
          <w:lang w:val="en-US"/>
        </w:rPr>
        <w:t>Mahmudovski</w:t>
      </w:r>
      <w:r w:rsidR="00C638B8">
        <w:rPr>
          <w:lang w:val="en-US"/>
        </w:rPr>
        <w:t>,</w:t>
      </w:r>
      <w:r w:rsidR="00596FB0" w:rsidRPr="00C638B8">
        <w:rPr>
          <w:lang w:val="en-US"/>
        </w:rPr>
        <w:t xml:space="preserve"> Norah</w:t>
      </w:r>
      <w:r w:rsidR="00FC76D1">
        <w:rPr>
          <w:lang w:val="en-US"/>
        </w:rPr>
        <w:t xml:space="preserve"> </w:t>
      </w:r>
      <w:r w:rsidR="00FC76D1" w:rsidRPr="00FC76D1">
        <w:rPr>
          <w:lang w:val="en-US"/>
        </w:rPr>
        <w:t>Birkeland Sanchez</w:t>
      </w:r>
      <w:r w:rsidR="00596FB0" w:rsidRPr="00C638B8">
        <w:rPr>
          <w:lang w:val="en-US"/>
        </w:rPr>
        <w:t xml:space="preserve">, </w:t>
      </w:r>
      <w:r w:rsidR="00C95B71" w:rsidRPr="00C638B8">
        <w:rPr>
          <w:lang w:val="en-US"/>
        </w:rPr>
        <w:t xml:space="preserve">Christian </w:t>
      </w:r>
      <w:r w:rsidR="00FC76D1">
        <w:rPr>
          <w:lang w:val="en-US"/>
        </w:rPr>
        <w:t>Langhoff Thuesen</w:t>
      </w:r>
    </w:p>
    <w:p w14:paraId="2A5DB831" w14:textId="0CAC0FB5" w:rsidR="00617A5B" w:rsidRPr="00617A5B" w:rsidRDefault="00617A5B" w:rsidP="00617A5B">
      <w:pPr>
        <w:rPr>
          <w:b/>
          <w:bCs/>
          <w:lang w:val="en-US"/>
        </w:rPr>
      </w:pPr>
      <w:r w:rsidRPr="00617A5B">
        <w:rPr>
          <w:b/>
          <w:bCs/>
          <w:lang w:val="en-US"/>
        </w:rPr>
        <w:t xml:space="preserve">Research </w:t>
      </w:r>
      <w:r w:rsidR="00AB3B1B" w:rsidRPr="00AB3B1B">
        <w:rPr>
          <w:b/>
          <w:bCs/>
          <w:lang w:val="en-US"/>
        </w:rPr>
        <w:t>P</w:t>
      </w:r>
      <w:r w:rsidRPr="00617A5B">
        <w:rPr>
          <w:b/>
          <w:bCs/>
          <w:lang w:val="en-US"/>
        </w:rPr>
        <w:t>roblem</w:t>
      </w:r>
      <w:r w:rsidR="00AB3B1B" w:rsidRPr="00AB3B1B">
        <w:rPr>
          <w:b/>
          <w:bCs/>
          <w:lang w:val="en-US"/>
        </w:rPr>
        <w:t xml:space="preserve"> Statement</w:t>
      </w:r>
    </w:p>
    <w:p w14:paraId="08C420A8" w14:textId="0FF449E1" w:rsidR="009F0918" w:rsidRPr="009F0918" w:rsidRDefault="009F0918" w:rsidP="009F0918">
      <w:pPr>
        <w:rPr>
          <w:lang w:val="en-US"/>
        </w:rPr>
      </w:pPr>
      <w:r w:rsidRPr="009F0918">
        <w:rPr>
          <w:lang w:val="en-US"/>
        </w:rPr>
        <w:t>The construction industry is widely characterized as fragmented, project-based, and discontinuous, with limited opportunities for learning and reuse across projects (Jones et al., 2022). This “one-off” project logic leads to inefficiencies, high transaction costs, and weak accumulation of organizational knowledge. In response, strategic partnerships have emerged, particularly in the Danish construction sector, as an alternative organizational form aimed at establishing continuity across projects.</w:t>
      </w:r>
    </w:p>
    <w:p w14:paraId="6725733E" w14:textId="77777777" w:rsidR="009F0918" w:rsidRPr="009F0918" w:rsidRDefault="009F0918" w:rsidP="009F0918">
      <w:pPr>
        <w:rPr>
          <w:lang w:val="en-US"/>
        </w:rPr>
      </w:pPr>
      <w:r w:rsidRPr="009F0918">
        <w:rPr>
          <w:lang w:val="en-US"/>
        </w:rPr>
        <w:t>Strategic partnerships typically rely on long-term agreements and project portfolios, allowing actors to collaborate across multiple projects and enabling repetition effects and potential economies of scale (Frederiksen, 2021). However, despite their increasing prevalence, strategic partnerships remain weakly theorized. Existing research primarily frames them through relational contracting or project management perspectives, focusing on coordination, trust, and governance. This limits understanding of how shared structures, assets, and mechanisms are configured and reused over time.</w:t>
      </w:r>
    </w:p>
    <w:p w14:paraId="22C303CB" w14:textId="62BD3703" w:rsidR="009F0918" w:rsidRPr="009F0918" w:rsidRDefault="009F0918" w:rsidP="009F0918">
      <w:pPr>
        <w:rPr>
          <w:lang w:val="en-US"/>
        </w:rPr>
      </w:pPr>
      <w:r w:rsidRPr="009F0918">
        <w:rPr>
          <w:lang w:val="en-US"/>
        </w:rPr>
        <w:t>Platform theory offers a relevant but underexplored lens for addressing this gap. By focusing on shared architectures, reusable assets, and governance structures that enable scaling across outputs, platform thinking shifts attention from individual relationships to structural configurations of value creation (Sawhney, 1998; Gawer, 2014). However, platform theory has primarily been developed in private-sector contexts characterized by market-driven growth and relatively high control over demand.</w:t>
      </w:r>
    </w:p>
    <w:p w14:paraId="2E75364C" w14:textId="21DA4511" w:rsidR="009F0918" w:rsidRPr="009F0918" w:rsidRDefault="009F0918" w:rsidP="009F0918">
      <w:pPr>
        <w:rPr>
          <w:lang w:val="en-US"/>
        </w:rPr>
      </w:pPr>
      <w:r w:rsidRPr="009F0918">
        <w:rPr>
          <w:lang w:val="en-US"/>
        </w:rPr>
        <w:t xml:space="preserve">This study investigates how strategic partnerships can be understood as a distinct type of platform: stabilizing platforms operating under externally controlled demand. Empirically, the study draws on the Danish strategic partnership TRUST, </w:t>
      </w:r>
      <w:r w:rsidR="00B97D33" w:rsidRPr="00551D22">
        <w:rPr>
          <w:lang w:val="en-US"/>
        </w:rPr>
        <w:t>where the</w:t>
      </w:r>
      <w:r w:rsidRPr="009F0918">
        <w:rPr>
          <w:lang w:val="en-US"/>
        </w:rPr>
        <w:t xml:space="preserve"> Municipality of Copenhagen </w:t>
      </w:r>
      <w:r w:rsidR="00B97D33" w:rsidRPr="00551D22">
        <w:rPr>
          <w:lang w:val="en-US"/>
        </w:rPr>
        <w:t xml:space="preserve">is the client </w:t>
      </w:r>
      <w:r w:rsidR="00A76049" w:rsidRPr="00551D22">
        <w:rPr>
          <w:lang w:val="en-US"/>
        </w:rPr>
        <w:t>plus</w:t>
      </w:r>
      <w:r w:rsidR="00B97D33" w:rsidRPr="00551D22">
        <w:rPr>
          <w:lang w:val="en-US"/>
        </w:rPr>
        <w:t xml:space="preserve"> </w:t>
      </w:r>
      <w:r w:rsidR="00A76049" w:rsidRPr="00551D22">
        <w:rPr>
          <w:lang w:val="en-US"/>
        </w:rPr>
        <w:t xml:space="preserve">platform owner </w:t>
      </w:r>
      <w:r w:rsidRPr="009F0918">
        <w:rPr>
          <w:lang w:val="en-US"/>
        </w:rPr>
        <w:t>and focuses on institutional construction projects. TRUST is selected as a particularly relevant and revelatory case, as it represents a mature and extensively studied partnership where platform-like mechanisms are highly developed, while simultaneously operating under strong institutional and political constraints.</w:t>
      </w:r>
    </w:p>
    <w:p w14:paraId="58B19E84" w14:textId="21F3DB1D" w:rsidR="009F0918" w:rsidRPr="009F0918" w:rsidRDefault="009F0918" w:rsidP="009F0918">
      <w:pPr>
        <w:rPr>
          <w:lang w:val="en-US"/>
        </w:rPr>
      </w:pPr>
      <w:r w:rsidRPr="009F0918">
        <w:rPr>
          <w:lang w:val="en-US"/>
        </w:rPr>
        <w:t xml:space="preserve">The analysis mobilizes two complementary platform perspectives: Robertson and Ulrich’s (1998) product platform framework and Gawer’s (2014) integrative platform theory. The study examines the extent to which these frameworks can explain observed mechanisms in TRUST </w:t>
      </w:r>
      <w:r w:rsidRPr="009F0918">
        <w:rPr>
          <w:lang w:val="en-US"/>
        </w:rPr>
        <w:lastRenderedPageBreak/>
        <w:t xml:space="preserve">and </w:t>
      </w:r>
      <w:r w:rsidR="00A870E0" w:rsidRPr="00551D22">
        <w:rPr>
          <w:lang w:val="en-US"/>
        </w:rPr>
        <w:t>identify</w:t>
      </w:r>
      <w:r w:rsidRPr="009F0918">
        <w:rPr>
          <w:lang w:val="en-US"/>
        </w:rPr>
        <w:t xml:space="preserve"> where extensions are needed to account for platform dynamics in construction partnerships.</w:t>
      </w:r>
    </w:p>
    <w:p w14:paraId="2EDE70A2" w14:textId="77777777" w:rsidR="000278A2" w:rsidRPr="000278A2" w:rsidRDefault="000278A2" w:rsidP="009F0918">
      <w:pPr>
        <w:rPr>
          <w:b/>
          <w:bCs/>
          <w:lang w:val="en-US"/>
        </w:rPr>
      </w:pPr>
      <w:r w:rsidRPr="000278A2">
        <w:rPr>
          <w:b/>
          <w:bCs/>
          <w:lang w:val="en-US"/>
        </w:rPr>
        <w:t>Brief Research Methodology and Approach</w:t>
      </w:r>
    </w:p>
    <w:p w14:paraId="79175999" w14:textId="784FF7B2" w:rsidR="009F0918" w:rsidRPr="009F0918" w:rsidRDefault="009F0918" w:rsidP="009F0918">
      <w:pPr>
        <w:rPr>
          <w:lang w:val="en-US"/>
        </w:rPr>
      </w:pPr>
      <w:r w:rsidRPr="009F0918">
        <w:rPr>
          <w:lang w:val="en-US"/>
        </w:rPr>
        <w:t xml:space="preserve">The study adopts a mixed-method single-case design based on TRUST. Empirical data </w:t>
      </w:r>
      <w:r w:rsidR="00A870E0" w:rsidRPr="00551D22">
        <w:rPr>
          <w:lang w:val="en-US"/>
        </w:rPr>
        <w:t>consists</w:t>
      </w:r>
      <w:r w:rsidRPr="009F0918">
        <w:rPr>
          <w:lang w:val="en-US"/>
        </w:rPr>
        <w:t xml:space="preserve"> of surveys and semi-structured interviews with actors involved in the partnership.</w:t>
      </w:r>
    </w:p>
    <w:p w14:paraId="0FD546AF" w14:textId="77777777" w:rsidR="009F0918" w:rsidRPr="009F0918" w:rsidRDefault="009F0918" w:rsidP="009F0918">
      <w:pPr>
        <w:rPr>
          <w:lang w:val="en-US"/>
        </w:rPr>
      </w:pPr>
      <w:r w:rsidRPr="009F0918">
        <w:rPr>
          <w:lang w:val="en-US"/>
        </w:rPr>
        <w:t>The analytical approach is abductive. Empirical observations are first inductively grouped into themes relating to coordination, knowledge use, repetition, and organizational continuity. These themes are then systematically compared with mechanisms derived from the two platform frameworks. The analysis focuses on explaining how observed patterns can be understood through platform-theoretical constructs, rather than merely describing practices or experiences.</w:t>
      </w:r>
    </w:p>
    <w:p w14:paraId="5DDBC3E0" w14:textId="77777777" w:rsidR="009F0918" w:rsidRPr="009F0918" w:rsidRDefault="009F0918" w:rsidP="009F0918">
      <w:pPr>
        <w:rPr>
          <w:b/>
          <w:bCs/>
          <w:lang w:val="en-US"/>
        </w:rPr>
      </w:pPr>
      <w:r w:rsidRPr="009F0918">
        <w:rPr>
          <w:b/>
          <w:bCs/>
          <w:lang w:val="en-US"/>
        </w:rPr>
        <w:t>Key findings</w:t>
      </w:r>
    </w:p>
    <w:p w14:paraId="2E6A137A" w14:textId="77777777" w:rsidR="00BE6B09" w:rsidRPr="00BE6B09" w:rsidRDefault="009F0918" w:rsidP="009F0918">
      <w:pPr>
        <w:rPr>
          <w:i/>
          <w:iCs/>
          <w:lang w:val="en-US"/>
        </w:rPr>
      </w:pPr>
      <w:r w:rsidRPr="009F0918">
        <w:rPr>
          <w:i/>
          <w:iCs/>
          <w:lang w:val="en-US"/>
        </w:rPr>
        <w:t>1. Strategic partnerships function as stabilizing platforms under externally controlled demand</w:t>
      </w:r>
    </w:p>
    <w:p w14:paraId="52F645F6" w14:textId="26232C60" w:rsidR="009F0918" w:rsidRPr="009F0918" w:rsidRDefault="009F0918" w:rsidP="009F0918">
      <w:pPr>
        <w:rPr>
          <w:lang w:val="en-US"/>
        </w:rPr>
      </w:pPr>
      <w:r w:rsidRPr="009F0918">
        <w:rPr>
          <w:lang w:val="en-US"/>
        </w:rPr>
        <w:t>A defining feature of the partnership is that it is responsible for executing projects but does not control project inflow. Demand is determined externally by the client and shaped by political priorities and institutional processes. This creates fluctuating and unpredictable project pipelines.</w:t>
      </w:r>
    </w:p>
    <w:p w14:paraId="4CE6C330" w14:textId="77777777" w:rsidR="009F0918" w:rsidRPr="009F0918" w:rsidRDefault="009F0918" w:rsidP="009F0918">
      <w:pPr>
        <w:rPr>
          <w:lang w:val="en-US"/>
        </w:rPr>
      </w:pPr>
      <w:r w:rsidRPr="009F0918">
        <w:rPr>
          <w:lang w:val="en-US"/>
        </w:rPr>
        <w:t>Under these conditions, the platform does not primarily function as a growth engine, as assumed in much of the platform literature. Instead, it operates as a buffering and stabilizing structure that absorbs external variability and translates it into standardized and repeatable execution.</w:t>
      </w:r>
    </w:p>
    <w:p w14:paraId="4BDAD397" w14:textId="72BA065D" w:rsidR="009F0918" w:rsidRPr="009F0918" w:rsidRDefault="009F0918" w:rsidP="009F0918">
      <w:pPr>
        <w:rPr>
          <w:lang w:val="en-US"/>
        </w:rPr>
      </w:pPr>
      <w:r w:rsidRPr="009F0918">
        <w:rPr>
          <w:lang w:val="en-US"/>
        </w:rPr>
        <w:t>From a Gawer perspective, this reflects a governance arrangement in which control over platform participation and inputs is located outside the platform, leading to a partial decoupling between control and responsibility (Gawer, 2014). From a Robertson and Ulrich perspective, the platform governs shared processes and assets across projects but does not control the flow of “derivative projects” (</w:t>
      </w:r>
      <w:r w:rsidR="00011AB1" w:rsidRPr="00D21A3E">
        <w:rPr>
          <w:rFonts w:eastAsia="Arial" w:cs="Arial"/>
          <w:color w:val="000000" w:themeColor="text1"/>
          <w:sz w:val="22"/>
          <w:szCs w:val="22"/>
          <w:lang w:val="en-US"/>
        </w:rPr>
        <w:t>Robertson &amp; Ulrich</w:t>
      </w:r>
      <w:r w:rsidRPr="009F0918">
        <w:rPr>
          <w:lang w:val="en-US"/>
        </w:rPr>
        <w:t>, 1998).</w:t>
      </w:r>
    </w:p>
    <w:p w14:paraId="45CE8F0D" w14:textId="364172C0" w:rsidR="009F0918" w:rsidRPr="009F0918" w:rsidRDefault="009F0918" w:rsidP="009F0918">
      <w:pPr>
        <w:rPr>
          <w:lang w:val="en-US"/>
        </w:rPr>
      </w:pPr>
      <w:r w:rsidRPr="009F0918">
        <w:rPr>
          <w:lang w:val="en-US"/>
        </w:rPr>
        <w:t>At the same time, the partnership is experienced as a source of productivity improvements, innovation, and learning. These effects appear to be enabled by stabilization: by reducing variation and creating continuity, the platform provides conditions for cumulative learning and capability development (</w:t>
      </w:r>
      <w:r w:rsidR="00011AB1" w:rsidRPr="00D21A3E">
        <w:rPr>
          <w:rFonts w:eastAsia="Arial" w:cs="Arial"/>
          <w:color w:val="000000" w:themeColor="text1"/>
          <w:sz w:val="22"/>
          <w:szCs w:val="22"/>
          <w:lang w:val="en-US"/>
        </w:rPr>
        <w:t>Davies &amp; Brady</w:t>
      </w:r>
      <w:r w:rsidRPr="009F0918">
        <w:rPr>
          <w:lang w:val="en-US"/>
        </w:rPr>
        <w:t>, 2000). This suggests that, in this context, growth and innovation emerge as secondary effects of stabilization, rather than as primary platform drivers.</w:t>
      </w:r>
    </w:p>
    <w:p w14:paraId="2052B73F" w14:textId="77777777" w:rsidR="009F0918" w:rsidRPr="009F0918" w:rsidRDefault="009F0918" w:rsidP="009F0918">
      <w:pPr>
        <w:rPr>
          <w:lang w:val="en-US"/>
        </w:rPr>
      </w:pPr>
      <w:r w:rsidRPr="009F0918">
        <w:rPr>
          <w:i/>
          <w:iCs/>
          <w:lang w:val="en-US"/>
        </w:rPr>
        <w:t>2. Coordination depends on socio-material platform infrastructures, not on single mechanisms</w:t>
      </w:r>
      <w:r w:rsidRPr="009F0918">
        <w:rPr>
          <w:lang w:val="en-US"/>
        </w:rPr>
        <w:br/>
        <w:t xml:space="preserve">The shared project office (co-location) plays an important role in enabling informal </w:t>
      </w:r>
      <w:r w:rsidRPr="009F0918">
        <w:rPr>
          <w:lang w:val="en-US"/>
        </w:rPr>
        <w:lastRenderedPageBreak/>
        <w:t>interaction, knowledge sharing, and relationship building. Empirical observations show that coordination largely emerges through continuous, everyday interactions rather than through formal procedures alone.</w:t>
      </w:r>
    </w:p>
    <w:p w14:paraId="204CB757" w14:textId="50194FF7" w:rsidR="009F0918" w:rsidRPr="009F0918" w:rsidRDefault="009F0918" w:rsidP="009F0918">
      <w:pPr>
        <w:rPr>
          <w:lang w:val="en-US"/>
        </w:rPr>
      </w:pPr>
      <w:r w:rsidRPr="009F0918">
        <w:rPr>
          <w:lang w:val="en-US"/>
        </w:rPr>
        <w:t>Within a platform perspective, co-location can be understood as part of the infrastructure that supports the integration of knowledge, processes, and actors (</w:t>
      </w:r>
      <w:r w:rsidR="00011AB1" w:rsidRPr="00D21A3E">
        <w:rPr>
          <w:rFonts w:eastAsia="Arial" w:cs="Arial"/>
          <w:color w:val="000000" w:themeColor="text1"/>
          <w:sz w:val="22"/>
          <w:szCs w:val="22"/>
          <w:lang w:val="en-US"/>
        </w:rPr>
        <w:t>Robertson &amp; Ulrich</w:t>
      </w:r>
      <w:r w:rsidR="001029E3">
        <w:rPr>
          <w:rFonts w:eastAsia="Arial" w:cs="Arial"/>
          <w:color w:val="000000" w:themeColor="text1"/>
          <w:sz w:val="22"/>
          <w:szCs w:val="22"/>
          <w:lang w:val="en-US"/>
        </w:rPr>
        <w:t>,</w:t>
      </w:r>
      <w:r w:rsidRPr="009F0918">
        <w:rPr>
          <w:lang w:val="en-US"/>
        </w:rPr>
        <w:t xml:space="preserve"> 1998), and as a governance mechanism that defines participation boundaries and ensures interaction (Gawer, 2014).</w:t>
      </w:r>
    </w:p>
    <w:p w14:paraId="3A225B13" w14:textId="77777777" w:rsidR="009F0918" w:rsidRPr="009F0918" w:rsidRDefault="009F0918" w:rsidP="009F0918">
      <w:pPr>
        <w:rPr>
          <w:lang w:val="en-US"/>
        </w:rPr>
      </w:pPr>
      <w:r w:rsidRPr="009F0918">
        <w:rPr>
          <w:lang w:val="en-US"/>
        </w:rPr>
        <w:t>However, empirical evidence shows that co-location is neither sufficient nor strictly necessary for coordination. During COVID-19, collaboration was sustained through digital tools, and even under co-location, project-level fragmentation persisted. Moreover, small changes in physical layout significantly affected communication patterns.</w:t>
      </w:r>
    </w:p>
    <w:p w14:paraId="530CB2E8" w14:textId="30823BE9" w:rsidR="009F0918" w:rsidRPr="009F0918" w:rsidRDefault="009F0918" w:rsidP="009F0918">
      <w:pPr>
        <w:rPr>
          <w:lang w:val="en-US"/>
        </w:rPr>
      </w:pPr>
      <w:r w:rsidRPr="009F0918">
        <w:rPr>
          <w:lang w:val="en-US"/>
        </w:rPr>
        <w:t>These findings indicate that coordination in strategic partnerships is not driven by any single mechanism, but by a socio-material configuration that combines physical proximity, relational continuity, organizational structures, and digital systems. Platform functionality therefore depends on how these elements are configured and aligned.</w:t>
      </w:r>
    </w:p>
    <w:p w14:paraId="6E2E0AB3" w14:textId="3CAF76CD" w:rsidR="009F0918" w:rsidRPr="009F0918" w:rsidRDefault="007B0401" w:rsidP="009F0918">
      <w:pPr>
        <w:rPr>
          <w:i/>
          <w:iCs/>
          <w:lang w:val="en-US"/>
        </w:rPr>
      </w:pPr>
      <w:r w:rsidRPr="00551D22">
        <w:rPr>
          <w:i/>
          <w:iCs/>
          <w:lang w:val="en-US"/>
        </w:rPr>
        <w:t xml:space="preserve">3. </w:t>
      </w:r>
      <w:r w:rsidR="009F0918" w:rsidRPr="009F0918">
        <w:rPr>
          <w:i/>
          <w:iCs/>
          <w:lang w:val="en-US"/>
        </w:rPr>
        <w:t>How platform theory explains</w:t>
      </w:r>
      <w:r w:rsidRPr="00551D22">
        <w:rPr>
          <w:i/>
          <w:iCs/>
          <w:lang w:val="en-US"/>
        </w:rPr>
        <w:t xml:space="preserve"> </w:t>
      </w:r>
      <w:r w:rsidR="009F0918" w:rsidRPr="009F0918">
        <w:rPr>
          <w:i/>
          <w:iCs/>
          <w:lang w:val="en-US"/>
        </w:rPr>
        <w:t>and falls short in explaining</w:t>
      </w:r>
      <w:r w:rsidRPr="00551D22">
        <w:rPr>
          <w:i/>
          <w:iCs/>
          <w:lang w:val="en-US"/>
        </w:rPr>
        <w:t xml:space="preserve"> </w:t>
      </w:r>
      <w:r w:rsidR="009F0918" w:rsidRPr="009F0918">
        <w:rPr>
          <w:i/>
          <w:iCs/>
          <w:lang w:val="en-US"/>
        </w:rPr>
        <w:t>strategic partnerships</w:t>
      </w:r>
    </w:p>
    <w:p w14:paraId="775D6C29" w14:textId="2D7A27B7" w:rsidR="009F0918" w:rsidRPr="009F0918" w:rsidRDefault="009F0918" w:rsidP="009F0918">
      <w:pPr>
        <w:rPr>
          <w:lang w:val="en-US"/>
        </w:rPr>
      </w:pPr>
      <w:r w:rsidRPr="009F0918">
        <w:rPr>
          <w:lang w:val="en-US"/>
        </w:rPr>
        <w:t xml:space="preserve">The two platform frameworks provide complementary insights. Gawer’s framework is particularly useful for understanding platform boundaries, governance, and the distribution of control across actors. Robertson and Ulrich’s framework </w:t>
      </w:r>
      <w:r w:rsidR="007B0401" w:rsidRPr="00551D22">
        <w:rPr>
          <w:lang w:val="en-US"/>
        </w:rPr>
        <w:t>capture</w:t>
      </w:r>
      <w:r w:rsidRPr="009F0918">
        <w:rPr>
          <w:lang w:val="en-US"/>
        </w:rPr>
        <w:t xml:space="preserve"> how shared assets and processes are structured and reused across a portfolio of projects.</w:t>
      </w:r>
    </w:p>
    <w:p w14:paraId="560B59E7" w14:textId="77777777" w:rsidR="009F0918" w:rsidRPr="009F0918" w:rsidRDefault="009F0918" w:rsidP="009F0918">
      <w:pPr>
        <w:rPr>
          <w:lang w:val="en-US"/>
        </w:rPr>
      </w:pPr>
      <w:r w:rsidRPr="009F0918">
        <w:rPr>
          <w:lang w:val="en-US"/>
        </w:rPr>
        <w:t>However, both frameworks have limitations in this context. First, they assume that platforms operate in environments where demand can be influenced or scaled, whereas in strategic partnerships demand is externally controlled and institutionally constrained. Second, they emphasize technical systems as primary coordination mechanisms, while the empirical case highlights the importance of socio-material infrastructures, including physical and relational elements.</w:t>
      </w:r>
    </w:p>
    <w:p w14:paraId="5FB568DE" w14:textId="557F9AFA" w:rsidR="009F0918" w:rsidRPr="009F0918" w:rsidRDefault="009F0918" w:rsidP="009F0918">
      <w:pPr>
        <w:rPr>
          <w:lang w:val="en-US"/>
        </w:rPr>
      </w:pPr>
      <w:r w:rsidRPr="009F0918">
        <w:rPr>
          <w:lang w:val="en-US"/>
        </w:rPr>
        <w:t>Finally, both theories are rooted in private-market contexts. In TRUST, political decisions, public procurement rules, and institutional constraints frequently disrupt the continuity and repetition that platform theory often takes for granted (Frederiksen, 2021; Jones et al., 2022).</w:t>
      </w:r>
    </w:p>
    <w:p w14:paraId="4D84FF83" w14:textId="77777777" w:rsidR="009F0918" w:rsidRPr="009F0918" w:rsidRDefault="009F0918" w:rsidP="009F0918">
      <w:pPr>
        <w:rPr>
          <w:b/>
          <w:bCs/>
          <w:lang w:val="en-US"/>
        </w:rPr>
      </w:pPr>
      <w:r w:rsidRPr="009F0918">
        <w:rPr>
          <w:b/>
          <w:bCs/>
          <w:lang w:val="en-US"/>
        </w:rPr>
        <w:t>Implications</w:t>
      </w:r>
    </w:p>
    <w:p w14:paraId="024B2FE4" w14:textId="77777777" w:rsidR="009F0918" w:rsidRPr="009F0918" w:rsidRDefault="009F0918" w:rsidP="009F0918">
      <w:pPr>
        <w:rPr>
          <w:lang w:val="en-US"/>
        </w:rPr>
      </w:pPr>
      <w:r w:rsidRPr="009F0918">
        <w:rPr>
          <w:lang w:val="en-US"/>
        </w:rPr>
        <w:t>This study contributes by conceptualizing strategic partnerships as a distinct type of platform: stabilizing platforms operating under externally controlled demand. This extends platform theory beyond its traditional focus on growth-oriented, market-driven platforms.</w:t>
      </w:r>
    </w:p>
    <w:p w14:paraId="1978F581" w14:textId="77777777" w:rsidR="009F0918" w:rsidRPr="009F0918" w:rsidRDefault="009F0918" w:rsidP="009F0918">
      <w:pPr>
        <w:rPr>
          <w:lang w:val="en-US"/>
        </w:rPr>
      </w:pPr>
      <w:r w:rsidRPr="009F0918">
        <w:rPr>
          <w:lang w:val="en-US"/>
        </w:rPr>
        <w:t xml:space="preserve">The findings suggest that platform theory must be refined to account for contexts in which platforms do not control demand but instead create value by stabilizing and structuring </w:t>
      </w:r>
      <w:r w:rsidRPr="009F0918">
        <w:rPr>
          <w:lang w:val="en-US"/>
        </w:rPr>
        <w:lastRenderedPageBreak/>
        <w:t>externally generated variation. In such settings, the primary function of the platform is not to scale demand, but to enable learning, efficiency, and innovation through repetition and continuity.</w:t>
      </w:r>
    </w:p>
    <w:p w14:paraId="506F07C4" w14:textId="77777777" w:rsidR="009F0918" w:rsidRPr="009F0918" w:rsidRDefault="009F0918" w:rsidP="009F0918">
      <w:pPr>
        <w:rPr>
          <w:lang w:val="en-US"/>
        </w:rPr>
      </w:pPr>
      <w:r w:rsidRPr="009F0918">
        <w:rPr>
          <w:lang w:val="en-US"/>
        </w:rPr>
        <w:t>Conceptually, this reframes strategic partnerships from relational or contractual arrangements to configurable platform structures, where value creation depends on how mechanisms such as stabilization, repetition, and coordination infrastructures are designed and combined.</w:t>
      </w:r>
    </w:p>
    <w:p w14:paraId="4E89D9FF" w14:textId="77777777" w:rsidR="009F0918" w:rsidRPr="009F0918" w:rsidRDefault="009F0918" w:rsidP="009F0918">
      <w:pPr>
        <w:rPr>
          <w:lang w:val="en-US"/>
        </w:rPr>
      </w:pPr>
      <w:r w:rsidRPr="009F0918">
        <w:rPr>
          <w:lang w:val="en-US"/>
        </w:rPr>
        <w:t>Practically, this provides a more operational vocabulary for actors involved in strategic partnerships. Rather than focusing on abstract notions of collaboration, practitioners can work with specific platform mechanisms—for example, designing for buffering capacity, strengthening repetition across projects, or configuring socio-material infrastructures to support coordination.</w:t>
      </w:r>
    </w:p>
    <w:p w14:paraId="197CE5C7" w14:textId="77777777" w:rsidR="009F0918" w:rsidRPr="009F0918" w:rsidRDefault="009F0918" w:rsidP="009F0918">
      <w:pPr>
        <w:rPr>
          <w:lang w:val="en-US"/>
        </w:rPr>
      </w:pPr>
      <w:r w:rsidRPr="009F0918">
        <w:rPr>
          <w:lang w:val="en-US"/>
        </w:rPr>
        <w:t>Strategic partnerships can thus be understood not as fixed organizational forms, but as platform configurations that can be actively shaped to produce different performance outcomes under conditions of institutional constraint and externally controlled demand.</w:t>
      </w:r>
    </w:p>
    <w:p w14:paraId="2EE60021" w14:textId="77777777" w:rsidR="00C062C1" w:rsidRPr="00D21A3E" w:rsidRDefault="00C062C1" w:rsidP="00C062C1">
      <w:pPr>
        <w:spacing w:before="210" w:after="210" w:line="300" w:lineRule="auto"/>
        <w:rPr>
          <w:rFonts w:eastAsia="Segoe UI" w:cs="Segoe UI"/>
          <w:i/>
          <w:iCs/>
          <w:sz w:val="22"/>
          <w:szCs w:val="22"/>
          <w:lang w:val="en-US"/>
        </w:rPr>
      </w:pPr>
      <w:r w:rsidRPr="00D21A3E">
        <w:rPr>
          <w:rFonts w:eastAsia="Segoe UI" w:cs="Segoe UI"/>
          <w:i/>
          <w:iCs/>
          <w:sz w:val="22"/>
          <w:szCs w:val="22"/>
          <w:lang w:val="en-US"/>
        </w:rPr>
        <w:t>References</w:t>
      </w:r>
    </w:p>
    <w:p w14:paraId="3095ACA7" w14:textId="77777777" w:rsidR="00C062C1" w:rsidRPr="00D21A3E" w:rsidRDefault="00C062C1" w:rsidP="00C062C1">
      <w:pPr>
        <w:spacing w:before="240" w:after="240"/>
        <w:ind w:left="850" w:hanging="850"/>
        <w:rPr>
          <w:rFonts w:eastAsia="Arial" w:cs="Arial"/>
          <w:color w:val="000000" w:themeColor="text1"/>
          <w:sz w:val="22"/>
          <w:szCs w:val="22"/>
          <w:lang w:val="en-US"/>
        </w:rPr>
      </w:pPr>
      <w:r w:rsidRPr="00D21A3E">
        <w:rPr>
          <w:rFonts w:eastAsia="Arial" w:cs="Arial"/>
          <w:color w:val="000000" w:themeColor="text1"/>
          <w:sz w:val="22"/>
          <w:szCs w:val="22"/>
          <w:lang w:val="en-US"/>
        </w:rPr>
        <w:t xml:space="preserve">Davies, A., &amp; Brady, T. (2000). Organisational capabilities and learning in complex product systems: towards repeatable solutions. </w:t>
      </w:r>
      <w:r w:rsidRPr="00D21A3E">
        <w:rPr>
          <w:rFonts w:eastAsia="Arial" w:cs="Arial"/>
          <w:i/>
          <w:iCs/>
          <w:color w:val="000000" w:themeColor="text1"/>
          <w:sz w:val="22"/>
          <w:szCs w:val="22"/>
          <w:lang w:val="en-US"/>
        </w:rPr>
        <w:t>Research Policy, 29</w:t>
      </w:r>
      <w:r w:rsidRPr="00D21A3E">
        <w:rPr>
          <w:rFonts w:eastAsia="Arial" w:cs="Arial"/>
          <w:color w:val="000000" w:themeColor="text1"/>
          <w:sz w:val="22"/>
          <w:szCs w:val="22"/>
          <w:lang w:val="en-US"/>
        </w:rPr>
        <w:t xml:space="preserve">(7), 931–953. </w:t>
      </w:r>
    </w:p>
    <w:p w14:paraId="790D4ECB" w14:textId="77777777" w:rsidR="00C062C1" w:rsidRPr="00D21A3E" w:rsidRDefault="00C062C1" w:rsidP="00C062C1">
      <w:pPr>
        <w:spacing w:before="240" w:after="240"/>
        <w:ind w:left="850" w:hanging="850"/>
        <w:rPr>
          <w:rFonts w:eastAsia="Arial" w:cs="Arial"/>
          <w:color w:val="000000" w:themeColor="text1"/>
          <w:sz w:val="22"/>
          <w:szCs w:val="22"/>
        </w:rPr>
      </w:pPr>
      <w:r w:rsidRPr="00D21A3E">
        <w:rPr>
          <w:rFonts w:eastAsia="Arial" w:cs="Arial"/>
          <w:color w:val="000000" w:themeColor="text1"/>
          <w:sz w:val="22"/>
          <w:szCs w:val="22"/>
          <w:lang w:val="en-US"/>
        </w:rPr>
        <w:t xml:space="preserve">Frederiksen, N. (2021). Configuration, collaboration and complexity in strategic partnerships: An institutional inquiry conducted from the inside of a strategic partnership in Danish construction. </w:t>
      </w:r>
      <w:r w:rsidRPr="00D21A3E">
        <w:rPr>
          <w:rFonts w:eastAsia="Arial" w:cs="Arial"/>
          <w:color w:val="000000" w:themeColor="text1"/>
          <w:sz w:val="22"/>
          <w:szCs w:val="22"/>
          <w:lang w:val="da"/>
        </w:rPr>
        <w:t xml:space="preserve">Aalborg Universitetsforlag. </w:t>
      </w:r>
      <w:hyperlink r:id="rId4">
        <w:r w:rsidRPr="00D21A3E">
          <w:rPr>
            <w:rStyle w:val="Hyperlink"/>
            <w:rFonts w:eastAsia="Arial" w:cs="Arial"/>
            <w:sz w:val="22"/>
            <w:szCs w:val="22"/>
            <w:lang w:val="da"/>
          </w:rPr>
          <w:t>https://doi.org/10.54337/aau451025571</w:t>
        </w:r>
      </w:hyperlink>
    </w:p>
    <w:p w14:paraId="0E94B092" w14:textId="77777777" w:rsidR="00C062C1" w:rsidRPr="00D21A3E" w:rsidRDefault="00C062C1" w:rsidP="00C062C1">
      <w:pPr>
        <w:spacing w:before="240" w:after="240"/>
        <w:ind w:left="850" w:hanging="850"/>
        <w:rPr>
          <w:rFonts w:eastAsia="Arial" w:cs="Arial"/>
          <w:color w:val="000000" w:themeColor="text1"/>
          <w:sz w:val="22"/>
          <w:szCs w:val="22"/>
          <w:lang w:val="en-US"/>
        </w:rPr>
      </w:pPr>
      <w:r w:rsidRPr="00D21A3E">
        <w:rPr>
          <w:rFonts w:eastAsia="Arial" w:cs="Arial"/>
          <w:color w:val="000000" w:themeColor="text1"/>
          <w:sz w:val="22"/>
          <w:szCs w:val="22"/>
          <w:lang w:val="da"/>
        </w:rPr>
        <w:t xml:space="preserve">Gawer, A., &amp; Cusumano, M. A. (2014). </w:t>
      </w:r>
      <w:r w:rsidRPr="00D21A3E">
        <w:rPr>
          <w:rFonts w:eastAsia="Arial" w:cs="Arial"/>
          <w:color w:val="000000" w:themeColor="text1"/>
          <w:sz w:val="22"/>
          <w:szCs w:val="22"/>
          <w:lang w:val="en-US"/>
        </w:rPr>
        <w:t xml:space="preserve">Industry Platforms and Ecosystem Innovation. </w:t>
      </w:r>
      <w:r w:rsidRPr="00D21A3E">
        <w:rPr>
          <w:rFonts w:eastAsia="Arial" w:cs="Arial"/>
          <w:i/>
          <w:iCs/>
          <w:color w:val="000000" w:themeColor="text1"/>
          <w:sz w:val="22"/>
          <w:szCs w:val="22"/>
          <w:lang w:val="en-US"/>
        </w:rPr>
        <w:t>Journal of Product Innovation Management, 31</w:t>
      </w:r>
      <w:r w:rsidRPr="00D21A3E">
        <w:rPr>
          <w:rFonts w:eastAsia="Arial" w:cs="Arial"/>
          <w:color w:val="000000" w:themeColor="text1"/>
          <w:sz w:val="22"/>
          <w:szCs w:val="22"/>
          <w:lang w:val="en-US"/>
        </w:rPr>
        <w:t>(3), 417–433.</w:t>
      </w:r>
    </w:p>
    <w:p w14:paraId="79467706" w14:textId="77777777" w:rsidR="00C062C1" w:rsidRPr="00D21A3E" w:rsidRDefault="00C062C1" w:rsidP="00C062C1">
      <w:pPr>
        <w:spacing w:before="240" w:after="240"/>
        <w:ind w:left="850" w:hanging="850"/>
        <w:rPr>
          <w:rFonts w:eastAsia="Arial" w:cs="Arial"/>
          <w:color w:val="000000" w:themeColor="text1"/>
          <w:sz w:val="22"/>
          <w:szCs w:val="22"/>
          <w:lang w:val="en-US"/>
        </w:rPr>
      </w:pPr>
      <w:r w:rsidRPr="00D21A3E">
        <w:rPr>
          <w:rFonts w:eastAsia="Arial" w:cs="Arial"/>
          <w:color w:val="000000" w:themeColor="text1"/>
          <w:sz w:val="22"/>
          <w:szCs w:val="22"/>
          <w:lang w:val="en-US"/>
        </w:rPr>
        <w:t xml:space="preserve">Gawer, A. (2014). Bridging differing perspectives on technological platforms: Toward an integrative framework. </w:t>
      </w:r>
      <w:r w:rsidRPr="00D21A3E">
        <w:rPr>
          <w:rFonts w:eastAsia="Arial" w:cs="Arial"/>
          <w:i/>
          <w:iCs/>
          <w:color w:val="000000" w:themeColor="text1"/>
          <w:sz w:val="22"/>
          <w:szCs w:val="22"/>
          <w:lang w:val="en-US"/>
        </w:rPr>
        <w:t>Research Policy, 43</w:t>
      </w:r>
      <w:r w:rsidRPr="00D21A3E">
        <w:rPr>
          <w:rFonts w:eastAsia="Arial" w:cs="Arial"/>
          <w:color w:val="000000" w:themeColor="text1"/>
          <w:sz w:val="22"/>
          <w:szCs w:val="22"/>
          <w:lang w:val="en-US"/>
        </w:rPr>
        <w:t>(7), 1239–1249.</w:t>
      </w:r>
    </w:p>
    <w:p w14:paraId="1F5124E8" w14:textId="6BD63436" w:rsidR="00C062C1" w:rsidRPr="00D21A3E" w:rsidRDefault="00C062C1" w:rsidP="00C062C1">
      <w:pPr>
        <w:spacing w:before="240" w:after="240"/>
        <w:ind w:left="850" w:hanging="850"/>
        <w:rPr>
          <w:sz w:val="22"/>
          <w:szCs w:val="22"/>
          <w:lang w:val="en-US"/>
        </w:rPr>
      </w:pPr>
      <w:r w:rsidRPr="00D21A3E">
        <w:rPr>
          <w:rFonts w:eastAsia="Arial" w:cs="Arial"/>
          <w:color w:val="000000" w:themeColor="text1"/>
          <w:sz w:val="22"/>
          <w:szCs w:val="22"/>
          <w:lang w:val="en-US"/>
        </w:rPr>
        <w:t xml:space="preserve">Jones, K., Mosca, L., Whyte, J., Davies, A., &amp; Glass, J. (2022). Addressing specialization and fragmentation: product platform development in construction consultancy firms. Construction Management and Economics, 40(1112), 918–933. </w:t>
      </w:r>
      <w:r w:rsidRPr="00D21A3E">
        <w:rPr>
          <w:rFonts w:eastAsia="Arial" w:cs="Arial"/>
          <w:sz w:val="22"/>
          <w:szCs w:val="22"/>
          <w:lang w:val="en-US"/>
        </w:rPr>
        <w:t xml:space="preserve"> </w:t>
      </w:r>
    </w:p>
    <w:p w14:paraId="07019859" w14:textId="77777777" w:rsidR="00C062C1" w:rsidRPr="00D21A3E" w:rsidRDefault="00C062C1" w:rsidP="00C062C1">
      <w:pPr>
        <w:spacing w:before="240" w:after="240"/>
        <w:ind w:left="850" w:hanging="850"/>
        <w:rPr>
          <w:rFonts w:eastAsia="Arial" w:cs="Arial"/>
          <w:color w:val="000000" w:themeColor="text1"/>
          <w:sz w:val="22"/>
          <w:szCs w:val="22"/>
          <w:lang w:val="en-US"/>
        </w:rPr>
      </w:pPr>
      <w:r w:rsidRPr="00D21A3E">
        <w:rPr>
          <w:rFonts w:eastAsia="Arial" w:cs="Arial"/>
          <w:color w:val="000000" w:themeColor="text1"/>
          <w:sz w:val="22"/>
          <w:szCs w:val="22"/>
          <w:lang w:val="en-US"/>
        </w:rPr>
        <w:t xml:space="preserve">Robertson, D., &amp; Ulrich, K. (1998). Planning for Product Platforms. </w:t>
      </w:r>
      <w:r w:rsidRPr="00D21A3E">
        <w:rPr>
          <w:rFonts w:eastAsia="Arial" w:cs="Arial"/>
          <w:i/>
          <w:iCs/>
          <w:color w:val="000000" w:themeColor="text1"/>
          <w:sz w:val="22"/>
          <w:szCs w:val="22"/>
          <w:lang w:val="en-US"/>
        </w:rPr>
        <w:t>Sloan Management Review</w:t>
      </w:r>
      <w:r w:rsidRPr="00D21A3E">
        <w:rPr>
          <w:rFonts w:eastAsia="Arial" w:cs="Arial"/>
          <w:color w:val="000000" w:themeColor="text1"/>
          <w:sz w:val="22"/>
          <w:szCs w:val="22"/>
          <w:lang w:val="en-US"/>
        </w:rPr>
        <w:t>, 19–31.</w:t>
      </w:r>
    </w:p>
    <w:p w14:paraId="633E4D6B" w14:textId="77777777" w:rsidR="00C062C1" w:rsidRPr="00D21A3E" w:rsidRDefault="00C062C1" w:rsidP="00C062C1">
      <w:pPr>
        <w:spacing w:before="240" w:after="240"/>
        <w:ind w:left="850" w:hanging="850"/>
        <w:rPr>
          <w:rFonts w:eastAsia="Arial" w:cs="Arial"/>
          <w:color w:val="000000" w:themeColor="text1"/>
          <w:sz w:val="22"/>
          <w:szCs w:val="22"/>
          <w:lang w:val="en-US"/>
        </w:rPr>
      </w:pPr>
      <w:r w:rsidRPr="00D21A3E">
        <w:rPr>
          <w:rFonts w:eastAsia="Arial" w:cs="Arial"/>
          <w:color w:val="000000" w:themeColor="text1"/>
          <w:sz w:val="22"/>
          <w:szCs w:val="22"/>
          <w:lang w:val="en-US"/>
        </w:rPr>
        <w:t xml:space="preserve">Sawhney, M. S. (1998). Leveraged high-variety strategies: From portfolio thinking to platform thinking. </w:t>
      </w:r>
      <w:r w:rsidRPr="00D21A3E">
        <w:rPr>
          <w:rFonts w:eastAsia="Arial" w:cs="Arial"/>
          <w:i/>
          <w:iCs/>
          <w:color w:val="000000" w:themeColor="text1"/>
          <w:sz w:val="22"/>
          <w:szCs w:val="22"/>
          <w:lang w:val="en-US"/>
        </w:rPr>
        <w:t>Journal of the Academy of Marketing Science, 26</w:t>
      </w:r>
      <w:r w:rsidRPr="00D21A3E">
        <w:rPr>
          <w:rFonts w:eastAsia="Arial" w:cs="Arial"/>
          <w:color w:val="000000" w:themeColor="text1"/>
          <w:sz w:val="22"/>
          <w:szCs w:val="22"/>
          <w:lang w:val="en-US"/>
        </w:rPr>
        <w:t>(1), 54–61.</w:t>
      </w:r>
    </w:p>
    <w:p w14:paraId="45505591" w14:textId="77777777" w:rsidR="00617A5B" w:rsidRPr="00551D22" w:rsidRDefault="00617A5B" w:rsidP="009F0918">
      <w:pPr>
        <w:rPr>
          <w:lang w:val="en-US"/>
        </w:rPr>
      </w:pPr>
    </w:p>
    <w:sectPr w:rsidR="00617A5B" w:rsidRPr="00551D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5B"/>
    <w:rsid w:val="00011AB1"/>
    <w:rsid w:val="000278A2"/>
    <w:rsid w:val="001029E3"/>
    <w:rsid w:val="002319FD"/>
    <w:rsid w:val="004E199F"/>
    <w:rsid w:val="004E37D0"/>
    <w:rsid w:val="004F224D"/>
    <w:rsid w:val="00510248"/>
    <w:rsid w:val="00551D22"/>
    <w:rsid w:val="00596FB0"/>
    <w:rsid w:val="00617A5B"/>
    <w:rsid w:val="007972EC"/>
    <w:rsid w:val="007B0401"/>
    <w:rsid w:val="00864DA7"/>
    <w:rsid w:val="00896539"/>
    <w:rsid w:val="008A6252"/>
    <w:rsid w:val="009F0918"/>
    <w:rsid w:val="009F7676"/>
    <w:rsid w:val="00A76049"/>
    <w:rsid w:val="00A870E0"/>
    <w:rsid w:val="00AB3B1B"/>
    <w:rsid w:val="00B97D33"/>
    <w:rsid w:val="00BE6B09"/>
    <w:rsid w:val="00C062C1"/>
    <w:rsid w:val="00C638B8"/>
    <w:rsid w:val="00C74BD6"/>
    <w:rsid w:val="00C95B71"/>
    <w:rsid w:val="00F0132D"/>
    <w:rsid w:val="00FC76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35C6"/>
  <w15:chartTrackingRefBased/>
  <w15:docId w15:val="{A8C32AD1-1B74-4156-BD0C-2E1A513D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7A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7A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7A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7A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7A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7A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7A5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7A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7A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7A5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7A5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7A5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7A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7A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7A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7A5B"/>
    <w:rPr>
      <w:rFonts w:eastAsiaTheme="majorEastAsia" w:cstheme="majorBidi"/>
      <w:color w:val="272727" w:themeColor="text1" w:themeTint="D8"/>
    </w:rPr>
  </w:style>
  <w:style w:type="paragraph" w:styleId="Titel">
    <w:name w:val="Title"/>
    <w:basedOn w:val="Normal"/>
    <w:next w:val="Normal"/>
    <w:link w:val="TitelTegn"/>
    <w:uiPriority w:val="10"/>
    <w:qFormat/>
    <w:rsid w:val="0061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7A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7A5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7A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7A5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7A5B"/>
    <w:rPr>
      <w:i/>
      <w:iCs/>
      <w:color w:val="404040" w:themeColor="text1" w:themeTint="BF"/>
    </w:rPr>
  </w:style>
  <w:style w:type="paragraph" w:styleId="Listeafsnit">
    <w:name w:val="List Paragraph"/>
    <w:basedOn w:val="Normal"/>
    <w:uiPriority w:val="34"/>
    <w:qFormat/>
    <w:rsid w:val="00617A5B"/>
    <w:pPr>
      <w:ind w:left="720"/>
      <w:contextualSpacing/>
    </w:pPr>
  </w:style>
  <w:style w:type="character" w:styleId="Kraftigfremhvning">
    <w:name w:val="Intense Emphasis"/>
    <w:basedOn w:val="Standardskrifttypeiafsnit"/>
    <w:uiPriority w:val="21"/>
    <w:qFormat/>
    <w:rsid w:val="00617A5B"/>
    <w:rPr>
      <w:i/>
      <w:iCs/>
      <w:color w:val="0F4761" w:themeColor="accent1" w:themeShade="BF"/>
    </w:rPr>
  </w:style>
  <w:style w:type="paragraph" w:styleId="Strktcitat">
    <w:name w:val="Intense Quote"/>
    <w:basedOn w:val="Normal"/>
    <w:next w:val="Normal"/>
    <w:link w:val="StrktcitatTegn"/>
    <w:uiPriority w:val="30"/>
    <w:qFormat/>
    <w:rsid w:val="0061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7A5B"/>
    <w:rPr>
      <w:i/>
      <w:iCs/>
      <w:color w:val="0F4761" w:themeColor="accent1" w:themeShade="BF"/>
    </w:rPr>
  </w:style>
  <w:style w:type="character" w:styleId="Kraftighenvisning">
    <w:name w:val="Intense Reference"/>
    <w:basedOn w:val="Standardskrifttypeiafsnit"/>
    <w:uiPriority w:val="32"/>
    <w:qFormat/>
    <w:rsid w:val="00617A5B"/>
    <w:rPr>
      <w:b/>
      <w:bCs/>
      <w:smallCaps/>
      <w:color w:val="0F4761" w:themeColor="accent1" w:themeShade="BF"/>
      <w:spacing w:val="5"/>
    </w:rPr>
  </w:style>
  <w:style w:type="character" w:styleId="Hyperlink">
    <w:name w:val="Hyperlink"/>
    <w:basedOn w:val="Standardskrifttypeiafsnit"/>
    <w:uiPriority w:val="99"/>
    <w:unhideWhenUsed/>
    <w:rsid w:val="00C062C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54337/aau45102557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1394</Words>
  <Characters>9052</Characters>
  <Application>Microsoft Office Word</Application>
  <DocSecurity>0</DocSecurity>
  <Lines>135</Lines>
  <Paragraphs>37</Paragraphs>
  <ScaleCrop>false</ScaleCrop>
  <Company>MTH Group</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Dalvang Fogh</dc:creator>
  <cp:keywords/>
  <dc:description/>
  <cp:lastModifiedBy>Simone Dalvang Fogh</cp:lastModifiedBy>
  <cp:revision>28</cp:revision>
  <cp:lastPrinted>2026-05-20T21:22:00Z</cp:lastPrinted>
  <dcterms:created xsi:type="dcterms:W3CDTF">2026-05-20T21:21:00Z</dcterms:created>
  <dcterms:modified xsi:type="dcterms:W3CDTF">2026-05-22T13:16:00Z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d7f740-33ce-4711-812b-c50641899122_Enabled">
    <vt:lpwstr>true</vt:lpwstr>
  </property>
  <property fmtid="{D5CDD505-2E9C-101B-9397-08002B2CF9AE}" pid="3" name="MSIP_Label_d4d7f740-33ce-4711-812b-c50641899122_SetDate">
    <vt:lpwstr>2026-05-20T21:22:09Z</vt:lpwstr>
  </property>
  <property fmtid="{D5CDD505-2E9C-101B-9397-08002B2CF9AE}" pid="4" name="MSIP_Label_d4d7f740-33ce-4711-812b-c50641899122_Method">
    <vt:lpwstr>Standard</vt:lpwstr>
  </property>
  <property fmtid="{D5CDD505-2E9C-101B-9397-08002B2CF9AE}" pid="5" name="MSIP_Label_d4d7f740-33ce-4711-812b-c50641899122_Name">
    <vt:lpwstr>defa4170-0d19-0005-0001-bc88714345d2</vt:lpwstr>
  </property>
  <property fmtid="{D5CDD505-2E9C-101B-9397-08002B2CF9AE}" pid="6" name="MSIP_Label_d4d7f740-33ce-4711-812b-c50641899122_SiteId">
    <vt:lpwstr>ead72687-ae40-460d-9aeb-b958940b8889</vt:lpwstr>
  </property>
  <property fmtid="{D5CDD505-2E9C-101B-9397-08002B2CF9AE}" pid="7" name="MSIP_Label_d4d7f740-33ce-4711-812b-c50641899122_ActionId">
    <vt:lpwstr>b9de2222-dede-4d75-bc81-649f7a49e892</vt:lpwstr>
  </property>
  <property fmtid="{D5CDD505-2E9C-101B-9397-08002B2CF9AE}" pid="8" name="MSIP_Label_d4d7f740-33ce-4711-812b-c50641899122_ContentBits">
    <vt:lpwstr>0</vt:lpwstr>
  </property>
  <property fmtid="{D5CDD505-2E9C-101B-9397-08002B2CF9AE}" pid="9" name="MSIP_Label_d4d7f740-33ce-4711-812b-c50641899122_Tag">
    <vt:lpwstr>10, 3, 0, 1</vt:lpwstr>
  </property>
</Properties>
</file>