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934B4" w14:textId="19FD8230" w:rsidR="007D7BB8" w:rsidRPr="003268DD" w:rsidRDefault="00BF6786">
      <w:pPr>
        <w:spacing w:after="120"/>
        <w:jc w:val="center"/>
        <w:rPr>
          <w:lang w:val="en-US"/>
        </w:rPr>
      </w:pPr>
      <w:proofErr w:type="spellStart"/>
      <w:r>
        <w:rPr>
          <w:b/>
          <w:bCs/>
          <w:sz w:val="30"/>
          <w:szCs w:val="30"/>
          <w:lang w:val="en-US"/>
        </w:rPr>
        <w:t>I</w:t>
      </w:r>
      <w:r w:rsidR="00334B8E">
        <w:rPr>
          <w:b/>
          <w:bCs/>
          <w:sz w:val="30"/>
          <w:szCs w:val="30"/>
          <w:lang w:val="en-US"/>
        </w:rPr>
        <w:t>mplementability</w:t>
      </w:r>
      <w:proofErr w:type="spellEnd"/>
      <w:r w:rsidR="00334B8E">
        <w:rPr>
          <w:b/>
          <w:bCs/>
          <w:sz w:val="30"/>
          <w:szCs w:val="30"/>
          <w:lang w:val="en-US"/>
        </w:rPr>
        <w:t xml:space="preserve"> of Deep Retrofit Pathways in Post-War Residential Buildings: An Ecological, Economic, and Socio-Technical Case Study</w:t>
      </w:r>
    </w:p>
    <w:p w14:paraId="3FE79EF4" w14:textId="77777777" w:rsidR="007D7BB8" w:rsidRPr="003268DD" w:rsidRDefault="007D7BB8">
      <w:pPr>
        <w:rPr>
          <w:lang w:val="en-US"/>
        </w:rPr>
      </w:pPr>
    </w:p>
    <w:p w14:paraId="33C9CE02" w14:textId="3E438FF2" w:rsidR="007D7BB8" w:rsidRPr="003268DD" w:rsidRDefault="00334B8E">
      <w:pPr>
        <w:spacing w:after="60"/>
        <w:jc w:val="center"/>
        <w:rPr>
          <w:lang w:val="en-US"/>
        </w:rPr>
      </w:pPr>
      <w:r>
        <w:rPr>
          <w:lang w:val="en-US"/>
        </w:rPr>
        <w:t>Alexandros Vassileios Emilios Ioannou-Naoum*, M. Aigner, C. Dilber, M. Sreckovic, I. Kovacic</w:t>
      </w:r>
    </w:p>
    <w:p w14:paraId="5FF0F49F" w14:textId="77777777" w:rsidR="007D7BB8" w:rsidRPr="003268DD" w:rsidRDefault="00334B8E">
      <w:pPr>
        <w:spacing w:after="60"/>
        <w:jc w:val="center"/>
        <w:rPr>
          <w:lang w:val="en-US"/>
        </w:rPr>
      </w:pPr>
      <w:r>
        <w:rPr>
          <w:i/>
          <w:iCs/>
          <w:lang w:val="en-US"/>
        </w:rPr>
        <w:t>Faculty of Civil and Environmental Engineering</w:t>
      </w:r>
    </w:p>
    <w:p w14:paraId="39E5660F" w14:textId="77777777" w:rsidR="007D7BB8" w:rsidRPr="003268DD" w:rsidRDefault="00334B8E">
      <w:pPr>
        <w:spacing w:after="60"/>
        <w:jc w:val="center"/>
        <w:rPr>
          <w:lang w:val="en-US"/>
        </w:rPr>
      </w:pPr>
      <w:r>
        <w:rPr>
          <w:i/>
          <w:iCs/>
          <w:lang w:val="en-US"/>
        </w:rPr>
        <w:t>Institute of Building and Industrial Construction</w:t>
      </w:r>
    </w:p>
    <w:p w14:paraId="30890F50" w14:textId="77777777" w:rsidR="007D7BB8" w:rsidRPr="003268DD" w:rsidRDefault="00334B8E">
      <w:pPr>
        <w:spacing w:after="60"/>
        <w:jc w:val="center"/>
        <w:rPr>
          <w:lang w:val="en-US"/>
        </w:rPr>
      </w:pPr>
      <w:r>
        <w:rPr>
          <w:i/>
          <w:iCs/>
          <w:lang w:val="en-US"/>
        </w:rPr>
        <w:t>TU Wien, Vienna, Austria</w:t>
      </w:r>
    </w:p>
    <w:p w14:paraId="151D3CF1" w14:textId="77777777" w:rsidR="007D7BB8" w:rsidRPr="003268DD" w:rsidRDefault="00334B8E">
      <w:pPr>
        <w:spacing w:after="240"/>
        <w:jc w:val="center"/>
        <w:rPr>
          <w:lang w:val="en-US"/>
        </w:rPr>
      </w:pPr>
      <w:r>
        <w:rPr>
          <w:sz w:val="22"/>
          <w:szCs w:val="22"/>
          <w:lang w:val="en-US"/>
        </w:rPr>
        <w:t>*Corresponding author: alexandros.ioannou-naoum@tuwien.ac.at</w:t>
      </w:r>
    </w:p>
    <w:p w14:paraId="1DB7AAF7" w14:textId="77777777" w:rsidR="007D7BB8" w:rsidRPr="003268DD" w:rsidRDefault="00334B8E">
      <w:pPr>
        <w:pStyle w:val="berschrift1"/>
        <w:rPr>
          <w:lang w:val="en-US"/>
        </w:rPr>
      </w:pPr>
      <w:r>
        <w:rPr>
          <w:lang w:val="en-US"/>
        </w:rPr>
        <w:t>ABSTRACT</w:t>
      </w:r>
    </w:p>
    <w:p w14:paraId="2A268F29" w14:textId="40B3AFBA" w:rsidR="007D7BB8" w:rsidRPr="003268DD" w:rsidRDefault="00334B8E">
      <w:pPr>
        <w:spacing w:after="120" w:line="276" w:lineRule="auto"/>
        <w:jc w:val="both"/>
        <w:rPr>
          <w:lang w:val="en-US"/>
        </w:rPr>
      </w:pPr>
      <w:r w:rsidRPr="006B57B4">
        <w:rPr>
          <w:lang w:val="en-US"/>
        </w:rPr>
        <w:t xml:space="preserve">The </w:t>
      </w:r>
      <w:proofErr w:type="spellStart"/>
      <w:r w:rsidRPr="006B57B4">
        <w:rPr>
          <w:lang w:val="en-US"/>
        </w:rPr>
        <w:t>decarbonisation</w:t>
      </w:r>
      <w:proofErr w:type="spellEnd"/>
      <w:r w:rsidRPr="006B57B4">
        <w:rPr>
          <w:lang w:val="en-US"/>
        </w:rPr>
        <w:t xml:space="preserve"> of the existing building stock is essential to achieving climate targets, yet retrofit research continues to evaluate pathways predominantly through technical, ecological, or economic indicators, while implementability under real conditions remains insufficiently explored. This paper advances a structured concept of </w:t>
      </w:r>
      <w:proofErr w:type="spellStart"/>
      <w:r w:rsidRPr="006B57B4">
        <w:rPr>
          <w:lang w:val="en-US"/>
        </w:rPr>
        <w:t>implementability</w:t>
      </w:r>
      <w:proofErr w:type="spellEnd"/>
      <w:r w:rsidR="00404A2F" w:rsidRPr="006B57B4">
        <w:rPr>
          <w:lang w:val="en-US"/>
        </w:rPr>
        <w:t xml:space="preserve">, </w:t>
      </w:r>
      <w:r w:rsidRPr="006B57B4">
        <w:rPr>
          <w:lang w:val="en-US"/>
        </w:rPr>
        <w:t>defined as the condition under which a technically and economically assessed retrofit pathway can be realised as a viable option within the socio-institutional context of an occupied building</w:t>
      </w:r>
      <w:r w:rsidR="00404A2F" w:rsidRPr="006B57B4">
        <w:rPr>
          <w:lang w:val="en-US"/>
        </w:rPr>
        <w:t>,</w:t>
      </w:r>
      <w:r w:rsidRPr="006B57B4">
        <w:rPr>
          <w:lang w:val="en-US"/>
        </w:rPr>
        <w:t xml:space="preserve"> and distinguishes it from adjacent concepts such as technical feasibility, economic viability, and social acceptability. Implementability is treated as a multi-dimensional threshold concept encompassing governance alignment, institutional permissibility, operational manageability, financing capacity, and occupant compatibility. This framing draws on institutional theory, agency theory, and socio-technical transition theory, applied from the outset of the analytical framework rather than reserved for post-hoc interpretation. A mixed-method single-case design is applied to a 1957 post-war residential building in Vienna. Three retrofit pathways of graduated intervention depth </w:t>
      </w:r>
      <w:r w:rsidR="00404A2F" w:rsidRPr="006B57B4">
        <w:rPr>
          <w:lang w:val="en-US"/>
        </w:rPr>
        <w:t>(</w:t>
      </w:r>
      <w:r w:rsidRPr="006B57B4">
        <w:rPr>
          <w:lang w:val="en-US"/>
        </w:rPr>
        <w:t>Low, Medium, and High</w:t>
      </w:r>
      <w:r w:rsidR="00404A2F" w:rsidRPr="006B57B4">
        <w:rPr>
          <w:lang w:val="en-US"/>
        </w:rPr>
        <w:t>)</w:t>
      </w:r>
      <w:r w:rsidRPr="006B57B4">
        <w:rPr>
          <w:lang w:val="en-US"/>
        </w:rPr>
        <w:t xml:space="preserve"> were assessed through life cycle assessment (LCA), life cycle costing (LCC), and semi-structured expert interviews, with qualitative findings used to interpret and contextualise quantitative results rather than as parallel evidence streams. The primary contribution is not to identify the technically or computationally superior scenario, but to examine under what conditions each scenario can be realised as a viable option within Vienna’s occupied housing stock. The Medium scenario achieved the most favourable long-term ecological and economic balance. Although the High scenario performed best in selected energy indicators, it proved less robust once embodied impacts, operational complexity, occupied-building constraints, refinancing limits, and long-term manageability were considered. High-invasive pathways became particularly unstable where multiple implementability thresholds converged simultaneously. Limitations include the single-case design and the restriction of qualitative data to professional decision-makers, with occupant perspectives absent.</w:t>
      </w:r>
    </w:p>
    <w:p w14:paraId="244EF209" w14:textId="77777777" w:rsidR="007D7BB8" w:rsidRPr="003268DD" w:rsidRDefault="007D7BB8">
      <w:pPr>
        <w:rPr>
          <w:lang w:val="en-US"/>
        </w:rPr>
      </w:pPr>
    </w:p>
    <w:p w14:paraId="03A80A75" w14:textId="77777777" w:rsidR="007D7BB8" w:rsidRPr="003268DD" w:rsidRDefault="00334B8E">
      <w:pPr>
        <w:spacing w:after="120" w:line="276" w:lineRule="auto"/>
        <w:jc w:val="both"/>
        <w:rPr>
          <w:lang w:val="en-US"/>
        </w:rPr>
      </w:pPr>
      <w:r>
        <w:rPr>
          <w:b/>
          <w:bCs/>
          <w:lang w:val="en-US"/>
        </w:rPr>
        <w:t xml:space="preserve">Keywords: </w:t>
      </w:r>
      <w:r>
        <w:rPr>
          <w:lang w:val="en-US"/>
        </w:rPr>
        <w:t>deep retrofit; life cycle assessment; life cycle costing; post-war residential buildings; implementability; decision space; decarbonisation; Vienna</w:t>
      </w:r>
    </w:p>
    <w:p w14:paraId="60A5CD0B" w14:textId="77777777" w:rsidR="007D7BB8" w:rsidRPr="003268DD" w:rsidRDefault="007D7BB8">
      <w:pPr>
        <w:rPr>
          <w:lang w:val="en-US"/>
        </w:rPr>
      </w:pPr>
    </w:p>
    <w:p w14:paraId="53B81515" w14:textId="77777777" w:rsidR="007D7BB8" w:rsidRPr="003268DD" w:rsidRDefault="00334B8E">
      <w:pPr>
        <w:pStyle w:val="berschrift1"/>
        <w:rPr>
          <w:lang w:val="en-US"/>
        </w:rPr>
      </w:pPr>
      <w:r>
        <w:rPr>
          <w:lang w:val="en-US"/>
        </w:rPr>
        <w:t>1. INTRODUCTION</w:t>
      </w:r>
    </w:p>
    <w:p w14:paraId="2D75C11A" w14:textId="77777777" w:rsidR="00C656E0" w:rsidRPr="007E4B09" w:rsidRDefault="00C656E0" w:rsidP="00C656E0">
      <w:pPr>
        <w:spacing w:after="120" w:line="276" w:lineRule="auto"/>
        <w:jc w:val="both"/>
        <w:rPr>
          <w:lang w:val="en-US"/>
        </w:rPr>
      </w:pPr>
      <w:r>
        <w:rPr>
          <w:lang w:val="en-US"/>
        </w:rPr>
        <w:lastRenderedPageBreak/>
        <w:t>The decarbonisation of the existing building stock is one of the most pressing challenges in meeting European and international climate targets. The Paris Agreement (United Nations, 2015) and the European Green Deal (European Commission, 2019) establish binding commitments that place the transformation of existing buildings at the centre of scientific, economic, political, and social debate. With approximately 80% of buildings currently in existence projected to remain in use in 2050 (WEF, 2022), renovation of the existing stock is a structural imperative. The urgency is compounded by the growing vulnerability of the building stock to climate change, by energy security pressures following the European gas crisis, and by rising heating and cooling costs.</w:t>
      </w:r>
    </w:p>
    <w:p w14:paraId="197DD000" w14:textId="1E8B3BF6" w:rsidR="00C656E0" w:rsidRPr="003268DD" w:rsidRDefault="00C656E0" w:rsidP="00C656E0">
      <w:pPr>
        <w:spacing w:after="120" w:line="276" w:lineRule="auto"/>
        <w:jc w:val="both"/>
        <w:rPr>
          <w:lang w:val="en-US"/>
        </w:rPr>
      </w:pPr>
      <w:r>
        <w:rPr>
          <w:lang w:val="en-US"/>
        </w:rPr>
        <w:t>The policy question has therefore shifted: it is no longer simply whether existing buildings should be retrofitted, but which retrofit pathways and levels of intervention are technically feasible, ecologically promising, legally permissible, economically viable, and socially, operationally, and institutionally implementable under real conditions (DeTroy et al., 2025; Heinz et al., 2025; Johansson, 2023; Yan et al., 2026). Current research is only partly equipped to address this challenge. Assessments remain largely organised along disciplinary and sequential lines (Heinz et al., 2025): technical and ecological studies identify preferred options through energy and LCA indicators (Kovacic et al., 2015; Luo et al., 2025; Oikonomou et al., 2026); economic studies evaluate pathways through investment and lifecycle cost analyses (Campagna et al., 2025; Suppa et al., 2026); and social or governance dimensions are addressed separately, if at all (Gutland et al., 2024). Each perspective is coherent within its own logic, but the difficulty arises when these disciplinary assessments are assumed to remain decisive in real decision-making contexts</w:t>
      </w:r>
      <w:r w:rsidR="00404A2F">
        <w:rPr>
          <w:lang w:val="en-US"/>
        </w:rPr>
        <w:t>:</w:t>
      </w:r>
      <w:r>
        <w:rPr>
          <w:lang w:val="en-US"/>
        </w:rPr>
        <w:t xml:space="preserve"> where the technically superior option may appear too risky, too disruptive, or insufficiently permissible under regulatory or social conditions. Existing approaches thus fail to capture situational criteria, implementation conditions, and social dynamics with sufficient depth (Panakaduwa et al., 2025). This raises a fundamental question: to what extent can current models indicate which retrofit pathways remain feasible under practical conditions?</w:t>
      </w:r>
    </w:p>
    <w:p w14:paraId="0AA14368" w14:textId="77777777" w:rsidR="00C656E0" w:rsidRPr="003268DD" w:rsidRDefault="00C656E0" w:rsidP="00C656E0">
      <w:pPr>
        <w:spacing w:after="140" w:line="280" w:lineRule="auto"/>
        <w:jc w:val="both"/>
        <w:rPr>
          <w:lang w:val="en-US"/>
        </w:rPr>
      </w:pPr>
      <w:r>
        <w:rPr>
          <w:lang w:val="en-US"/>
        </w:rPr>
        <w:t>This study addresses that gap. Its central argument is that retrofit pathways must be evaluated not only in terms of optimisation but in terms of implementability, a concept that requires explicit definition and theoretical grounding. In order to do so, this paper employs a mixed-method single-case design based on a real use case, and is structured as follows. Section 2 establishes the theoretical and policy context. Section 3 describes the research methodology, including scenario development, LCA and LCC methods, and the expert interview framework. Sections 4 and 5 present the ecological and economic assessment results respectively. Section 6 synthesises findings through an integrated eco-economic evaluation. Section 7 reports expert perspectives on barriers and enablers of renovation. Section 8 discusses implications and limitations, and Section 9 offers conclusions and an outlook for future research.</w:t>
      </w:r>
    </w:p>
    <w:p w14:paraId="11140467" w14:textId="77777777" w:rsidR="007D7BB8" w:rsidRPr="003268DD" w:rsidRDefault="00334B8E">
      <w:pPr>
        <w:pStyle w:val="berschrift1"/>
        <w:rPr>
          <w:lang w:val="en-US"/>
        </w:rPr>
      </w:pPr>
      <w:r>
        <w:rPr>
          <w:lang w:val="en-US"/>
        </w:rPr>
        <w:t>2. BACKGROUND AND THEORETICAL FRAMEWORK</w:t>
      </w:r>
    </w:p>
    <w:p w14:paraId="47F98FED" w14:textId="77777777" w:rsidR="007D7BB8" w:rsidRPr="003268DD" w:rsidRDefault="00334B8E">
      <w:pPr>
        <w:pStyle w:val="berschrift2"/>
        <w:rPr>
          <w:lang w:val="en-US"/>
        </w:rPr>
      </w:pPr>
      <w:r>
        <w:rPr>
          <w:lang w:val="en-US"/>
        </w:rPr>
        <w:t>2.1 The European Renovation Imperative</w:t>
      </w:r>
    </w:p>
    <w:p w14:paraId="4C134CE4" w14:textId="47CAA7D7" w:rsidR="007D7BB8" w:rsidRPr="003268DD" w:rsidRDefault="00334B8E">
      <w:pPr>
        <w:spacing w:after="120" w:line="276" w:lineRule="auto"/>
        <w:jc w:val="both"/>
        <w:rPr>
          <w:lang w:val="en-US"/>
        </w:rPr>
      </w:pPr>
      <w:r>
        <w:rPr>
          <w:lang w:val="en-US"/>
        </w:rPr>
        <w:t xml:space="preserve">The European Green Deal (European Commission, 2019) and the Renovation Wave strategy (European Commission, 2020) establish renovation of the existing building stock as a structural </w:t>
      </w:r>
      <w:r>
        <w:rPr>
          <w:lang w:val="en-US"/>
        </w:rPr>
        <w:lastRenderedPageBreak/>
        <w:t>policy priority: approximately 75% of EU buildings are energy-inefficient, and only about 1% undergoes energy renovation annually. The Energy Performance of Buildings Directive (EPBD) requires Member States to develop long-term renovation strategies, while Austria’s National Energy and Climate Plan (NEKP) targets at least 3% annual renovation of the public stock. The Austrian building stock, characterised by a high share of pre-1970 construction with significant energy efficiency deficits, faces rising energy costs and energy poverty pressures that strengthen the economic and social case for deep renovation.</w:t>
      </w:r>
    </w:p>
    <w:p w14:paraId="23F5F338" w14:textId="77777777" w:rsidR="007D7BB8" w:rsidRPr="003268DD" w:rsidRDefault="00334B8E">
      <w:pPr>
        <w:pStyle w:val="berschrift2"/>
        <w:rPr>
          <w:lang w:val="en-US"/>
        </w:rPr>
      </w:pPr>
      <w:r>
        <w:rPr>
          <w:lang w:val="en-US"/>
        </w:rPr>
        <w:t>2.2 Post-War Building Stock: Characteristics and Challenges</w:t>
      </w:r>
    </w:p>
    <w:p w14:paraId="2D806557" w14:textId="3AE1BEBD" w:rsidR="007D7BB8" w:rsidRPr="003268DD" w:rsidRDefault="00334B8E">
      <w:pPr>
        <w:spacing w:after="120" w:line="276" w:lineRule="auto"/>
        <w:jc w:val="both"/>
        <w:rPr>
          <w:lang w:val="en-US"/>
        </w:rPr>
      </w:pPr>
      <w:r>
        <w:rPr>
          <w:lang w:val="en-US"/>
        </w:rPr>
        <w:t>Post-war residential buildings in Austria (1945–1960) were constructed under acute housing shortage conditions, prioritising speed and volume over thermal performance. Typical construction, hollow block masonry walls, reinforced concrete slabs, simple plastered façades without insulation, resulted in U-values for external walls in the range of 1.0–1.5 W/m²K. Material heterogeneity (including recycled wartime debris), incomplete documentation, and complex ownership constellations, typical of closed perimeter block developments (Blockrandbebauung), complicate renovation planning and make the concept of the material building passport (Honic et al., 2021) particularly relevant for this typology. Post-war buildings account for approximately 11% of Vienna’s stock (Statistik Austria, 2023) and exhibit systematically poor energy performance.</w:t>
      </w:r>
    </w:p>
    <w:p w14:paraId="21C86758" w14:textId="77777777" w:rsidR="007D7BB8" w:rsidRPr="003268DD" w:rsidRDefault="00334B8E">
      <w:pPr>
        <w:pStyle w:val="berschrift2"/>
        <w:rPr>
          <w:lang w:val="en-US"/>
        </w:rPr>
      </w:pPr>
      <w:r>
        <w:rPr>
          <w:lang w:val="en-US"/>
        </w:rPr>
        <w:t>2.3 Literature Review: Retrofit Assessment Frameworks</w:t>
      </w:r>
    </w:p>
    <w:p w14:paraId="2031673F" w14:textId="77777777" w:rsidR="007D7BB8" w:rsidRPr="003268DD" w:rsidRDefault="00334B8E">
      <w:pPr>
        <w:pStyle w:val="berschrift3"/>
        <w:rPr>
          <w:lang w:val="en-US"/>
        </w:rPr>
      </w:pPr>
      <w:r>
        <w:rPr>
          <w:lang w:val="en-US"/>
        </w:rPr>
        <w:t>2.3.1 Defining Retrofit</w:t>
      </w:r>
    </w:p>
    <w:p w14:paraId="2252B248" w14:textId="6E5A7258" w:rsidR="007D7BB8" w:rsidRPr="003268DD" w:rsidRDefault="00334B8E">
      <w:pPr>
        <w:spacing w:after="120" w:line="276" w:lineRule="auto"/>
        <w:jc w:val="both"/>
        <w:rPr>
          <w:lang w:val="en-US"/>
        </w:rPr>
      </w:pPr>
      <w:r>
        <w:rPr>
          <w:lang w:val="en-US"/>
        </w:rPr>
        <w:t>Following Gutland et al. (2024) and Zhivov and Lohse (2020), this paper distinguishes three intervention levels. Low refers to targeted thermal measures retaining the existing supply structure (shallow retrofit). Medium extends envelope measures with supporting changes to the energy system. High represents a deep retrofit achieving at least 50% site energy reduction through comprehensive thermal upgrading and fundamental reorganisation of energy supply and distribution (Medrano-Gómez et al., 2025; Mohammadpourkarbasi et al., 2023).</w:t>
      </w:r>
    </w:p>
    <w:p w14:paraId="085BAEE9" w14:textId="77777777" w:rsidR="007D7BB8" w:rsidRPr="003268DD" w:rsidRDefault="00334B8E">
      <w:pPr>
        <w:pStyle w:val="berschrift3"/>
        <w:rPr>
          <w:lang w:val="en-US"/>
        </w:rPr>
      </w:pPr>
      <w:r>
        <w:rPr>
          <w:lang w:val="en-US"/>
        </w:rPr>
        <w:t>2.3.2 Performance Indicators and the Decarbonisation Logic</w:t>
      </w:r>
    </w:p>
    <w:p w14:paraId="4051CE93" w14:textId="156233D2" w:rsidR="007D7BB8" w:rsidRPr="003268DD" w:rsidRDefault="00D660BC">
      <w:pPr>
        <w:spacing w:after="120" w:line="276" w:lineRule="auto"/>
        <w:jc w:val="both"/>
        <w:rPr>
          <w:lang w:val="en-US"/>
        </w:rPr>
      </w:pPr>
      <w:r>
        <w:rPr>
          <w:lang w:val="en-US"/>
        </w:rPr>
        <w:t>The retrofit literature, especially work on deep retrofit and the decarbonisation of existing buildings, still largely follows a performance-based logic. Preferred solutions are identified through technical, energy-related, or ecological indicators including thermal conductivity, Coefficient of Performance (COP), Global Warming Potential (GWP), Heating Demand (HD), Final Energy Demand (FED), and waste or recycling potential (Boskovic &amp; Cullen, 2025; Gutland et al., 2024; Kovacic et al., 2015). While deep retrofits generally achieve the greatest lifecycle ecological improvements (Summer, 2012), current models leave key conditions unaddressed: tenant structure, ownership constellations, temporary relocation needs, and organisational effort. As the International Energy Agency (IEA) has noted, technical performance data alone cannot explain renovation rates (IEA, 2023).</w:t>
      </w:r>
    </w:p>
    <w:p w14:paraId="3D75604E" w14:textId="77777777" w:rsidR="007D7BB8" w:rsidRPr="003268DD" w:rsidRDefault="00334B8E">
      <w:pPr>
        <w:pStyle w:val="berschrift3"/>
        <w:rPr>
          <w:lang w:val="en-US"/>
        </w:rPr>
      </w:pPr>
      <w:r>
        <w:rPr>
          <w:lang w:val="en-US"/>
        </w:rPr>
        <w:t>2.3.3 Economic Assessment and Life Cycle Costing</w:t>
      </w:r>
    </w:p>
    <w:p w14:paraId="5AFC6933" w14:textId="7031206D" w:rsidR="007D7BB8" w:rsidRPr="003268DD" w:rsidRDefault="00660D81">
      <w:pPr>
        <w:spacing w:after="120" w:line="276" w:lineRule="auto"/>
        <w:jc w:val="both"/>
        <w:rPr>
          <w:lang w:val="en-US"/>
        </w:rPr>
      </w:pPr>
      <w:r>
        <w:rPr>
          <w:lang w:val="en-US"/>
        </w:rPr>
        <w:t xml:space="preserve">Alongside technical and ecological rationality, economic viability forms a central decision boundary in retrofit projects. Life cycle costing (LCC) analyses demonstrate that initial costs, </w:t>
      </w:r>
      <w:r>
        <w:rPr>
          <w:lang w:val="en-US"/>
        </w:rPr>
        <w:lastRenderedPageBreak/>
        <w:t>representing only ~20% of total lifecycle expenditure (Kovacic, 2025), are insufficient for assessing retrofit pathways; a 50-year view capturing energy, maintenance, and replacement costs is necessary (Campagna et al., 2025; Di Giuseppe et al., 2017; Suppa et al., 2026). In this study, LCC is treated as essential but not sufficient: it remains model-based and cannot capture financing feasibility, actor time horizons, or willingness to take on debt</w:t>
      </w:r>
      <w:r w:rsidR="00404A2F">
        <w:rPr>
          <w:lang w:val="en-US"/>
        </w:rPr>
        <w:t xml:space="preserve">, </w:t>
      </w:r>
      <w:r>
        <w:rPr>
          <w:lang w:val="en-US"/>
        </w:rPr>
        <w:t>conditions that must be addressed through complementary qualitative analysis.</w:t>
      </w:r>
    </w:p>
    <w:p w14:paraId="1F66C2A1" w14:textId="77777777" w:rsidR="007D7BB8" w:rsidRPr="003268DD" w:rsidRDefault="00334B8E">
      <w:pPr>
        <w:pStyle w:val="berschrift3"/>
        <w:rPr>
          <w:lang w:val="en-US"/>
        </w:rPr>
      </w:pPr>
      <w:r>
        <w:rPr>
          <w:lang w:val="en-US"/>
        </w:rPr>
        <w:t>2.3.4 Social and Governance Dimensions</w:t>
      </w:r>
    </w:p>
    <w:p w14:paraId="444563D8" w14:textId="4FBB5C73" w:rsidR="007D7BB8" w:rsidRPr="006B57B4" w:rsidRDefault="00334B8E">
      <w:pPr>
        <w:spacing w:after="120" w:line="276" w:lineRule="auto"/>
        <w:jc w:val="both"/>
        <w:rPr>
          <w:lang w:val="en-US"/>
        </w:rPr>
      </w:pPr>
      <w:r>
        <w:rPr>
          <w:lang w:val="en-US"/>
        </w:rPr>
        <w:t xml:space="preserve">Human factors and governance-related conditions constitute another central criterion determining whether deep retrofits can be implemented (Heinz et al., 2025; Johansson, 2023). In this study, implementability is understood as a distinct analytical dimension that differs from adjacent concepts: whereas feasibility denotes technical possibility and viability denotes economic rationality, implementability refers to the cross-dimensional condition under which a retrofit pathway remains a stable option across the full set of institutional, organisational, financial, social, and regulatory constraints that actors actually face. It is thus a socio-technical threshold concept, not a property of the building system alone. This framing distinguishes </w:t>
      </w:r>
      <w:r w:rsidRPr="006B57B4">
        <w:rPr>
          <w:lang w:val="en-US"/>
        </w:rPr>
        <w:t>implementability from acceptability (which addresses social preferences) by emphasising the structural conditions that constrain choice independently of preference. Implementability is conceptualised as a threshold concept with five analytically distinct but empirically interdependent dimensions: (1) governance alignment</w:t>
      </w:r>
      <w:r w:rsidR="00404A2F" w:rsidRPr="006B57B4">
        <w:rPr>
          <w:lang w:val="en-US"/>
        </w:rPr>
        <w:t xml:space="preserve">: </w:t>
      </w:r>
      <w:r w:rsidRPr="006B57B4">
        <w:rPr>
          <w:lang w:val="en-US"/>
        </w:rPr>
        <w:t>the degree to which ownership structures, decision-making procedures, and institutional rules support coordinated action; (2) institutional permissibility</w:t>
      </w:r>
      <w:r w:rsidR="00404A2F" w:rsidRPr="006B57B4">
        <w:rPr>
          <w:lang w:val="en-US"/>
        </w:rPr>
        <w:t xml:space="preserve">: </w:t>
      </w:r>
      <w:r w:rsidRPr="006B57B4">
        <w:rPr>
          <w:lang w:val="en-US"/>
        </w:rPr>
        <w:t>the degree to which formal rules (tenancy law, heritage protection, building codes) and informal norms (risk aversion, ‘existing-stock rationality’) permit the pathway; (3) financing capacity</w:t>
      </w:r>
      <w:r w:rsidR="00404A2F" w:rsidRPr="006B57B4">
        <w:rPr>
          <w:lang w:val="en-US"/>
        </w:rPr>
        <w:t>:</w:t>
      </w:r>
      <w:r w:rsidRPr="006B57B4">
        <w:rPr>
          <w:lang w:val="en-US"/>
        </w:rPr>
        <w:t xml:space="preserve"> the degree to which the investment can be refinanced within the constraints of the rental market and ownership structure; (4) operational manageability</w:t>
      </w:r>
      <w:r w:rsidR="00404A2F" w:rsidRPr="006B57B4">
        <w:rPr>
          <w:lang w:val="en-US"/>
        </w:rPr>
        <w:t xml:space="preserve">: </w:t>
      </w:r>
      <w:r w:rsidRPr="006B57B4">
        <w:rPr>
          <w:lang w:val="en-US"/>
        </w:rPr>
        <w:t>the degree to which the resulting system can be operated and maintained with available expertise and organisational resources; and (5) occupant compatibility</w:t>
      </w:r>
      <w:r w:rsidR="00404A2F" w:rsidRPr="006B57B4">
        <w:rPr>
          <w:lang w:val="en-US"/>
        </w:rPr>
        <w:t>:</w:t>
      </w:r>
      <w:r w:rsidRPr="006B57B4">
        <w:rPr>
          <w:lang w:val="en-US"/>
        </w:rPr>
        <w:t xml:space="preserve"> the degree to which the pathway can be realised without unacceptable disruption and the resulting system operated correctly by residents (Böckl et al., 2025; Yan et al., 2026). Implementability thresholds collapse where multiple dimensions simultaneously approach their limits.</w:t>
      </w:r>
    </w:p>
    <w:p w14:paraId="444563D9" w14:textId="32A345DD" w:rsidR="007D7BB8" w:rsidRPr="003268DD" w:rsidRDefault="00334B8E">
      <w:pPr>
        <w:spacing w:after="120" w:line="276" w:lineRule="auto"/>
        <w:jc w:val="both"/>
        <w:rPr>
          <w:lang w:val="en-US"/>
        </w:rPr>
      </w:pPr>
      <w:r w:rsidRPr="006B57B4">
        <w:rPr>
          <w:lang w:val="en-US"/>
        </w:rPr>
        <w:t>Two theoretical perspectives are analytically central to this study, and are introduced here rather than deferred. Institutional theory highlights how formal rules, such as tenancy law (Mietrechtsgesetz), municipal procurement norms, and subsidy structures, and informal norms</w:t>
      </w:r>
      <w:r>
        <w:rPr>
          <w:lang w:val="en-US"/>
        </w:rPr>
        <w:t xml:space="preserve"> (including risk aversion and incremental renovation cultures) create path dependencies that favour shallow interventions and constrain the effective decision space from the outset (Eichhammer et al., 2021). Ownership structure is therefore not merely an empirical finding in this study; it is a constitutive condition that shapes which pathways are available before any technical assessment begins. Agency theory addresses the persistent split incentive between building owners (who bear upfront investment costs) and tenants (who benefit from operational savings), a misalignment that structural rent regulation in Austria systematically reinforces. Together, </w:t>
      </w:r>
      <w:r w:rsidRPr="00B95569">
        <w:rPr>
          <w:lang w:val="en-US"/>
        </w:rPr>
        <w:t xml:space="preserve">these perspectives explain why technically superior retrofit options frequently remain </w:t>
      </w:r>
      <w:r w:rsidR="00404A2F" w:rsidRPr="00B95569">
        <w:rPr>
          <w:lang w:val="en-US"/>
        </w:rPr>
        <w:t>unrealized,</w:t>
      </w:r>
      <w:r w:rsidRPr="00B95569">
        <w:rPr>
          <w:lang w:val="en-US"/>
        </w:rPr>
        <w:t xml:space="preserve"> not due to technical failure, but due to institutional misalignment.</w:t>
      </w:r>
    </w:p>
    <w:p w14:paraId="444563DA" w14:textId="7E803D2C" w:rsidR="007D7BB8" w:rsidRPr="006B57B4" w:rsidRDefault="00334B8E">
      <w:pPr>
        <w:spacing w:after="120" w:line="276" w:lineRule="auto"/>
        <w:jc w:val="both"/>
        <w:rPr>
          <w:lang w:val="en-US"/>
        </w:rPr>
      </w:pPr>
      <w:r w:rsidRPr="006B57B4">
        <w:rPr>
          <w:lang w:val="en-US"/>
        </w:rPr>
        <w:lastRenderedPageBreak/>
        <w:t xml:space="preserve">Socio-technical transition theory (Geels, 2002) provides a further lens, framing building renovation not as a series of individual technical decisions but as a regime-level challenge requiring coordinated change across technology, infrastructure, regulation, and user practice. In Vienna’s context, this perspective illuminates a specific tension: the district heating network </w:t>
      </w:r>
      <w:r w:rsidR="00404A2F" w:rsidRPr="006B57B4">
        <w:rPr>
          <w:lang w:val="en-US"/>
        </w:rPr>
        <w:t>(</w:t>
      </w:r>
      <w:r w:rsidRPr="006B57B4">
        <w:rPr>
          <w:lang w:val="en-US"/>
        </w:rPr>
        <w:t>a dominant socio-technical regime element</w:t>
      </w:r>
      <w:r w:rsidR="00404A2F" w:rsidRPr="006B57B4">
        <w:rPr>
          <w:lang w:val="en-US"/>
        </w:rPr>
        <w:t>)</w:t>
      </w:r>
      <w:r w:rsidRPr="006B57B4">
        <w:rPr>
          <w:lang w:val="en-US"/>
        </w:rPr>
        <w:t xml:space="preserve"> shapes ecological outcomes in ways that building-level energy performance metrics obscure. A retrofit pathway that severs the district heating connection may reduce final energy demand while increasing short-term GWP under the current energy mix, because it departs from a supply regime whose decarbonisation trajectory remains uncertain. Implementability, from this perspective, is not only a property of individual buildings and their owners, but of the broader socio-technical regime within which they are embedded.</w:t>
      </w:r>
    </w:p>
    <w:p w14:paraId="351428A4" w14:textId="77777777" w:rsidR="007D7BB8" w:rsidRPr="006B57B4" w:rsidRDefault="00334B8E">
      <w:pPr>
        <w:spacing w:after="120" w:line="276" w:lineRule="auto"/>
        <w:jc w:val="both"/>
        <w:rPr>
          <w:lang w:val="en-US"/>
        </w:rPr>
      </w:pPr>
      <w:r w:rsidRPr="006B57B4">
        <w:rPr>
          <w:lang w:val="en-US"/>
        </w:rPr>
        <w:t>Although some studies address user preferences in relation to retrofit measures (Yan et al., 2026), no systematic analysis could be identified that examines whether, and at what point, specific retrofit pathways drop out of the effective decision space.</w:t>
      </w:r>
    </w:p>
    <w:p w14:paraId="6167E6E1" w14:textId="77777777" w:rsidR="007D7BB8" w:rsidRPr="003268DD" w:rsidRDefault="00334B8E">
      <w:pPr>
        <w:pStyle w:val="berschrift3"/>
        <w:rPr>
          <w:lang w:val="en-US"/>
        </w:rPr>
      </w:pPr>
      <w:r w:rsidRPr="006B57B4">
        <w:rPr>
          <w:lang w:val="en-US"/>
        </w:rPr>
        <w:t>2.3.5 Decision Space and Integrated Assessment Frameworks</w:t>
      </w:r>
    </w:p>
    <w:p w14:paraId="69FDEA51" w14:textId="77777777" w:rsidR="00660D81" w:rsidRPr="003268DD" w:rsidRDefault="00660D81" w:rsidP="00660D81">
      <w:pPr>
        <w:spacing w:after="120" w:line="276" w:lineRule="auto"/>
        <w:jc w:val="both"/>
        <w:rPr>
          <w:lang w:val="en-US"/>
        </w:rPr>
      </w:pPr>
      <w:r>
        <w:rPr>
          <w:lang w:val="en-US"/>
        </w:rPr>
        <w:t>In classical decision theory, the decision space refers to the range of possible outcomes from a given set of initial conditions (Rizk &amp; Lindgren, 2025). In this study, the term is used more broadly to include not only the technical, ecological, and economic indicators addressed in existing models, but also those factors that have been neglected or only partially captured. The decision space relevant here cannot be fully defined in advance; it must be reconstructed and sharpened gradually through analysis.</w:t>
      </w:r>
    </w:p>
    <w:p w14:paraId="4D13034F" w14:textId="47E14CF6" w:rsidR="00660D81" w:rsidRDefault="00660D81" w:rsidP="00660D81">
      <w:pPr>
        <w:spacing w:after="120" w:line="276" w:lineRule="auto"/>
        <w:jc w:val="both"/>
        <w:rPr>
          <w:lang w:val="en-US"/>
        </w:rPr>
      </w:pPr>
      <w:r>
        <w:rPr>
          <w:lang w:val="en-US"/>
        </w:rPr>
        <w:t xml:space="preserve">The sectoral decision space refers to the overall space shaped by all actors involved, structured by sequential assessment logics that often operate in isolation. An integrated decision space, by contrast, treats the assessment as simultaneous and cross-dimensional. The integration of LCA and LCC within a single decision-support framework enables explicit analysis of trade-offs between environmental and economic dimensions </w:t>
      </w:r>
      <w:r w:rsidR="0099297E">
        <w:rPr>
          <w:lang w:val="en-US"/>
        </w:rPr>
        <w:t>(</w:t>
      </w:r>
      <w:r>
        <w:rPr>
          <w:lang w:val="en-US"/>
        </w:rPr>
        <w:t>trade-offs that in renovation practice are frequent and consequential</w:t>
      </w:r>
      <w:r w:rsidR="0099297E">
        <w:rPr>
          <w:lang w:val="en-US"/>
        </w:rPr>
        <w:t>)</w:t>
      </w:r>
      <w:r>
        <w:rPr>
          <w:lang w:val="en-US"/>
        </w:rPr>
        <w:t xml:space="preserve">. Austrian standards ÖNORM B 1801-1, B 1801-2, and B 1801-4 provide a normative basis for consistent LCC analyses in the Austrian context, while DGNB/ÖGNI </w:t>
      </w:r>
      <w:r w:rsidR="00AF5FF1">
        <w:rPr>
          <w:lang w:val="en-US"/>
        </w:rPr>
        <w:t>(ÖGNI, 2026)</w:t>
      </w:r>
      <w:r w:rsidR="001C65EF">
        <w:rPr>
          <w:lang w:val="en-US"/>
        </w:rPr>
        <w:t xml:space="preserve"> </w:t>
      </w:r>
      <w:r>
        <w:rPr>
          <w:lang w:val="en-US"/>
        </w:rPr>
        <w:t>certification systems offer additional benchmarking reference.</w:t>
      </w:r>
    </w:p>
    <w:p w14:paraId="06D54A6A" w14:textId="77777777" w:rsidR="00667A37" w:rsidRPr="003268DD" w:rsidRDefault="00667A37" w:rsidP="00667A37">
      <w:pPr>
        <w:pStyle w:val="berschrift2"/>
        <w:rPr>
          <w:lang w:val="en-US"/>
        </w:rPr>
      </w:pPr>
      <w:r>
        <w:rPr>
          <w:lang w:val="en-US"/>
        </w:rPr>
        <w:t>2.4 Research Gap and Paper Objective</w:t>
      </w:r>
    </w:p>
    <w:p w14:paraId="3F946BFF" w14:textId="77777777" w:rsidR="00667A37" w:rsidRPr="003268DD" w:rsidRDefault="00667A37" w:rsidP="00667A37">
      <w:pPr>
        <w:spacing w:after="120" w:line="276" w:lineRule="auto"/>
        <w:jc w:val="both"/>
        <w:rPr>
          <w:lang w:val="en-US"/>
        </w:rPr>
      </w:pPr>
      <w:r>
        <w:rPr>
          <w:lang w:val="en-US"/>
        </w:rPr>
        <w:t>The state of the art review on building retrofit leaves key questions of implementability unresolved. Current models capture real implementation barriers only to a limited extent, and reflect real exclusion criteria, critical thresholds, and the social dynamics of retrofit processes only partially. It remains unclear how retrofit scenarios shift from being technically, ecologically, or economically preferable to becoming unfeasible in practice, and at which points they lose their status as real implementation pathways.</w:t>
      </w:r>
    </w:p>
    <w:p w14:paraId="74F8C61D" w14:textId="2A3A460C" w:rsidR="00667A37" w:rsidRPr="003268DD" w:rsidRDefault="00667A37" w:rsidP="00660D81">
      <w:pPr>
        <w:spacing w:after="120" w:line="276" w:lineRule="auto"/>
        <w:jc w:val="both"/>
        <w:rPr>
          <w:lang w:val="en-US"/>
        </w:rPr>
      </w:pPr>
      <w:r>
        <w:rPr>
          <w:lang w:val="en-US"/>
        </w:rPr>
        <w:t>This study addresses that gap. Using a concrete use case, it examines how and why retrofit pathways with different levels of intervention are understood, assessed, constrained, or rejected by different actors</w:t>
      </w:r>
      <w:r w:rsidR="00404A2F">
        <w:rPr>
          <w:lang w:val="en-US"/>
        </w:rPr>
        <w:t>,</w:t>
      </w:r>
      <w:r>
        <w:rPr>
          <w:lang w:val="en-US"/>
        </w:rPr>
        <w:t xml:space="preserve"> and under what conditions technically advantageous options lose stability when they encounter the social, economic, institutional, and operational realities of existing buildings.</w:t>
      </w:r>
    </w:p>
    <w:p w14:paraId="62D2492D" w14:textId="77777777" w:rsidR="007D7BB8" w:rsidRPr="003268DD" w:rsidRDefault="00334B8E">
      <w:pPr>
        <w:pStyle w:val="berschrift1"/>
        <w:rPr>
          <w:lang w:val="en-US"/>
        </w:rPr>
      </w:pPr>
      <w:r>
        <w:rPr>
          <w:lang w:val="en-US"/>
        </w:rPr>
        <w:lastRenderedPageBreak/>
        <w:t>3. METHODOLOGY</w:t>
      </w:r>
    </w:p>
    <w:p w14:paraId="384E1FCF" w14:textId="77777777" w:rsidR="007D7BB8" w:rsidRPr="003268DD" w:rsidRDefault="00334B8E">
      <w:pPr>
        <w:pStyle w:val="berschrift2"/>
        <w:rPr>
          <w:lang w:val="en-US"/>
        </w:rPr>
      </w:pPr>
      <w:r>
        <w:rPr>
          <w:lang w:val="en-US"/>
        </w:rPr>
        <w:t>3.1 Research Design</w:t>
      </w:r>
    </w:p>
    <w:p w14:paraId="28272796" w14:textId="5623854D" w:rsidR="007D7BB8" w:rsidRPr="003268DD" w:rsidRDefault="00334B8E">
      <w:pPr>
        <w:spacing w:after="120" w:line="276" w:lineRule="auto"/>
        <w:jc w:val="both"/>
        <w:rPr>
          <w:lang w:val="en-US"/>
        </w:rPr>
      </w:pPr>
      <w:r>
        <w:rPr>
          <w:lang w:val="en-US"/>
        </w:rPr>
        <w:t xml:space="preserve">This study employs a mixed-method </w:t>
      </w:r>
      <w:r w:rsidR="001C65EF">
        <w:rPr>
          <w:lang w:val="en-US"/>
        </w:rPr>
        <w:t xml:space="preserve">longitudinal </w:t>
      </w:r>
      <w:r>
        <w:rPr>
          <w:lang w:val="en-US"/>
        </w:rPr>
        <w:t>case study</w:t>
      </w:r>
      <w:r w:rsidR="001C65EF">
        <w:rPr>
          <w:lang w:val="en-US"/>
        </w:rPr>
        <w:t xml:space="preserve">; </w:t>
      </w:r>
      <w:r>
        <w:rPr>
          <w:lang w:val="en-US"/>
        </w:rPr>
        <w:t xml:space="preserve">combining quantitative lifecycle analysis (LCA and LCC) with qualitative expert interviews. The three methodological components are not parallel but sequentially integrated: LCA and LCC first establish the performance and cost profile of each scenario under modelled conditions; expert interviews then serve an interpretive and theory-building function, reconstructing which of those scenarios practitioners and decision-makers would regard as genuinely viable, and why. </w:t>
      </w:r>
      <w:r w:rsidR="00F853F4" w:rsidRPr="00F853F4">
        <w:rPr>
          <w:lang w:val="en-US"/>
        </w:rPr>
        <w:t xml:space="preserve">Where tensions arise between quantitative rankings and qualitative assessments of viability, these are not treated as methodological problems to be resolved but as analytically productive findings: the gap between modelled optimality and practical </w:t>
      </w:r>
      <w:proofErr w:type="spellStart"/>
      <w:r w:rsidR="00F853F4" w:rsidRPr="00F853F4">
        <w:rPr>
          <w:lang w:val="en-US"/>
        </w:rPr>
        <w:t>implementability</w:t>
      </w:r>
      <w:proofErr w:type="spellEnd"/>
      <w:r w:rsidR="00F853F4" w:rsidRPr="00F853F4">
        <w:rPr>
          <w:lang w:val="en-US"/>
        </w:rPr>
        <w:t xml:space="preserve"> is itself the central object of analysis.</w:t>
      </w:r>
      <w:r w:rsidR="00F853F4">
        <w:rPr>
          <w:lang w:val="en-US"/>
        </w:rPr>
        <w:t xml:space="preserve"> </w:t>
      </w:r>
      <w:r>
        <w:rPr>
          <w:lang w:val="en-US"/>
        </w:rPr>
        <w:t>The design is structured around a representative case study building in Vienna and three systematically defined renovation scenarios. The research does not seek generalisation to all post-war residential buildings in Austria; rather, it provides a methodologically transparent and reproducible framework applicable to comparable building typologies. The ecological analysis was conducted by Aigner (2025) and the economic analysis by Dilber (2026); the present paper synthesises both in an integrated assessment and extends these insights through expert interviews to capture socio-technical dimensions.</w:t>
      </w:r>
    </w:p>
    <w:p w14:paraId="012661BD" w14:textId="77777777" w:rsidR="007D7BB8" w:rsidRPr="003268DD" w:rsidRDefault="00334B8E">
      <w:pPr>
        <w:pStyle w:val="berschrift2"/>
        <w:rPr>
          <w:lang w:val="en-US"/>
        </w:rPr>
      </w:pPr>
      <w:r>
        <w:rPr>
          <w:lang w:val="en-US"/>
        </w:rPr>
        <w:t>3.2 Case Study Building</w:t>
      </w:r>
    </w:p>
    <w:p w14:paraId="388044A3" w14:textId="5E829A5A" w:rsidR="007D7BB8" w:rsidRPr="003268DD" w:rsidRDefault="00334B8E">
      <w:pPr>
        <w:spacing w:after="120" w:line="276" w:lineRule="auto"/>
        <w:jc w:val="both"/>
        <w:rPr>
          <w:lang w:val="en-US"/>
        </w:rPr>
      </w:pPr>
      <w:r>
        <w:rPr>
          <w:lang w:val="en-US"/>
        </w:rPr>
        <w:t xml:space="preserve">The case study building is a residential complex in Vienna’s third district, constructed in 1957: a freestanding multi-storey reinforced concrete skeleton building with hollow clay brick infill walls, ribbed slabs, and district heating connection, with a gross floor area of approximately </w:t>
      </w:r>
      <w:r w:rsidR="00917780">
        <w:rPr>
          <w:lang w:val="en-US"/>
        </w:rPr>
        <w:t>1</w:t>
      </w:r>
      <w:r>
        <w:rPr>
          <w:lang w:val="en-US"/>
        </w:rPr>
        <w:t>1,750 m². In 2007, the building underwent a façade renovation (ETICS with EPS insulation, aluminium cladding) that left technical systems unchanged; this partial renovation forms the Low scenario baseline. Detailed documentation was obtained via archive research at the Vienna Building Authority (MA37), site visits, and a BIM model (ArchiCAD, LOD 250–300). The case was selected for its typological representativeness of Vienna’s post-war stock, structural flexibility for multi-scenario modelling, data availability, and its capacity to expose real implementation thresholds rather than hypothetical ones.</w:t>
      </w:r>
    </w:p>
    <w:p w14:paraId="06944FED" w14:textId="77777777" w:rsidR="007D7BB8" w:rsidRPr="003268DD" w:rsidRDefault="00334B8E">
      <w:pPr>
        <w:pStyle w:val="berschrift2"/>
        <w:rPr>
          <w:lang w:val="en-US"/>
        </w:rPr>
      </w:pPr>
      <w:r>
        <w:rPr>
          <w:lang w:val="en-US"/>
        </w:rPr>
        <w:t>3.3 Scenario Development</w:t>
      </w:r>
    </w:p>
    <w:p w14:paraId="02CAF990" w14:textId="5F7ABCB7" w:rsidR="007D7BB8" w:rsidRPr="00C4789A" w:rsidRDefault="00334B8E">
      <w:pPr>
        <w:spacing w:after="120" w:line="276" w:lineRule="auto"/>
        <w:jc w:val="both"/>
        <w:rPr>
          <w:lang w:val="en-US"/>
        </w:rPr>
      </w:pPr>
      <w:r>
        <w:rPr>
          <w:lang w:val="en-US"/>
        </w:rPr>
        <w:t>Three renovation scenarios of graduated intervention depth were developed in consultation with technical experts, drawing on the literature review and verified with HVAC practitioners. Potential measures were first identified and assigned to four categorie</w:t>
      </w:r>
      <w:r w:rsidR="00404A2F">
        <w:rPr>
          <w:lang w:val="en-US"/>
        </w:rPr>
        <w:t>s</w:t>
      </w:r>
      <w:r>
        <w:rPr>
          <w:lang w:val="en-US"/>
        </w:rPr>
        <w:t xml:space="preserve"> </w:t>
      </w:r>
      <w:r w:rsidR="00404A2F">
        <w:rPr>
          <w:lang w:val="en-US"/>
        </w:rPr>
        <w:t>(</w:t>
      </w:r>
      <w:r>
        <w:rPr>
          <w:lang w:val="en-US"/>
        </w:rPr>
        <w:t>thermal upgrading, energy carrier, energy distribution, and hot water supply</w:t>
      </w:r>
      <w:r w:rsidR="00404A2F">
        <w:rPr>
          <w:lang w:val="en-US"/>
        </w:rPr>
        <w:t>)</w:t>
      </w:r>
      <w:r>
        <w:rPr>
          <w:lang w:val="en-US"/>
        </w:rPr>
        <w:t xml:space="preserve"> then assessed for theoretical and physical suitability in the case building, </w:t>
      </w:r>
      <w:proofErr w:type="gramStart"/>
      <w:r>
        <w:rPr>
          <w:lang w:val="en-US"/>
        </w:rPr>
        <w:t>taking into account</w:t>
      </w:r>
      <w:proofErr w:type="gramEnd"/>
      <w:r>
        <w:rPr>
          <w:lang w:val="en-US"/>
        </w:rPr>
        <w:t xml:space="preserve"> possible heritage constraints, compliance with Austrian standards (ÖNORM), and installation conditions or compatibility with existing systems. More experimental approaches were excluded to maintain plausibility and practical relevance.</w:t>
      </w:r>
    </w:p>
    <w:p w14:paraId="3FD4C136" w14:textId="02BC36A0" w:rsidR="007D7BB8" w:rsidRPr="00C4789A" w:rsidRDefault="00C4789A">
      <w:pPr>
        <w:spacing w:after="120" w:line="276" w:lineRule="auto"/>
        <w:jc w:val="both"/>
        <w:rPr>
          <w:lang w:val="en-US"/>
        </w:rPr>
      </w:pPr>
      <w:r>
        <w:rPr>
          <w:b/>
          <w:bCs/>
          <w:lang w:val="en-US"/>
        </w:rPr>
        <w:t>Low</w:t>
      </w:r>
      <w:r>
        <w:rPr>
          <w:lang w:val="en-US"/>
        </w:rPr>
        <w:t xml:space="preserve"> corresponds to the 2007 façade renovation as implemented. It encompasses external thermal insulation composite system (ETICS) using expanded polystyrene (EPS) insulation with aluminium cladding, achieving a reduction in heating energy demand through thermal </w:t>
      </w:r>
      <w:r>
        <w:rPr>
          <w:lang w:val="en-US"/>
        </w:rPr>
        <w:lastRenderedPageBreak/>
        <w:t>upgrading of the façade. Window replacement, top-floor ceiling insulation, and basement ceiling insulation are excluded. No changes were made to the technical building systems. This scenario represents the minimum intervention depth and forms the baseline for comparison.</w:t>
      </w:r>
    </w:p>
    <w:p w14:paraId="6004FB6D" w14:textId="4D531E69" w:rsidR="007D7BB8" w:rsidRPr="00C4789A" w:rsidRDefault="00C4789A">
      <w:pPr>
        <w:spacing w:after="120" w:line="276" w:lineRule="auto"/>
        <w:jc w:val="both"/>
        <w:rPr>
          <w:lang w:val="en-US"/>
        </w:rPr>
      </w:pPr>
      <w:r>
        <w:rPr>
          <w:b/>
          <w:bCs/>
          <w:lang w:val="en-US"/>
        </w:rPr>
        <w:t>Medium</w:t>
      </w:r>
      <w:r>
        <w:rPr>
          <w:lang w:val="en-US"/>
        </w:rPr>
        <w:t xml:space="preserve"> builds on the Low baseline and extends it through additional envelope measures and supporting system adjustments: increasing external wall insulation from 12 cm to 16 cm; replacing EPS with hemp insulation; timber cladding instead of aluminium; insulating the top-floor ceiling and roof terrace; replacing windows; adding external shading; installing photovoltaic panels on both roofs; introducing decentralised hot water supply; hydraulically balancing the existing district heating system; and enabling night cooling. This scenario achieves a moderate level of intervention and represents a practically feasible upgrade pathway.</w:t>
      </w:r>
    </w:p>
    <w:p w14:paraId="3A2E6807" w14:textId="2A962BA1" w:rsidR="007D7BB8" w:rsidRPr="003268DD" w:rsidRDefault="00C4789A">
      <w:pPr>
        <w:spacing w:after="120" w:line="276" w:lineRule="auto"/>
        <w:jc w:val="both"/>
        <w:rPr>
          <w:lang w:val="en-US"/>
        </w:rPr>
      </w:pPr>
      <w:r>
        <w:rPr>
          <w:b/>
          <w:bCs/>
          <w:lang w:val="en-US"/>
        </w:rPr>
        <w:t>High</w:t>
      </w:r>
      <w:r>
        <w:rPr>
          <w:lang w:val="en-US"/>
        </w:rPr>
        <w:t xml:space="preserve"> represents a deep retrofit with comprehensive thermal upgrading and a fundamental reorganisation of energy supply and distribution. It includes serial timber-frame façade modules with integrated new windows; additional insulation of the basement ceiling; roof and façade photovoltaics; air-source heat pumps for heating and cooling; a district heating connection reduced to a minimum of 20%; and replacement of radiators and retrofitted air-conditioning units with heating and cooling ceilings. Unlike Low and Medium, which retain and gradually extend the existing supply logic, High represents a qualitative shift in the thermal and energy system, corresponding to near-current state-of-the-art renovation practice.</w:t>
      </w:r>
    </w:p>
    <w:p w14:paraId="2159AFCF" w14:textId="24817A3B" w:rsidR="007D7BB8" w:rsidRPr="003268DD" w:rsidRDefault="00334B8E">
      <w:pPr>
        <w:pStyle w:val="berschrift2"/>
        <w:rPr>
          <w:lang w:val="en-US"/>
        </w:rPr>
      </w:pPr>
      <w:r>
        <w:rPr>
          <w:lang w:val="en-US"/>
        </w:rPr>
        <w:t>3.4 Ecological Analysis (Life Cycle Assessment)</w:t>
      </w:r>
    </w:p>
    <w:p w14:paraId="08BA54D2" w14:textId="1C8AB2FF" w:rsidR="007D7BB8" w:rsidRPr="003268DD" w:rsidRDefault="00334B8E">
      <w:pPr>
        <w:spacing w:after="120" w:line="276" w:lineRule="auto"/>
        <w:jc w:val="both"/>
        <w:rPr>
          <w:lang w:val="en-US"/>
        </w:rPr>
      </w:pPr>
      <w:r>
        <w:rPr>
          <w:lang w:val="en-US"/>
        </w:rPr>
        <w:t>The ecological analysis (Aigner, 2025) was conducted using the lifecycle assessment (LCA) framework in accordance with the methodology of the Austrian Institute for Ecological Building (Österreichisches Institut für Bauen und Ökologie, IBO) (IBO, 2023). The LCA covered lifecycle modules A1–A3 (product stage: raw material extraction, transport, and manufacturing), B4 (use stage: replacement), and C1–C4 (end-of-life stage: deconstruction, transport, waste processing, and disposal).</w:t>
      </w:r>
    </w:p>
    <w:p w14:paraId="6F54ADBD" w14:textId="7AEF6FD6" w:rsidR="007D7BB8" w:rsidRPr="003268DD" w:rsidRDefault="00A71067">
      <w:pPr>
        <w:spacing w:after="120" w:line="276" w:lineRule="auto"/>
        <w:jc w:val="both"/>
        <w:rPr>
          <w:lang w:val="en-US"/>
        </w:rPr>
      </w:pPr>
      <w:r>
        <w:rPr>
          <w:lang w:val="en-US"/>
        </w:rPr>
        <w:t>As the main environmental indicator Global Warming Potential (GWP) as the CO2 equivalent was chosen;  wereby the embodied GWP (GWP</w:t>
      </w:r>
      <w:r>
        <w:rPr>
          <w:vertAlign w:val="subscript"/>
          <w:lang w:val="en-US"/>
        </w:rPr>
        <w:t>embodied</w:t>
      </w:r>
      <w:r>
        <w:rPr>
          <w:lang w:val="en-US"/>
        </w:rPr>
        <w:t>= production and end-of-life phases), operational GWP (GWP</w:t>
      </w:r>
      <w:r>
        <w:rPr>
          <w:vertAlign w:val="subscript"/>
          <w:lang w:val="en-US"/>
        </w:rPr>
        <w:t>operational</w:t>
      </w:r>
      <w:r>
        <w:rPr>
          <w:lang w:val="en-US"/>
        </w:rPr>
        <w:t>, energy consumption during use phase), and total GWP (GWP</w:t>
      </w:r>
      <w:r>
        <w:rPr>
          <w:vertAlign w:val="subscript"/>
          <w:lang w:val="en-US"/>
        </w:rPr>
        <w:t>total</w:t>
      </w:r>
      <w:r>
        <w:rPr>
          <w:lang w:val="en-US"/>
        </w:rPr>
        <w:t xml:space="preserve"> = GWP</w:t>
      </w:r>
      <w:r>
        <w:rPr>
          <w:vertAlign w:val="subscript"/>
          <w:lang w:val="en-US"/>
        </w:rPr>
        <w:t>embodied</w:t>
      </w:r>
      <w:r>
        <w:rPr>
          <w:lang w:val="en-US"/>
        </w:rPr>
        <w:t xml:space="preserve"> +GWP</w:t>
      </w:r>
      <w:r>
        <w:rPr>
          <w:vertAlign w:val="subscript"/>
          <w:lang w:val="en-US"/>
        </w:rPr>
        <w:t>operational</w:t>
      </w:r>
      <w:r>
        <w:rPr>
          <w:lang w:val="en-US"/>
        </w:rPr>
        <w:t>)</w:t>
      </w:r>
      <w:r>
        <w:rPr>
          <w:vertAlign w:val="subscript"/>
          <w:lang w:val="en-US"/>
        </w:rPr>
        <w:t>.</w:t>
      </w:r>
      <w:r>
        <w:rPr>
          <w:lang w:val="en-US"/>
        </w:rPr>
        <w:t xml:space="preserve"> Results are expressed in </w:t>
      </w:r>
      <w:proofErr w:type="spellStart"/>
      <w:r>
        <w:rPr>
          <w:lang w:val="en-US"/>
        </w:rPr>
        <w:t>kgCO₂e</w:t>
      </w:r>
      <w:proofErr w:type="spellEnd"/>
      <w:r>
        <w:rPr>
          <w:lang w:val="en-US"/>
        </w:rPr>
        <w:t>/m²</w:t>
      </w:r>
      <w:r w:rsidR="001C65EF">
        <w:rPr>
          <w:lang w:val="en-US"/>
        </w:rPr>
        <w:t>GFA</w:t>
      </w:r>
      <w:r>
        <w:rPr>
          <w:lang w:val="en-US"/>
        </w:rPr>
        <w:t xml:space="preserve">a </w:t>
      </w:r>
      <w:r w:rsidR="001C65EF">
        <w:rPr>
          <w:lang w:val="en-US"/>
        </w:rPr>
        <w:t xml:space="preserve">(GFA- gross floor area) </w:t>
      </w:r>
      <w:r>
        <w:rPr>
          <w:lang w:val="en-US"/>
        </w:rPr>
        <w:t>unless otherwise stated. Operational energy performance was determined through scenario-specific energy certification based on the BIM models using ArchiPHYSIK tool in accordance with OIB Guideline 6 (Archiphysik, 2026; IBO, 2023). Break-even point analysis identified the timeframe at which the embodied ecological investment in renovation measures is recovered through operational savings.</w:t>
      </w:r>
    </w:p>
    <w:p w14:paraId="1E9A275E" w14:textId="77777777" w:rsidR="007D7BB8" w:rsidRPr="003268DD" w:rsidRDefault="00334B8E">
      <w:pPr>
        <w:pStyle w:val="berschrift2"/>
        <w:rPr>
          <w:lang w:val="en-US"/>
        </w:rPr>
      </w:pPr>
      <w:r>
        <w:rPr>
          <w:lang w:val="en-US"/>
        </w:rPr>
        <w:t>3.5 Economic Analysis (Life Cycle Costing)</w:t>
      </w:r>
    </w:p>
    <w:p w14:paraId="1AE516CB" w14:textId="77777777" w:rsidR="007D7BB8" w:rsidRPr="003268DD" w:rsidRDefault="00334B8E">
      <w:pPr>
        <w:spacing w:after="120" w:line="276" w:lineRule="auto"/>
        <w:jc w:val="both"/>
        <w:rPr>
          <w:lang w:val="en-US"/>
        </w:rPr>
      </w:pPr>
      <w:r>
        <w:rPr>
          <w:lang w:val="en-US"/>
        </w:rPr>
        <w:t xml:space="preserve">The LCC analysis (Dilber, 2026) applies the net present value (NPV) method in accordance with ÖNORM B 1801-4, with a reference period of 50 years and a reference year of 2007, corresponding to the year of the Low scenario's implementation. The four primary cost components are: (1) initial construction/renovation costs, calculated in accordance with ÖNORM B 1801-1 using a layer-oriented cost allocation by building component structured through cost groups 2 (load-bearing construction) and 4 (interior construction, excluding </w:t>
      </w:r>
      <w:r>
        <w:rPr>
          <w:lang w:val="en-US"/>
        </w:rPr>
        <w:lastRenderedPageBreak/>
        <w:t>HVAC); (2) operational and energy costs, derived from energy performance certificates and projected using documented energy price increase rates; (3) maintenance and repair costs; and (4) replacement costs based on standardised service life cycles for each component layer.</w:t>
      </w:r>
    </w:p>
    <w:p w14:paraId="61A834D3" w14:textId="27541285" w:rsidR="007D7BB8" w:rsidRPr="003268DD" w:rsidRDefault="00334B8E">
      <w:pPr>
        <w:spacing w:after="120" w:line="276" w:lineRule="auto"/>
        <w:jc w:val="both"/>
        <w:rPr>
          <w:lang w:val="en-US"/>
        </w:rPr>
      </w:pPr>
      <w:r>
        <w:rPr>
          <w:lang w:val="en-US"/>
        </w:rPr>
        <w:t>Cost benchmarks were sourced from the German construction cost index (Baukostenindex, BKI) and adjusted for the Vienna construction market using Statistik Austria data (Statistik Austria, 2026). All costs are expressed in reference-year euros (2007). Sensitivity analyses were conducted for three discount rates : 2%, 4%, and 5.5%, selected to reflect the prevailing interest-rate environment, with particular reference to Euro Interbank Offered Rate (Euribor, 2026) and European Central Bank levels (ECB, 2026). Reference service lives and replacement cycle assumptions were drawn from the ÖGNI certification system (ÖGNI, 202</w:t>
      </w:r>
      <w:r w:rsidR="00AF5FF1">
        <w:rPr>
          <w:lang w:val="en-US"/>
        </w:rPr>
        <w:t>6</w:t>
      </w:r>
      <w:r>
        <w:rPr>
          <w:lang w:val="en-US"/>
        </w:rPr>
        <w:t>). Differentiated energy price increases and component-specific service lives were taken into account; cleaning and demolition costs were excluded. The LCC results were subsequently integrated with the LCA findings to enable an eco-economic comparison of the retrofit scenarios.</w:t>
      </w:r>
    </w:p>
    <w:p w14:paraId="0CFF5CA5" w14:textId="77777777" w:rsidR="007D7BB8" w:rsidRPr="003268DD" w:rsidRDefault="00334B8E">
      <w:pPr>
        <w:pStyle w:val="berschrift2"/>
        <w:rPr>
          <w:lang w:val="en-US"/>
        </w:rPr>
      </w:pPr>
      <w:r>
        <w:rPr>
          <w:lang w:val="en-US"/>
        </w:rPr>
        <w:t>3.6 Expert Interviews</w:t>
      </w:r>
    </w:p>
    <w:p w14:paraId="3B91DF30" w14:textId="77777777" w:rsidR="007D7BB8" w:rsidRPr="003268DD" w:rsidRDefault="00334B8E">
      <w:pPr>
        <w:spacing w:after="120" w:line="276" w:lineRule="auto"/>
        <w:jc w:val="both"/>
        <w:rPr>
          <w:lang w:val="en-US"/>
        </w:rPr>
      </w:pPr>
      <w:r>
        <w:rPr>
          <w:lang w:val="en-US"/>
        </w:rPr>
        <w:t>Three expert interviews were conducted as part of the qualitative component of the study. The interviews were semi-structured, lasting approximately 60–90 minutes, and were recorded and transcribed. The interviewees were selected to represent distinct professional perspectives on the renovation process.</w:t>
      </w:r>
    </w:p>
    <w:p w14:paraId="662C0595" w14:textId="77777777" w:rsidR="007D7BB8" w:rsidRPr="003268DD" w:rsidRDefault="00334B8E">
      <w:pPr>
        <w:spacing w:after="120" w:line="276" w:lineRule="auto"/>
        <w:jc w:val="both"/>
        <w:rPr>
          <w:lang w:val="en-US"/>
        </w:rPr>
      </w:pPr>
      <w:r>
        <w:rPr>
          <w:lang w:val="en-US"/>
        </w:rPr>
        <w:t>Expert A, with more than 40 years of experience, is a building physicist and renovation specialist with extensive practical experience in residential retrofitting projects, particularly in the Viennese cooperative housing sector. The interview addressed technical approaches, implementation barriers, governance structures, and user-centred considerations in renovation practice.</w:t>
      </w:r>
    </w:p>
    <w:p w14:paraId="41DF1A78" w14:textId="77777777" w:rsidR="007D7BB8" w:rsidRPr="003268DD" w:rsidRDefault="00334B8E">
      <w:pPr>
        <w:spacing w:after="120" w:line="276" w:lineRule="auto"/>
        <w:jc w:val="both"/>
        <w:rPr>
          <w:lang w:val="en-US"/>
        </w:rPr>
      </w:pPr>
      <w:r>
        <w:rPr>
          <w:lang w:val="en-US"/>
        </w:rPr>
        <w:t>Expert B, with 15 years of experience, is a facility and energy management executive at a large public real estate holding. The discussion provided comparative perspectives on technical system lifespans, phased renovation strategies, and institutional procurement barriers.</w:t>
      </w:r>
    </w:p>
    <w:p w14:paraId="2707324E" w14:textId="73A4F253" w:rsidR="007D7BB8" w:rsidRPr="003268DD" w:rsidRDefault="00334B8E">
      <w:pPr>
        <w:spacing w:after="120" w:line="276" w:lineRule="auto"/>
        <w:jc w:val="both"/>
        <w:rPr>
          <w:lang w:val="en-US"/>
        </w:rPr>
      </w:pPr>
      <w:r>
        <w:rPr>
          <w:lang w:val="en-US"/>
        </w:rPr>
        <w:t>Expert C, with more than 30 years of experience, represents the perspective of a major private real estate investor with a portfolio of approximately 300 properties totaling 1.3 million m² of rentable space. The interview addressed investment logic, return considerations, regulatory constraints (rent control, heritage protection), and the conditions under which renovation investments are economically viable from an investor's perspective.</w:t>
      </w:r>
    </w:p>
    <w:p w14:paraId="5788F0DC" w14:textId="1CD3C24B" w:rsidR="007D7BB8" w:rsidRPr="003268DD" w:rsidRDefault="00334B8E" w:rsidP="00C4789A">
      <w:pPr>
        <w:spacing w:after="120" w:line="276" w:lineRule="auto"/>
        <w:jc w:val="both"/>
        <w:rPr>
          <w:lang w:val="en-US"/>
        </w:rPr>
      </w:pPr>
      <w:r>
        <w:rPr>
          <w:lang w:val="en-US"/>
        </w:rPr>
        <w:t>Interview data were analysed thematically, with key themes identified deductively from the research framework and inductively from the interview content. The analysis focused on barriers and enablers of renovation across technical, economic, and socio-technical dimensions.</w:t>
      </w:r>
    </w:p>
    <w:p w14:paraId="3B8CFF97" w14:textId="77777777" w:rsidR="007D7BB8" w:rsidRDefault="00334B8E">
      <w:pPr>
        <w:pStyle w:val="berschrift1"/>
        <w:rPr>
          <w:lang w:val="en-US"/>
        </w:rPr>
      </w:pPr>
      <w:r>
        <w:rPr>
          <w:lang w:val="en-US"/>
        </w:rPr>
        <w:t>4. ECOLOGICAL ASSESSMENT</w:t>
      </w:r>
    </w:p>
    <w:p w14:paraId="79B482BA" w14:textId="77777777" w:rsidR="00972168" w:rsidRPr="003268DD" w:rsidRDefault="00972168" w:rsidP="00972168">
      <w:pPr>
        <w:pStyle w:val="berschrift2"/>
        <w:rPr>
          <w:lang w:val="en-US"/>
        </w:rPr>
      </w:pPr>
      <w:r>
        <w:rPr>
          <w:lang w:val="en-US"/>
        </w:rPr>
        <w:t>4.1 Material Composition and Building Material Passport</w:t>
      </w:r>
    </w:p>
    <w:p w14:paraId="0E988E25" w14:textId="5BF9E645" w:rsidR="00972168" w:rsidRDefault="00972168" w:rsidP="00972168">
      <w:pPr>
        <w:rPr>
          <w:b/>
          <w:bCs/>
          <w:lang w:val="en-US"/>
        </w:rPr>
      </w:pPr>
      <w:r>
        <w:rPr>
          <w:lang w:val="en-US"/>
        </w:rPr>
        <w:lastRenderedPageBreak/>
        <w:t xml:space="preserve">A material building passport was developed for each scenario. Material input increases with intervention depth, from ETICS facade insulation (Low), through PV and partial heating system replacement (Medium), to full MEP infrastructure replacement and comprehensive envelope insulation (High), illustrating the fundamental tension between embodied material impacts and operational savings. </w:t>
      </w:r>
    </w:p>
    <w:p w14:paraId="1BCFCE33" w14:textId="46859B03" w:rsidR="007D7BB8" w:rsidRPr="003268DD" w:rsidRDefault="00334B8E">
      <w:pPr>
        <w:pStyle w:val="berschrift2"/>
        <w:rPr>
          <w:lang w:val="en-US"/>
        </w:rPr>
      </w:pPr>
      <w:r>
        <w:rPr>
          <w:lang w:val="en-US"/>
        </w:rPr>
        <w:t>4.2 LCA and Eco-efficiency</w:t>
      </w:r>
    </w:p>
    <w:p w14:paraId="0E263640" w14:textId="74927885" w:rsidR="007D7BB8" w:rsidRPr="003268DD" w:rsidRDefault="00334B8E">
      <w:pPr>
        <w:spacing w:after="120" w:line="276" w:lineRule="auto"/>
        <w:jc w:val="both"/>
        <w:rPr>
          <w:lang w:val="en-US"/>
        </w:rPr>
      </w:pPr>
      <w:r>
        <w:rPr>
          <w:lang w:val="en-US"/>
        </w:rPr>
        <w:t>The lifecycle analysis reveals marked differences between scenarios in both embodied (grey energy) and operational (red energy) carbon components. The existing building has high operational GWP driven by fossil fuel-based district heating and an uninsulated envelope (see Fig. 2). The Low scenario achieves a modest reduction in operational energy demand through improved envelope performance but does not substantially alter the energy system. The Medium and High scenarios achieve progressively greater reductions in operational GWP by replacing a greater proportion of fossil-sourced energy with renewables, at the cost of higher embodied GWP from additional materials and system components (see Fig. 1).</w:t>
      </w:r>
    </w:p>
    <w:p w14:paraId="6AFBDFCF" w14:textId="77777777" w:rsidR="007D7BB8" w:rsidRPr="003268DD" w:rsidRDefault="00334B8E">
      <w:pPr>
        <w:spacing w:after="120" w:line="276" w:lineRule="auto"/>
        <w:jc w:val="both"/>
        <w:rPr>
          <w:lang w:val="en-US"/>
        </w:rPr>
      </w:pPr>
      <w:r>
        <w:rPr>
          <w:lang w:val="en-US"/>
        </w:rPr>
        <w:t>Break-even point analysis demonstrates that the ecological investment in renovation measures is recovered within approximately 10–18 years, depending on scenario and ecological indicator. The High scenario, requiring the greatest initial embodied investment, achieves the fastest GWP payback due to superior operational performance. However, the break-even period is sensitive to assumptions about grid electricity carbon intensity and future district heating decarbonisation trajectories.</w:t>
      </w:r>
    </w:p>
    <w:p w14:paraId="5BC5E8A1" w14:textId="418C3A93" w:rsidR="007D7BB8" w:rsidRPr="003268DD" w:rsidRDefault="00334B8E">
      <w:pPr>
        <w:spacing w:after="120" w:line="276" w:lineRule="auto"/>
        <w:jc w:val="both"/>
        <w:rPr>
          <w:lang w:val="en-US"/>
        </w:rPr>
      </w:pPr>
      <w:r>
        <w:rPr>
          <w:lang w:val="en-US"/>
        </w:rPr>
        <w:t>A noteworthy finding is that the High scenario does not clearly outperform the Medium scenario across the main environmental indicators. Instead, the Medium scenario records the lowest total GWP</w:t>
      </w:r>
      <w:r>
        <w:rPr>
          <w:vertAlign w:val="subscript"/>
          <w:lang w:val="en-US"/>
        </w:rPr>
        <w:t>total</w:t>
      </w:r>
      <w:r>
        <w:rPr>
          <w:lang w:val="en-US"/>
        </w:rPr>
        <w:t xml:space="preserve"> at 12.2 kgCO₂/m²a, compared with 13.8 kgCO₂/m²a for the High scenario (see Fig. 3). Although the High scenario performs better in terms of Heating Demand and Final Energy Demand, the shift from district heating to an electricity-based supply system leads to slightly higher GWP</w:t>
      </w:r>
      <w:r>
        <w:rPr>
          <w:vertAlign w:val="subscript"/>
          <w:lang w:val="en-US"/>
        </w:rPr>
        <w:t>operational</w:t>
      </w:r>
      <w:r>
        <w:rPr>
          <w:lang w:val="en-US"/>
        </w:rPr>
        <w:t xml:space="preserve"> under the assumed energy mix (see Fig. 4). This demonstrates a critical principle: lower energy consumption does not automatically yield a better GWP balance. The carbon intensity of the underlying energy system remains a decisive factor.</w:t>
      </w:r>
    </w:p>
    <w:p w14:paraId="6F834C2A" w14:textId="7230F30D" w:rsidR="00972168" w:rsidRDefault="00334B8E">
      <w:pPr>
        <w:spacing w:after="120" w:line="276" w:lineRule="auto"/>
        <w:jc w:val="both"/>
        <w:rPr>
          <w:lang w:val="en-US"/>
        </w:rPr>
      </w:pPr>
      <w:r>
        <w:rPr>
          <w:lang w:val="en-US"/>
        </w:rPr>
        <w:t xml:space="preserve">The LCA results are corroborated across the range of ecological parameters considered. Absolute differences between Medium and High narrow when the full lifecycle </w:t>
      </w:r>
      <w:r w:rsidR="00235A97">
        <w:rPr>
          <w:lang w:val="en-US"/>
        </w:rPr>
        <w:t>(</w:t>
      </w:r>
      <w:r>
        <w:rPr>
          <w:lang w:val="en-US"/>
        </w:rPr>
        <w:t>including end-of-life</w:t>
      </w:r>
      <w:r w:rsidR="00235A97">
        <w:rPr>
          <w:lang w:val="en-US"/>
        </w:rPr>
        <w:t>)</w:t>
      </w:r>
      <w:r>
        <w:rPr>
          <w:lang w:val="en-US"/>
        </w:rPr>
        <w:t xml:space="preserve"> is assessed and embodied impacts are appropriately weighted. Circularity-related indicators vary only marginally between scenarios and do not affect the overall ranking (see Fig 5). Under the given system conditions, the </w:t>
      </w:r>
      <w:proofErr w:type="gramStart"/>
      <w:r>
        <w:rPr>
          <w:lang w:val="en-US"/>
        </w:rPr>
        <w:t>Medium</w:t>
      </w:r>
      <w:proofErr w:type="gramEnd"/>
      <w:r>
        <w:rPr>
          <w:lang w:val="en-US"/>
        </w:rPr>
        <w:t xml:space="preserve"> depth of intervention provides the most </w:t>
      </w:r>
      <w:proofErr w:type="spellStart"/>
      <w:r>
        <w:rPr>
          <w:lang w:val="en-US"/>
        </w:rPr>
        <w:t>favourable</w:t>
      </w:r>
      <w:proofErr w:type="spellEnd"/>
      <w:r>
        <w:rPr>
          <w:lang w:val="en-US"/>
        </w:rPr>
        <w:t xml:space="preserve"> long-term environmental balance.</w:t>
      </w:r>
    </w:p>
    <w:p w14:paraId="3B665003" w14:textId="77777777" w:rsidR="00F853F4" w:rsidRDefault="00F853F4">
      <w:pPr>
        <w:spacing w:after="120" w:line="276" w:lineRule="auto"/>
        <w:jc w:val="both"/>
        <w:rPr>
          <w:lang w:val="en-US"/>
        </w:rPr>
      </w:pPr>
    </w:p>
    <w:p w14:paraId="42678284" w14:textId="77777777" w:rsidR="00F853F4" w:rsidRDefault="00F853F4">
      <w:pPr>
        <w:spacing w:after="120" w:line="276" w:lineRule="auto"/>
        <w:jc w:val="both"/>
        <w:rPr>
          <w:lang w:val="en-US"/>
        </w:rPr>
      </w:pPr>
    </w:p>
    <w:p w14:paraId="599B12E2" w14:textId="77777777" w:rsidR="00F853F4" w:rsidRDefault="00F853F4">
      <w:pPr>
        <w:spacing w:after="120" w:line="276" w:lineRule="auto"/>
        <w:jc w:val="both"/>
        <w:rPr>
          <w:lang w:val="en-US"/>
        </w:rPr>
      </w:pPr>
    </w:p>
    <w:p w14:paraId="316F746E" w14:textId="77777777" w:rsidR="00F853F4" w:rsidRDefault="00F853F4">
      <w:pPr>
        <w:spacing w:after="120" w:line="276" w:lineRule="auto"/>
        <w:jc w:val="both"/>
        <w:rPr>
          <w:lang w:val="en-US"/>
        </w:rPr>
      </w:pPr>
    </w:p>
    <w:p w14:paraId="2FC413FB" w14:textId="77777777" w:rsidR="00F853F4" w:rsidRPr="003268DD" w:rsidRDefault="00F853F4">
      <w:pPr>
        <w:spacing w:after="120" w:line="276" w:lineRule="auto"/>
        <w:jc w:val="both"/>
        <w:rPr>
          <w:lang w:val="en-US"/>
        </w:rPr>
      </w:pPr>
    </w:p>
    <w:p w14:paraId="3C977875" w14:textId="52A7D299" w:rsidR="006D5309" w:rsidRPr="003268DD" w:rsidRDefault="006D5309">
      <w:pPr>
        <w:rPr>
          <w:lang w:val="en-US"/>
        </w:rPr>
      </w:pPr>
    </w:p>
    <w:p w14:paraId="237AC604" w14:textId="19135CFD" w:rsidR="006D5309" w:rsidRDefault="00C4789A" w:rsidP="006D5309">
      <w:pPr>
        <w:rPr>
          <w:lang w:val="en-US"/>
        </w:rPr>
      </w:pPr>
      <w:r>
        <w:rPr>
          <w:noProof/>
          <w:sz w:val="20"/>
          <w:szCs w:val="20"/>
          <w14:ligatures w14:val="standardContextual"/>
        </w:rPr>
        <w:lastRenderedPageBreak/>
        <w:drawing>
          <wp:anchor distT="0" distB="0" distL="114300" distR="114300" simplePos="0" relativeHeight="251664384" behindDoc="1" locked="0" layoutInCell="1" allowOverlap="1" wp14:anchorId="0FFE9313" wp14:editId="658C01F4">
            <wp:simplePos x="0" y="0"/>
            <wp:positionH relativeFrom="column">
              <wp:posOffset>4172585</wp:posOffset>
            </wp:positionH>
            <wp:positionV relativeFrom="paragraph">
              <wp:posOffset>68580</wp:posOffset>
            </wp:positionV>
            <wp:extent cx="1924050" cy="2480807"/>
            <wp:effectExtent l="0" t="0" r="0" b="0"/>
            <wp:wrapNone/>
            <wp:docPr id="1678206768" name="Diagramm 1">
              <a:extLst xmlns:a="http://schemas.openxmlformats.org/drawingml/2006/main">
                <a:ext uri="{FF2B5EF4-FFF2-40B4-BE49-F238E27FC236}">
                  <a16:creationId xmlns:a16="http://schemas.microsoft.com/office/drawing/2014/main" id="{0D958AEA-4B09-444B-8B58-DA678F7CAE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margin">
              <wp14:pctWidth>0</wp14:pctWidth>
            </wp14:sizeRelH>
            <wp14:sizeRelV relativeFrom="margin">
              <wp14:pctHeight>0</wp14:pctHeight>
            </wp14:sizeRelV>
          </wp:anchor>
        </w:drawing>
      </w:r>
      <w:r>
        <w:rPr>
          <w:noProof/>
          <w:sz w:val="20"/>
          <w:szCs w:val="20"/>
          <w14:ligatures w14:val="standardContextual"/>
        </w:rPr>
        <w:drawing>
          <wp:anchor distT="0" distB="0" distL="114300" distR="114300" simplePos="0" relativeHeight="251663360" behindDoc="1" locked="0" layoutInCell="1" allowOverlap="1" wp14:anchorId="6B81B276" wp14:editId="192832FF">
            <wp:simplePos x="0" y="0"/>
            <wp:positionH relativeFrom="column">
              <wp:posOffset>2119630</wp:posOffset>
            </wp:positionH>
            <wp:positionV relativeFrom="paragraph">
              <wp:posOffset>78740</wp:posOffset>
            </wp:positionV>
            <wp:extent cx="2031365" cy="2480807"/>
            <wp:effectExtent l="0" t="0" r="635" b="0"/>
            <wp:wrapNone/>
            <wp:docPr id="749653973" name="Diagramm 1">
              <a:extLst xmlns:a="http://schemas.openxmlformats.org/drawingml/2006/main">
                <a:ext uri="{FF2B5EF4-FFF2-40B4-BE49-F238E27FC236}">
                  <a16:creationId xmlns:a16="http://schemas.microsoft.com/office/drawing/2014/main" id="{A9BB9646-62B7-4FFD-A203-77CBDD0741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r>
        <w:rPr>
          <w:noProof/>
          <w14:ligatures w14:val="standardContextual"/>
        </w:rPr>
        <w:drawing>
          <wp:anchor distT="0" distB="0" distL="114300" distR="114300" simplePos="0" relativeHeight="251661312" behindDoc="1" locked="0" layoutInCell="1" allowOverlap="1" wp14:anchorId="00737810" wp14:editId="7A18757A">
            <wp:simplePos x="0" y="0"/>
            <wp:positionH relativeFrom="margin">
              <wp:align>left</wp:align>
            </wp:positionH>
            <wp:positionV relativeFrom="paragraph">
              <wp:posOffset>33020</wp:posOffset>
            </wp:positionV>
            <wp:extent cx="2090420" cy="2477135"/>
            <wp:effectExtent l="0" t="0" r="5080" b="0"/>
            <wp:wrapNone/>
            <wp:docPr id="419972087" name="Diagramm 1">
              <a:extLst xmlns:a="http://schemas.openxmlformats.org/drawingml/2006/main">
                <a:ext uri="{FF2B5EF4-FFF2-40B4-BE49-F238E27FC236}">
                  <a16:creationId xmlns:a16="http://schemas.microsoft.com/office/drawing/2014/main" id="{7C5CFFBD-F219-489F-B4EA-86DBBD9144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380B47D1" w14:textId="16E9C773" w:rsidR="006D5309" w:rsidRPr="00FD5E47" w:rsidRDefault="006D5309" w:rsidP="006D5309">
      <w:pPr>
        <w:rPr>
          <w:lang w:val="en-US"/>
        </w:rPr>
      </w:pPr>
    </w:p>
    <w:p w14:paraId="23CEF7E4" w14:textId="079C0838" w:rsidR="006D5309" w:rsidRPr="00FD5E47" w:rsidRDefault="006D5309" w:rsidP="006D5309">
      <w:pPr>
        <w:rPr>
          <w:lang w:val="en-US"/>
        </w:rPr>
      </w:pPr>
    </w:p>
    <w:p w14:paraId="5608ACEF" w14:textId="4D6D8640" w:rsidR="006D5309" w:rsidRPr="00FD5E47" w:rsidRDefault="006D5309" w:rsidP="006D5309">
      <w:pPr>
        <w:rPr>
          <w:lang w:val="en-US"/>
        </w:rPr>
      </w:pPr>
    </w:p>
    <w:p w14:paraId="25DF3520" w14:textId="4B7C9553" w:rsidR="006D5309" w:rsidRPr="00FD5E47" w:rsidRDefault="006D5309" w:rsidP="006D5309">
      <w:pPr>
        <w:rPr>
          <w:lang w:val="en-US"/>
        </w:rPr>
      </w:pPr>
    </w:p>
    <w:p w14:paraId="7F05E077" w14:textId="128A0CE3" w:rsidR="006D5309" w:rsidRDefault="006D5309" w:rsidP="006D5309">
      <w:pPr>
        <w:rPr>
          <w:lang w:val="en-US"/>
        </w:rPr>
      </w:pPr>
    </w:p>
    <w:p w14:paraId="1F813F40" w14:textId="4034DD17" w:rsidR="006D5309" w:rsidRPr="00FD5E47" w:rsidRDefault="006D5309" w:rsidP="006D5309">
      <w:pPr>
        <w:rPr>
          <w:lang w:val="en-US"/>
        </w:rPr>
      </w:pPr>
    </w:p>
    <w:p w14:paraId="3C64440E" w14:textId="31169450" w:rsidR="006D5309" w:rsidRDefault="006D5309" w:rsidP="006D5309">
      <w:pPr>
        <w:rPr>
          <w:lang w:val="en-US"/>
        </w:rPr>
      </w:pPr>
    </w:p>
    <w:p w14:paraId="6D93A3B3" w14:textId="3EE2BDA8" w:rsidR="006D5309" w:rsidRDefault="006D5309" w:rsidP="006D5309">
      <w:pPr>
        <w:rPr>
          <w:lang w:val="en-US"/>
        </w:rPr>
      </w:pPr>
    </w:p>
    <w:p w14:paraId="53FC0954" w14:textId="17F0B456" w:rsidR="006D5309" w:rsidRPr="00FD5E47" w:rsidRDefault="006D5309" w:rsidP="006D5309">
      <w:pPr>
        <w:rPr>
          <w:lang w:val="en-US"/>
        </w:rPr>
      </w:pPr>
    </w:p>
    <w:p w14:paraId="06FECCBC" w14:textId="48DE1EE5" w:rsidR="006D5309" w:rsidRPr="00FD5E47" w:rsidRDefault="006D5309" w:rsidP="006D5309">
      <w:pPr>
        <w:tabs>
          <w:tab w:val="left" w:pos="1253"/>
        </w:tabs>
        <w:rPr>
          <w:sz w:val="20"/>
          <w:szCs w:val="20"/>
          <w:lang w:val="en-US"/>
        </w:rPr>
      </w:pPr>
      <w:r>
        <w:rPr>
          <w:sz w:val="20"/>
          <w:szCs w:val="20"/>
          <w:lang w:val="en-US"/>
        </w:rPr>
        <w:tab/>
      </w:r>
    </w:p>
    <w:p w14:paraId="78010D61" w14:textId="5B20816C" w:rsidR="006D5309" w:rsidRPr="00FD5E47" w:rsidRDefault="006D5309" w:rsidP="006D5309">
      <w:pPr>
        <w:rPr>
          <w:sz w:val="20"/>
          <w:szCs w:val="20"/>
          <w:lang w:val="en-US"/>
        </w:rPr>
      </w:pPr>
    </w:p>
    <w:p w14:paraId="5B6B2E35" w14:textId="3ED3A024" w:rsidR="006D5309" w:rsidRPr="00FD5E47" w:rsidRDefault="006D5309" w:rsidP="006D5309">
      <w:pPr>
        <w:rPr>
          <w:sz w:val="20"/>
          <w:szCs w:val="20"/>
          <w:lang w:val="en-US"/>
        </w:rPr>
      </w:pPr>
    </w:p>
    <w:p w14:paraId="39D89DB7" w14:textId="4E9A4FCC" w:rsidR="006D5309" w:rsidRPr="00FD5E47" w:rsidRDefault="006D5309" w:rsidP="006D5309">
      <w:pPr>
        <w:rPr>
          <w:sz w:val="20"/>
          <w:szCs w:val="20"/>
          <w:lang w:val="en-US"/>
        </w:rPr>
      </w:pPr>
    </w:p>
    <w:p w14:paraId="462755FD" w14:textId="3AE58154" w:rsidR="006D5309" w:rsidRPr="00FD5E47" w:rsidRDefault="006D5309" w:rsidP="006D5309">
      <w:pPr>
        <w:rPr>
          <w:sz w:val="20"/>
          <w:szCs w:val="20"/>
          <w:lang w:val="en-US"/>
        </w:rPr>
      </w:pPr>
    </w:p>
    <w:p w14:paraId="6E1AA2F3" w14:textId="108F9F3A" w:rsidR="006D5309" w:rsidRPr="00FD5E47" w:rsidRDefault="006D5309" w:rsidP="006D5309">
      <w:pPr>
        <w:rPr>
          <w:sz w:val="20"/>
          <w:szCs w:val="20"/>
          <w:lang w:val="en-US"/>
        </w:rPr>
      </w:pPr>
    </w:p>
    <w:p w14:paraId="0EEA2E87" w14:textId="277228DF" w:rsidR="006D5309" w:rsidRDefault="006D5309" w:rsidP="006D5309">
      <w:pPr>
        <w:rPr>
          <w:sz w:val="20"/>
          <w:szCs w:val="20"/>
          <w:lang w:val="en-US"/>
        </w:rPr>
      </w:pPr>
    </w:p>
    <w:p w14:paraId="4907BA3F" w14:textId="62B435CC" w:rsidR="006D5309" w:rsidRDefault="006D5309" w:rsidP="006D5309">
      <w:pPr>
        <w:rPr>
          <w:sz w:val="20"/>
          <w:szCs w:val="20"/>
          <w:lang w:val="en-US"/>
        </w:rPr>
      </w:pPr>
    </w:p>
    <w:p w14:paraId="4880EE7C" w14:textId="52199B51" w:rsidR="006D5309" w:rsidRDefault="00C4789A" w:rsidP="006D5309">
      <w:pPr>
        <w:rPr>
          <w:sz w:val="20"/>
          <w:szCs w:val="20"/>
          <w:lang w:val="en-US"/>
        </w:rPr>
      </w:pPr>
      <w:r>
        <w:rPr>
          <w:noProof/>
          <w:sz w:val="20"/>
          <w:szCs w:val="20"/>
          <w14:ligatures w14:val="standardContextual"/>
        </w:rPr>
        <w:drawing>
          <wp:anchor distT="0" distB="0" distL="114300" distR="114300" simplePos="0" relativeHeight="251665408" behindDoc="1" locked="0" layoutInCell="1" allowOverlap="1" wp14:anchorId="623777AB" wp14:editId="3B6852C6">
            <wp:simplePos x="0" y="0"/>
            <wp:positionH relativeFrom="margin">
              <wp:align>left</wp:align>
            </wp:positionH>
            <wp:positionV relativeFrom="paragraph">
              <wp:posOffset>15875</wp:posOffset>
            </wp:positionV>
            <wp:extent cx="2969260" cy="3409950"/>
            <wp:effectExtent l="0" t="0" r="2540" b="0"/>
            <wp:wrapNone/>
            <wp:docPr id="1048850625" name="Diagramm 1">
              <a:extLst xmlns:a="http://schemas.openxmlformats.org/drawingml/2006/main">
                <a:ext uri="{FF2B5EF4-FFF2-40B4-BE49-F238E27FC236}">
                  <a16:creationId xmlns:a16="http://schemas.microsoft.com/office/drawing/2014/main" id="{F57478CE-54F5-44D8-9236-C47D397263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Pr>
          <w:noProof/>
          <w:sz w:val="20"/>
          <w:szCs w:val="20"/>
          <w14:ligatures w14:val="standardContextual"/>
        </w:rPr>
        <w:drawing>
          <wp:anchor distT="0" distB="0" distL="114300" distR="114300" simplePos="0" relativeHeight="251659264" behindDoc="1" locked="0" layoutInCell="1" allowOverlap="1" wp14:anchorId="0CF57494" wp14:editId="09D171A0">
            <wp:simplePos x="0" y="0"/>
            <wp:positionH relativeFrom="margin">
              <wp:posOffset>3257550</wp:posOffset>
            </wp:positionH>
            <wp:positionV relativeFrom="paragraph">
              <wp:posOffset>13335</wp:posOffset>
            </wp:positionV>
            <wp:extent cx="2676525" cy="3449404"/>
            <wp:effectExtent l="0" t="0" r="0" b="0"/>
            <wp:wrapNone/>
            <wp:docPr id="254494977" name="Diagramm 1">
              <a:extLst xmlns:a="http://schemas.openxmlformats.org/drawingml/2006/main">
                <a:ext uri="{FF2B5EF4-FFF2-40B4-BE49-F238E27FC236}">
                  <a16:creationId xmlns:a16="http://schemas.microsoft.com/office/drawing/2014/main" id="{346505B1-0F3E-4DD6-91FB-83FC622D54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1549DE98" w14:textId="649D8AFC" w:rsidR="006D5309" w:rsidRPr="00FD5E47" w:rsidRDefault="006D5309" w:rsidP="006D5309">
      <w:pPr>
        <w:rPr>
          <w:sz w:val="20"/>
          <w:szCs w:val="20"/>
          <w:lang w:val="en-US"/>
        </w:rPr>
      </w:pPr>
    </w:p>
    <w:p w14:paraId="4DED3500" w14:textId="5DEE3561" w:rsidR="006D5309" w:rsidRDefault="006D5309" w:rsidP="006D5309">
      <w:pPr>
        <w:rPr>
          <w:lang w:val="en-US"/>
        </w:rPr>
      </w:pPr>
    </w:p>
    <w:p w14:paraId="20171B4A" w14:textId="6420B38F" w:rsidR="006D5309" w:rsidRPr="00FD5E47" w:rsidRDefault="006D5309" w:rsidP="006D5309">
      <w:pPr>
        <w:rPr>
          <w:lang w:val="en-US"/>
        </w:rPr>
      </w:pPr>
    </w:p>
    <w:p w14:paraId="317EBB01" w14:textId="7D8D515D" w:rsidR="006D5309" w:rsidRPr="00FD5E47" w:rsidRDefault="006D5309" w:rsidP="006D5309">
      <w:pPr>
        <w:rPr>
          <w:lang w:val="en-US"/>
        </w:rPr>
      </w:pPr>
    </w:p>
    <w:p w14:paraId="65D8D606" w14:textId="723D58DC" w:rsidR="006D5309" w:rsidRPr="00FD5E47" w:rsidRDefault="006D5309" w:rsidP="006D5309">
      <w:pPr>
        <w:rPr>
          <w:lang w:val="en-US"/>
        </w:rPr>
      </w:pPr>
    </w:p>
    <w:p w14:paraId="4A979B04" w14:textId="1FD2D511" w:rsidR="006D5309" w:rsidRPr="00FD5E47" w:rsidRDefault="006D5309" w:rsidP="006A252C">
      <w:pPr>
        <w:rPr>
          <w:lang w:val="en-US"/>
        </w:rPr>
      </w:pPr>
    </w:p>
    <w:p w14:paraId="3522C571" w14:textId="62D0888F" w:rsidR="006D5309" w:rsidRPr="00FD5E47" w:rsidRDefault="006D5309" w:rsidP="006A252C">
      <w:pPr>
        <w:rPr>
          <w:lang w:val="en-US"/>
        </w:rPr>
      </w:pPr>
    </w:p>
    <w:p w14:paraId="11FD437D" w14:textId="4E38354E" w:rsidR="006D5309" w:rsidRPr="00FD5E47" w:rsidRDefault="006D5309" w:rsidP="006A252C">
      <w:pPr>
        <w:rPr>
          <w:lang w:val="en-US"/>
        </w:rPr>
      </w:pPr>
    </w:p>
    <w:p w14:paraId="3C12D82B" w14:textId="1543104F" w:rsidR="006D5309" w:rsidRDefault="006D5309" w:rsidP="006A252C">
      <w:pPr>
        <w:rPr>
          <w:lang w:val="en-US"/>
        </w:rPr>
      </w:pPr>
    </w:p>
    <w:p w14:paraId="39FBC795" w14:textId="3C268177" w:rsidR="006D5309" w:rsidRDefault="006D5309" w:rsidP="006A252C">
      <w:pPr>
        <w:rPr>
          <w:lang w:val="en-US"/>
        </w:rPr>
      </w:pPr>
    </w:p>
    <w:p w14:paraId="0B24706E" w14:textId="4AC5DFB8" w:rsidR="006D5309" w:rsidRDefault="006D5309" w:rsidP="006A252C">
      <w:pPr>
        <w:rPr>
          <w:b/>
          <w:bCs/>
          <w:lang w:val="en-US"/>
        </w:rPr>
      </w:pPr>
    </w:p>
    <w:p w14:paraId="0FF9E283" w14:textId="2678F268" w:rsidR="006D5309" w:rsidRDefault="006D5309" w:rsidP="006A252C">
      <w:pPr>
        <w:rPr>
          <w:b/>
          <w:bCs/>
          <w:lang w:val="en-US"/>
        </w:rPr>
      </w:pPr>
    </w:p>
    <w:p w14:paraId="65CA786C" w14:textId="27CEBF2F" w:rsidR="006D5309" w:rsidRPr="003268DD" w:rsidRDefault="006D5309" w:rsidP="006A252C">
      <w:pPr>
        <w:rPr>
          <w:lang w:val="en-US"/>
        </w:rPr>
      </w:pPr>
    </w:p>
    <w:p w14:paraId="72A9FB88" w14:textId="742D8D05" w:rsidR="006D5309" w:rsidRPr="003268DD" w:rsidRDefault="006D5309" w:rsidP="006A252C">
      <w:pPr>
        <w:rPr>
          <w:lang w:val="en-US"/>
        </w:rPr>
      </w:pPr>
    </w:p>
    <w:p w14:paraId="35E83CFD" w14:textId="50567C8B" w:rsidR="006D5309" w:rsidRPr="003268DD" w:rsidRDefault="006D5309" w:rsidP="006A252C">
      <w:pPr>
        <w:rPr>
          <w:lang w:val="en-US"/>
        </w:rPr>
      </w:pPr>
    </w:p>
    <w:p w14:paraId="0F3B60EE" w14:textId="77777777" w:rsidR="006D5309" w:rsidRPr="003268DD" w:rsidRDefault="006D5309" w:rsidP="006A252C">
      <w:pPr>
        <w:rPr>
          <w:lang w:val="en-US"/>
        </w:rPr>
      </w:pPr>
    </w:p>
    <w:p w14:paraId="13378712" w14:textId="77777777" w:rsidR="006D5309" w:rsidRPr="003268DD" w:rsidRDefault="006D5309" w:rsidP="006A252C">
      <w:pPr>
        <w:rPr>
          <w:lang w:val="en-US"/>
        </w:rPr>
      </w:pPr>
    </w:p>
    <w:p w14:paraId="0A88900A" w14:textId="77777777" w:rsidR="006D5309" w:rsidRPr="003268DD" w:rsidRDefault="006D5309" w:rsidP="006A252C">
      <w:pPr>
        <w:rPr>
          <w:lang w:val="en-US"/>
        </w:rPr>
      </w:pPr>
    </w:p>
    <w:p w14:paraId="1088AF8A" w14:textId="77777777" w:rsidR="006D5309" w:rsidRPr="003268DD" w:rsidRDefault="006D5309" w:rsidP="006A252C">
      <w:pPr>
        <w:rPr>
          <w:lang w:val="en-US"/>
        </w:rPr>
      </w:pPr>
    </w:p>
    <w:p w14:paraId="3C216766" w14:textId="77777777" w:rsidR="007D7BB8" w:rsidRPr="003268DD" w:rsidRDefault="00334B8E">
      <w:pPr>
        <w:pStyle w:val="berschrift1"/>
        <w:rPr>
          <w:lang w:val="en-US"/>
        </w:rPr>
      </w:pPr>
      <w:r>
        <w:rPr>
          <w:lang w:val="en-US"/>
        </w:rPr>
        <w:t>5. LIFE CYCLE COST ANALYSIS</w:t>
      </w:r>
    </w:p>
    <w:p w14:paraId="68888BB8" w14:textId="77777777" w:rsidR="007D7BB8" w:rsidRPr="003268DD" w:rsidRDefault="00334B8E">
      <w:pPr>
        <w:pStyle w:val="berschrift2"/>
        <w:rPr>
          <w:lang w:val="en-US"/>
        </w:rPr>
      </w:pPr>
      <w:r>
        <w:rPr>
          <w:lang w:val="en-US"/>
        </w:rPr>
        <w:t>5.1 Cost Structure</w:t>
      </w:r>
    </w:p>
    <w:p w14:paraId="17018E40" w14:textId="3B864F25" w:rsidR="007D7BB8" w:rsidRPr="003268DD" w:rsidRDefault="00334B8E" w:rsidP="006A252C">
      <w:pPr>
        <w:spacing w:after="120" w:line="276" w:lineRule="auto"/>
        <w:jc w:val="both"/>
        <w:rPr>
          <w:lang w:val="en-US"/>
        </w:rPr>
      </w:pPr>
      <w:r>
        <w:rPr>
          <w:lang w:val="en-US"/>
        </w:rPr>
        <w:t xml:space="preserve">The LCC analysis covers four cost categories over a 50-year reference period (base year 2007): initial construction, operational/energy, maintenance, and replacement costs (ÖNORM B 1801-1/-4). Initial investment increases monotonically with intervention depth but represents only 20–25% of total lifecycle costs; operational and energy costs (40–50%) are the dominant differentiator between scenarios. A critical finding is that technical systems introduced in the Medium and High scenarios </w:t>
      </w:r>
      <w:r w:rsidR="00404A2F">
        <w:rPr>
          <w:lang w:val="en-US"/>
        </w:rPr>
        <w:t>(</w:t>
      </w:r>
      <w:r>
        <w:rPr>
          <w:lang w:val="en-US"/>
        </w:rPr>
        <w:t>heat pumps, PV inverters, ventilation units</w:t>
      </w:r>
      <w:r w:rsidR="00404A2F">
        <w:rPr>
          <w:lang w:val="en-US"/>
        </w:rPr>
        <w:t>)</w:t>
      </w:r>
      <w:r>
        <w:rPr>
          <w:lang w:val="en-US"/>
        </w:rPr>
        <w:t xml:space="preserve"> have service lives of 15–20 years, far shorter than structural components (40–60 years), generating replacement </w:t>
      </w:r>
      <w:r>
        <w:rPr>
          <w:lang w:val="en-US"/>
        </w:rPr>
        <w:lastRenderedPageBreak/>
        <w:t>cycles that substantially increase lifecycle costs. Expert A noted that poorly planned heat pump installations can fail within 10 years, making commissioning quality a key cost risk factor.</w:t>
      </w:r>
    </w:p>
    <w:p w14:paraId="31BAEF0A" w14:textId="7DC91EF4" w:rsidR="007D7BB8" w:rsidRPr="003268DD" w:rsidRDefault="00334B8E">
      <w:pPr>
        <w:pStyle w:val="berschrift2"/>
        <w:rPr>
          <w:lang w:val="en-US"/>
        </w:rPr>
      </w:pPr>
      <w:r>
        <w:rPr>
          <w:lang w:val="en-US"/>
        </w:rPr>
        <w:t>5.2 Comparative Scenario Evaluation</w:t>
      </w:r>
    </w:p>
    <w:p w14:paraId="6B71188A" w14:textId="10627536" w:rsidR="007D7BB8" w:rsidRPr="00ED1F89" w:rsidRDefault="00334B8E">
      <w:pPr>
        <w:spacing w:after="120" w:line="276" w:lineRule="auto"/>
        <w:jc w:val="both"/>
        <w:rPr>
          <w:lang w:val="en-US"/>
        </w:rPr>
      </w:pPr>
      <w:r>
        <w:rPr>
          <w:lang w:val="en-US"/>
        </w:rPr>
        <w:t>The aggregate lifecycle cost comparison, based on NPV at a real discount rate of 2%, identifies the Medium scenario as the most cost-efficient option, achieving a cost advantage of approximately 5.5% relative to both Low and High. The Low scenario saves on initial investment but is penalised by higher operational energy costs over the reference period; the High scenario achieves the lowest operational energy costs but is penalised by higher initial investment and replacement costs.</w:t>
      </w:r>
    </w:p>
    <w:p w14:paraId="6CC75207" w14:textId="0DBC2316" w:rsidR="007D7BB8" w:rsidRPr="00ED1F89" w:rsidRDefault="00334B8E">
      <w:pPr>
        <w:spacing w:after="120" w:line="276" w:lineRule="auto"/>
        <w:jc w:val="both"/>
        <w:rPr>
          <w:lang w:val="en-US"/>
        </w:rPr>
      </w:pPr>
      <w:r>
        <w:rPr>
          <w:lang w:val="en-US"/>
        </w:rPr>
        <w:t>The Medium scenario represents an efficiency sweet spot: it achieves substantial reductions in operational energy demand at a moderate initial cost premium, with a replacement cycle profile less capital-intensive than the High scenario. This underscores the importance of a lifecycle perspective in renovation planning</w:t>
      </w:r>
      <w:r w:rsidR="00404A2F">
        <w:rPr>
          <w:lang w:val="en-US"/>
        </w:rPr>
        <w:t>:</w:t>
      </w:r>
      <w:r>
        <w:rPr>
          <w:lang w:val="en-US"/>
        </w:rPr>
        <w:t xml:space="preserve"> the economically optimal renovation depth is not necessarily the most ambitious in terms of energy performance.</w:t>
      </w:r>
    </w:p>
    <w:p w14:paraId="35A2C5F6" w14:textId="6AC52B5A" w:rsidR="007D7BB8" w:rsidRDefault="00334B8E">
      <w:pPr>
        <w:spacing w:after="120" w:line="276" w:lineRule="auto"/>
        <w:jc w:val="both"/>
        <w:rPr>
          <w:lang w:val="en-US"/>
        </w:rPr>
      </w:pPr>
      <w:r>
        <w:rPr>
          <w:lang w:val="en-US"/>
        </w:rPr>
        <w:t>The economic ranking is sensitive to the discount rate applied (see Figures 6-8). At a discount rate of 2%, the Low scenario has the highest total costs at €18.50 million, followed by the High scenario at €16.59 million, while the Medium scenario shows the lowest LCC at €15.17 million. At a discount rate of 4%, the High scenario remains most expensive at €12.10 million, with Medium at €10.60 million and Low at €10.03 million. At 5.5%, the High scenario still leads at €10.24 million, followed by Medium at €8.69 million, with Low recording the lowest value at €7.62 million. Expressed per GFA at 5.5%, the High scenario reaches €738.29/m², Medium €632.94/m², and Low €530.24/m².</w:t>
      </w:r>
    </w:p>
    <w:p w14:paraId="6649B46B" w14:textId="77777777" w:rsidR="00F853F4" w:rsidRPr="003268DD" w:rsidRDefault="00F853F4">
      <w:pPr>
        <w:spacing w:after="120" w:line="276" w:lineRule="auto"/>
        <w:jc w:val="both"/>
        <w:rPr>
          <w:lang w:val="en-US"/>
        </w:rPr>
      </w:pPr>
    </w:p>
    <w:p w14:paraId="02218AD2" w14:textId="1564C978" w:rsidR="003973FC" w:rsidRDefault="003973FC">
      <w:pPr>
        <w:spacing w:before="120" w:after="60"/>
        <w:jc w:val="center"/>
      </w:pPr>
      <w:r>
        <w:rPr>
          <w:noProof/>
        </w:rPr>
        <w:drawing>
          <wp:inline distT="0" distB="0" distL="0" distR="0" wp14:anchorId="5691C7ED" wp14:editId="0CD4E11F">
            <wp:extent cx="5731510" cy="2838450"/>
            <wp:effectExtent l="0" t="0" r="0" b="6350"/>
            <wp:docPr id="17990214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02147" name="Grafik 17990214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2838450"/>
                    </a:xfrm>
                    <a:prstGeom prst="rect">
                      <a:avLst/>
                    </a:prstGeom>
                  </pic:spPr>
                </pic:pic>
              </a:graphicData>
            </a:graphic>
          </wp:inline>
        </w:drawing>
      </w:r>
    </w:p>
    <w:p w14:paraId="0ED50ABE" w14:textId="77777777" w:rsidR="003973FC" w:rsidRDefault="003973FC">
      <w:pPr>
        <w:spacing w:before="120" w:after="60"/>
        <w:jc w:val="center"/>
      </w:pPr>
    </w:p>
    <w:p w14:paraId="21216434" w14:textId="5CF7D5F9" w:rsidR="007D7BB8" w:rsidRPr="003268DD" w:rsidRDefault="00334B8E">
      <w:pPr>
        <w:spacing w:after="60"/>
        <w:jc w:val="center"/>
        <w:rPr>
          <w:lang w:val="en-US"/>
        </w:rPr>
      </w:pPr>
      <w:r>
        <w:rPr>
          <w:i/>
          <w:iCs/>
          <w:sz w:val="20"/>
          <w:szCs w:val="20"/>
          <w:lang w:val="en-US"/>
        </w:rPr>
        <w:t>Figure 6: LCC comparison at 2% discount rate.</w:t>
      </w:r>
    </w:p>
    <w:p w14:paraId="190DE1CE" w14:textId="7790E3D2" w:rsidR="007D7BB8" w:rsidRPr="00787339" w:rsidRDefault="007D7BB8">
      <w:pPr>
        <w:spacing w:after="60"/>
        <w:jc w:val="center"/>
        <w:rPr>
          <w:lang w:val="en-US"/>
        </w:rPr>
      </w:pPr>
    </w:p>
    <w:p w14:paraId="3CC95428" w14:textId="0C80F471" w:rsidR="007D7BB8" w:rsidRPr="00787339" w:rsidRDefault="007D7BB8">
      <w:pPr>
        <w:spacing w:after="60"/>
        <w:jc w:val="center"/>
        <w:rPr>
          <w:lang w:val="en-US"/>
        </w:rPr>
      </w:pPr>
    </w:p>
    <w:p w14:paraId="474EF4BD" w14:textId="4A2E3DFC" w:rsidR="0092767F" w:rsidRDefault="003973FC">
      <w:pPr>
        <w:spacing w:after="120" w:line="276" w:lineRule="auto"/>
        <w:jc w:val="both"/>
        <w:rPr>
          <w:i/>
          <w:iCs/>
          <w:noProof/>
          <w:sz w:val="20"/>
          <w:szCs w:val="20"/>
          <w:lang w:val="en-US"/>
        </w:rPr>
      </w:pPr>
      <w:r>
        <w:rPr>
          <w:i/>
          <w:iCs/>
          <w:noProof/>
          <w:sz w:val="20"/>
          <w:szCs w:val="20"/>
          <w:lang w:val="en-US"/>
        </w:rPr>
        <w:lastRenderedPageBreak/>
        <w:drawing>
          <wp:inline distT="0" distB="0" distL="0" distR="0" wp14:anchorId="488E16BC" wp14:editId="7AE6578C">
            <wp:extent cx="5731510" cy="2656840"/>
            <wp:effectExtent l="0" t="0" r="0" b="0"/>
            <wp:docPr id="60559964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599641" name="Grafik 60559964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2656840"/>
                    </a:xfrm>
                    <a:prstGeom prst="rect">
                      <a:avLst/>
                    </a:prstGeom>
                  </pic:spPr>
                </pic:pic>
              </a:graphicData>
            </a:graphic>
          </wp:inline>
        </w:drawing>
      </w:r>
    </w:p>
    <w:p w14:paraId="2A589CFB" w14:textId="77777777" w:rsidR="003973FC" w:rsidRDefault="003973FC" w:rsidP="003973FC">
      <w:pPr>
        <w:rPr>
          <w:i/>
          <w:iCs/>
          <w:noProof/>
          <w:sz w:val="20"/>
          <w:szCs w:val="20"/>
          <w:lang w:val="en-US"/>
        </w:rPr>
      </w:pPr>
    </w:p>
    <w:p w14:paraId="3A3644AE" w14:textId="77777777" w:rsidR="003973FC" w:rsidRPr="003268DD" w:rsidRDefault="003973FC" w:rsidP="003973FC">
      <w:pPr>
        <w:spacing w:after="60"/>
        <w:jc w:val="center"/>
        <w:rPr>
          <w:lang w:val="en-US"/>
        </w:rPr>
      </w:pPr>
      <w:r>
        <w:rPr>
          <w:lang w:val="en-US"/>
        </w:rPr>
        <w:tab/>
      </w:r>
      <w:r>
        <w:rPr>
          <w:i/>
          <w:iCs/>
          <w:sz w:val="20"/>
          <w:szCs w:val="20"/>
          <w:lang w:val="en-US"/>
        </w:rPr>
        <w:t>Figure 7: LCC comparison at 4% discount rate.</w:t>
      </w:r>
    </w:p>
    <w:p w14:paraId="081936E0" w14:textId="4EF5A4CC" w:rsidR="003973FC" w:rsidRPr="003973FC" w:rsidRDefault="003973FC" w:rsidP="004E4222">
      <w:pPr>
        <w:tabs>
          <w:tab w:val="left" w:pos="3104"/>
        </w:tabs>
        <w:rPr>
          <w:lang w:val="en-US"/>
        </w:rPr>
      </w:pPr>
    </w:p>
    <w:p w14:paraId="2BA7E311" w14:textId="56E16765" w:rsidR="003973FC" w:rsidRPr="003268DD" w:rsidRDefault="003973FC">
      <w:pPr>
        <w:spacing w:after="120" w:line="276" w:lineRule="auto"/>
        <w:jc w:val="both"/>
        <w:rPr>
          <w:lang w:val="en-US"/>
        </w:rPr>
      </w:pPr>
      <w:r>
        <w:rPr>
          <w:noProof/>
        </w:rPr>
        <w:drawing>
          <wp:inline distT="0" distB="0" distL="0" distR="0" wp14:anchorId="204870AD" wp14:editId="328AAB28">
            <wp:extent cx="5731510" cy="2839852"/>
            <wp:effectExtent l="0" t="0" r="0" b="5080"/>
            <wp:docPr id="39831509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315094" name="Grafik 39831509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839852"/>
                    </a:xfrm>
                    <a:prstGeom prst="rect">
                      <a:avLst/>
                    </a:prstGeom>
                  </pic:spPr>
                </pic:pic>
              </a:graphicData>
            </a:graphic>
          </wp:inline>
        </w:drawing>
      </w:r>
    </w:p>
    <w:p w14:paraId="3DCF16EE" w14:textId="77777777" w:rsidR="003973FC" w:rsidRPr="003268DD" w:rsidRDefault="003973FC" w:rsidP="003973FC">
      <w:pPr>
        <w:spacing w:after="120"/>
        <w:jc w:val="center"/>
        <w:rPr>
          <w:lang w:val="en-US"/>
        </w:rPr>
      </w:pPr>
      <w:r>
        <w:rPr>
          <w:i/>
          <w:iCs/>
          <w:sz w:val="20"/>
          <w:szCs w:val="20"/>
          <w:lang w:val="en-US"/>
        </w:rPr>
        <w:t>Figure 8: LCC comparison at 5.5% discount rate.</w:t>
      </w:r>
    </w:p>
    <w:p w14:paraId="08589936" w14:textId="77777777" w:rsidR="003973FC" w:rsidRDefault="003973FC">
      <w:pPr>
        <w:spacing w:after="120" w:line="276" w:lineRule="auto"/>
        <w:jc w:val="both"/>
        <w:rPr>
          <w:lang w:val="en-US"/>
        </w:rPr>
      </w:pPr>
    </w:p>
    <w:p w14:paraId="446E2D74" w14:textId="0FD20D65" w:rsidR="007D7BB8" w:rsidRDefault="00334B8E">
      <w:pPr>
        <w:spacing w:after="120" w:line="276" w:lineRule="auto"/>
        <w:jc w:val="both"/>
        <w:rPr>
          <w:lang w:val="en-US"/>
        </w:rPr>
      </w:pPr>
      <w:r>
        <w:rPr>
          <w:lang w:val="en-US"/>
        </w:rPr>
        <w:t xml:space="preserve">The LCC breakdown shows a clear shift in cost shares across scenarios. As intervention depth increases, initial construction costs rise while energy costs decrease significantly. Medium and High remain relatively close in replacement and long-term energy costs, suggesting that investment beyond the Medium level generates only limited additional economic return. From an economic perspective, the </w:t>
      </w:r>
      <w:proofErr w:type="gramStart"/>
      <w:r>
        <w:rPr>
          <w:lang w:val="en-US"/>
        </w:rPr>
        <w:t>Medium</w:t>
      </w:r>
      <w:proofErr w:type="gramEnd"/>
      <w:r>
        <w:rPr>
          <w:lang w:val="en-US"/>
        </w:rPr>
        <w:t xml:space="preserve"> scenario offers the most balanced compromise between investment level, energy cost reduction, and reduced exposure to future energy price volatility.</w:t>
      </w:r>
    </w:p>
    <w:p w14:paraId="44C4EC60" w14:textId="77777777" w:rsidR="00F853F4" w:rsidRDefault="00F853F4">
      <w:pPr>
        <w:spacing w:after="120" w:line="276" w:lineRule="auto"/>
        <w:jc w:val="both"/>
        <w:rPr>
          <w:lang w:val="en-US"/>
        </w:rPr>
      </w:pPr>
    </w:p>
    <w:p w14:paraId="746F4EE8" w14:textId="77777777" w:rsidR="00F853F4" w:rsidRDefault="00F853F4">
      <w:pPr>
        <w:spacing w:after="120" w:line="276" w:lineRule="auto"/>
        <w:jc w:val="both"/>
        <w:rPr>
          <w:lang w:val="en-US"/>
        </w:rPr>
      </w:pPr>
    </w:p>
    <w:p w14:paraId="5C639A9A" w14:textId="77777777" w:rsidR="00F853F4" w:rsidRPr="003268DD" w:rsidRDefault="00F853F4">
      <w:pPr>
        <w:spacing w:after="120" w:line="276" w:lineRule="auto"/>
        <w:jc w:val="both"/>
        <w:rPr>
          <w:lang w:val="en-US"/>
        </w:rPr>
      </w:pPr>
    </w:p>
    <w:p w14:paraId="51D294C1" w14:textId="79AB169F" w:rsidR="007D7BB8" w:rsidRPr="003268DD" w:rsidRDefault="00334B8E">
      <w:pPr>
        <w:pStyle w:val="berschrift2"/>
        <w:rPr>
          <w:lang w:val="en-US"/>
        </w:rPr>
      </w:pPr>
      <w:r>
        <w:rPr>
          <w:lang w:val="en-US"/>
        </w:rPr>
        <w:lastRenderedPageBreak/>
        <w:t>5.3 Summary: Comparative Performance of Renovation Scenarios</w:t>
      </w:r>
    </w:p>
    <w:p w14:paraId="16A1933F" w14:textId="77777777" w:rsidR="007D7BB8" w:rsidRPr="003268DD" w:rsidRDefault="007D7BB8">
      <w:pPr>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1560"/>
        <w:gridCol w:w="1560"/>
        <w:gridCol w:w="1560"/>
        <w:gridCol w:w="2340"/>
      </w:tblGrid>
      <w:tr w:rsidR="007D7BB8" w14:paraId="5B80D43A" w14:textId="77777777">
        <w:trPr>
          <w:tblHeader/>
        </w:trPr>
        <w:tc>
          <w:tcPr>
            <w:tcW w:w="2340" w:type="dxa"/>
            <w:tcBorders>
              <w:top w:val="single" w:sz="1" w:space="0" w:color="999999"/>
              <w:left w:val="single" w:sz="1" w:space="0" w:color="999999"/>
              <w:bottom w:val="single" w:sz="1" w:space="0" w:color="999999"/>
              <w:right w:val="single" w:sz="1" w:space="0" w:color="999999"/>
            </w:tcBorders>
            <w:shd w:val="clear" w:color="auto" w:fill="D5E8F0"/>
            <w:tcMar>
              <w:top w:w="80" w:type="dxa"/>
              <w:left w:w="120" w:type="dxa"/>
              <w:bottom w:w="80" w:type="dxa"/>
              <w:right w:w="120" w:type="dxa"/>
            </w:tcMar>
          </w:tcPr>
          <w:p w14:paraId="4F9A9747" w14:textId="77777777" w:rsidR="007D7BB8" w:rsidRDefault="00334B8E">
            <w:r>
              <w:rPr>
                <w:b/>
                <w:bCs/>
                <w:sz w:val="20"/>
                <w:szCs w:val="20"/>
              </w:rPr>
              <w:t>Parameter</w:t>
            </w:r>
          </w:p>
        </w:tc>
        <w:tc>
          <w:tcPr>
            <w:tcW w:w="1560" w:type="dxa"/>
            <w:tcBorders>
              <w:top w:val="single" w:sz="1" w:space="0" w:color="999999"/>
              <w:left w:val="single" w:sz="1" w:space="0" w:color="999999"/>
              <w:bottom w:val="single" w:sz="1" w:space="0" w:color="999999"/>
              <w:right w:val="single" w:sz="1" w:space="0" w:color="999999"/>
            </w:tcBorders>
            <w:shd w:val="clear" w:color="auto" w:fill="D5E8F0"/>
            <w:tcMar>
              <w:top w:w="80" w:type="dxa"/>
              <w:left w:w="120" w:type="dxa"/>
              <w:bottom w:w="80" w:type="dxa"/>
              <w:right w:w="120" w:type="dxa"/>
            </w:tcMar>
          </w:tcPr>
          <w:p w14:paraId="78AA4BE4" w14:textId="77777777" w:rsidR="007D7BB8" w:rsidRDefault="00334B8E">
            <w:pPr>
              <w:jc w:val="center"/>
            </w:pPr>
            <w:r>
              <w:rPr>
                <w:b/>
                <w:bCs/>
                <w:sz w:val="20"/>
                <w:szCs w:val="20"/>
              </w:rPr>
              <w:t>EXISTING</w:t>
            </w:r>
          </w:p>
        </w:tc>
        <w:tc>
          <w:tcPr>
            <w:tcW w:w="1560" w:type="dxa"/>
            <w:tcBorders>
              <w:top w:val="single" w:sz="1" w:space="0" w:color="999999"/>
              <w:left w:val="single" w:sz="1" w:space="0" w:color="999999"/>
              <w:bottom w:val="single" w:sz="1" w:space="0" w:color="999999"/>
              <w:right w:val="single" w:sz="1" w:space="0" w:color="999999"/>
            </w:tcBorders>
            <w:shd w:val="clear" w:color="auto" w:fill="D5E8F0"/>
            <w:tcMar>
              <w:top w:w="80" w:type="dxa"/>
              <w:left w:w="120" w:type="dxa"/>
              <w:bottom w:w="80" w:type="dxa"/>
              <w:right w:w="120" w:type="dxa"/>
            </w:tcMar>
          </w:tcPr>
          <w:p w14:paraId="382E6682" w14:textId="77777777" w:rsidR="007D7BB8" w:rsidRDefault="00334B8E">
            <w:pPr>
              <w:jc w:val="center"/>
            </w:pPr>
            <w:r>
              <w:rPr>
                <w:b/>
                <w:bCs/>
                <w:sz w:val="20"/>
                <w:szCs w:val="20"/>
              </w:rPr>
              <w:t>LOW</w:t>
            </w:r>
          </w:p>
        </w:tc>
        <w:tc>
          <w:tcPr>
            <w:tcW w:w="1560" w:type="dxa"/>
            <w:tcBorders>
              <w:top w:val="single" w:sz="1" w:space="0" w:color="999999"/>
              <w:left w:val="single" w:sz="1" w:space="0" w:color="999999"/>
              <w:bottom w:val="single" w:sz="1" w:space="0" w:color="999999"/>
              <w:right w:val="single" w:sz="1" w:space="0" w:color="999999"/>
            </w:tcBorders>
            <w:shd w:val="clear" w:color="auto" w:fill="D5E8F0"/>
            <w:tcMar>
              <w:top w:w="80" w:type="dxa"/>
              <w:left w:w="120" w:type="dxa"/>
              <w:bottom w:w="80" w:type="dxa"/>
              <w:right w:w="120" w:type="dxa"/>
            </w:tcMar>
          </w:tcPr>
          <w:p w14:paraId="671F6CA8" w14:textId="77777777" w:rsidR="007D7BB8" w:rsidRDefault="00334B8E">
            <w:pPr>
              <w:jc w:val="center"/>
            </w:pPr>
            <w:r>
              <w:rPr>
                <w:b/>
                <w:bCs/>
                <w:sz w:val="20"/>
                <w:szCs w:val="20"/>
              </w:rPr>
              <w:t>MEDIUM</w:t>
            </w:r>
          </w:p>
        </w:tc>
        <w:tc>
          <w:tcPr>
            <w:tcW w:w="2340" w:type="dxa"/>
            <w:tcBorders>
              <w:top w:val="single" w:sz="1" w:space="0" w:color="999999"/>
              <w:left w:val="single" w:sz="1" w:space="0" w:color="999999"/>
              <w:bottom w:val="single" w:sz="1" w:space="0" w:color="999999"/>
              <w:right w:val="single" w:sz="1" w:space="0" w:color="999999"/>
            </w:tcBorders>
            <w:shd w:val="clear" w:color="auto" w:fill="D5E8F0"/>
            <w:tcMar>
              <w:top w:w="80" w:type="dxa"/>
              <w:left w:w="120" w:type="dxa"/>
              <w:bottom w:w="80" w:type="dxa"/>
              <w:right w:w="120" w:type="dxa"/>
            </w:tcMar>
          </w:tcPr>
          <w:p w14:paraId="3B98444B" w14:textId="77777777" w:rsidR="007D7BB8" w:rsidRDefault="00334B8E">
            <w:pPr>
              <w:jc w:val="center"/>
            </w:pPr>
            <w:r>
              <w:rPr>
                <w:b/>
                <w:bCs/>
                <w:sz w:val="20"/>
                <w:szCs w:val="20"/>
              </w:rPr>
              <w:t>HIGH</w:t>
            </w:r>
          </w:p>
        </w:tc>
      </w:tr>
      <w:tr w:rsidR="007D7BB8" w14:paraId="7606A070" w14:textId="77777777">
        <w:tc>
          <w:tcPr>
            <w:tcW w:w="234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85A8CE2" w14:textId="77777777" w:rsidR="007D7BB8" w:rsidRDefault="00334B8E">
            <w:r>
              <w:rPr>
                <w:sz w:val="20"/>
                <w:szCs w:val="20"/>
              </w:rPr>
              <w:t>Initial Investment (relative)</w:t>
            </w:r>
          </w:p>
        </w:tc>
        <w:tc>
          <w:tcPr>
            <w:tcW w:w="15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4DBB5CF" w14:textId="41DF81CA" w:rsidR="007D7BB8" w:rsidRDefault="0092767F">
            <w:pPr>
              <w:jc w:val="center"/>
            </w:pPr>
            <w:r>
              <w:rPr>
                <w:sz w:val="20"/>
                <w:szCs w:val="20"/>
              </w:rPr>
              <w:t>-</w:t>
            </w:r>
          </w:p>
        </w:tc>
        <w:tc>
          <w:tcPr>
            <w:tcW w:w="15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BDA9BD8" w14:textId="77777777" w:rsidR="007D7BB8" w:rsidRDefault="00334B8E">
            <w:pPr>
              <w:jc w:val="center"/>
            </w:pPr>
            <w:r>
              <w:rPr>
                <w:sz w:val="20"/>
                <w:szCs w:val="20"/>
              </w:rPr>
              <w:t>Low</w:t>
            </w:r>
          </w:p>
        </w:tc>
        <w:tc>
          <w:tcPr>
            <w:tcW w:w="15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C99788C" w14:textId="77777777" w:rsidR="007D7BB8" w:rsidRDefault="00334B8E">
            <w:pPr>
              <w:jc w:val="center"/>
            </w:pPr>
            <w:r>
              <w:rPr>
                <w:sz w:val="20"/>
                <w:szCs w:val="20"/>
              </w:rPr>
              <w:t>Moderate</w:t>
            </w:r>
          </w:p>
        </w:tc>
        <w:tc>
          <w:tcPr>
            <w:tcW w:w="234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6B26CD9" w14:textId="77777777" w:rsidR="007D7BB8" w:rsidRDefault="00334B8E">
            <w:pPr>
              <w:jc w:val="center"/>
            </w:pPr>
            <w:r>
              <w:rPr>
                <w:sz w:val="20"/>
                <w:szCs w:val="20"/>
              </w:rPr>
              <w:t>High</w:t>
            </w:r>
          </w:p>
        </w:tc>
      </w:tr>
      <w:tr w:rsidR="007D7BB8" w14:paraId="0AAAD683" w14:textId="77777777">
        <w:tc>
          <w:tcPr>
            <w:tcW w:w="234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745E032" w14:textId="77777777" w:rsidR="007D7BB8" w:rsidRPr="003268DD" w:rsidRDefault="00334B8E">
            <w:pPr>
              <w:rPr>
                <w:lang w:val="en-US"/>
              </w:rPr>
            </w:pPr>
            <w:r>
              <w:rPr>
                <w:sz w:val="20"/>
                <w:szCs w:val="20"/>
                <w:lang w:val="en-US"/>
              </w:rPr>
              <w:t>Operational Energy (kWh/m²a, approx.)</w:t>
            </w:r>
          </w:p>
        </w:tc>
        <w:tc>
          <w:tcPr>
            <w:tcW w:w="15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EB6D393" w14:textId="77777777" w:rsidR="007D7BB8" w:rsidRDefault="00334B8E">
            <w:pPr>
              <w:jc w:val="center"/>
            </w:pPr>
            <w:r>
              <w:rPr>
                <w:sz w:val="20"/>
                <w:szCs w:val="20"/>
              </w:rPr>
              <w:t>~180</w:t>
            </w:r>
          </w:p>
        </w:tc>
        <w:tc>
          <w:tcPr>
            <w:tcW w:w="15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6DFA084" w14:textId="77777777" w:rsidR="007D7BB8" w:rsidRDefault="00334B8E">
            <w:pPr>
              <w:jc w:val="center"/>
            </w:pPr>
            <w:r>
              <w:rPr>
                <w:sz w:val="20"/>
                <w:szCs w:val="20"/>
              </w:rPr>
              <w:t>~120</w:t>
            </w:r>
          </w:p>
        </w:tc>
        <w:tc>
          <w:tcPr>
            <w:tcW w:w="15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C1DDA4B" w14:textId="77777777" w:rsidR="007D7BB8" w:rsidRDefault="00334B8E">
            <w:pPr>
              <w:jc w:val="center"/>
            </w:pPr>
            <w:r>
              <w:rPr>
                <w:sz w:val="20"/>
                <w:szCs w:val="20"/>
              </w:rPr>
              <w:t>~70</w:t>
            </w:r>
          </w:p>
        </w:tc>
        <w:tc>
          <w:tcPr>
            <w:tcW w:w="234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04C5022" w14:textId="77777777" w:rsidR="007D7BB8" w:rsidRDefault="00334B8E">
            <w:pPr>
              <w:jc w:val="center"/>
            </w:pPr>
            <w:r>
              <w:rPr>
                <w:sz w:val="20"/>
                <w:szCs w:val="20"/>
              </w:rPr>
              <w:t>~30</w:t>
            </w:r>
          </w:p>
        </w:tc>
      </w:tr>
      <w:tr w:rsidR="007D7BB8" w14:paraId="2058ACBA" w14:textId="77777777">
        <w:tc>
          <w:tcPr>
            <w:tcW w:w="234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6F40EDF" w14:textId="77777777" w:rsidR="007D7BB8" w:rsidRPr="003268DD" w:rsidRDefault="00334B8E">
            <w:pPr>
              <w:rPr>
                <w:lang w:val="en-US"/>
              </w:rPr>
            </w:pPr>
            <w:r>
              <w:rPr>
                <w:sz w:val="20"/>
                <w:szCs w:val="20"/>
                <w:lang w:val="en-US"/>
              </w:rPr>
              <w:t>Total LCC – NPV 50yr (relative)</w:t>
            </w:r>
          </w:p>
        </w:tc>
        <w:tc>
          <w:tcPr>
            <w:tcW w:w="15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BEB5A77" w14:textId="77777777" w:rsidR="007D7BB8" w:rsidRPr="00F853F4" w:rsidRDefault="00334B8E">
            <w:pPr>
              <w:jc w:val="center"/>
            </w:pPr>
            <w:r w:rsidRPr="00F853F4">
              <w:rPr>
                <w:sz w:val="20"/>
                <w:szCs w:val="20"/>
              </w:rPr>
              <w:t>N/A</w:t>
            </w:r>
          </w:p>
        </w:tc>
        <w:tc>
          <w:tcPr>
            <w:tcW w:w="15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EFA7381" w14:textId="77777777" w:rsidR="007D7BB8" w:rsidRDefault="00334B8E">
            <w:pPr>
              <w:jc w:val="center"/>
            </w:pPr>
            <w:r>
              <w:rPr>
                <w:sz w:val="20"/>
                <w:szCs w:val="20"/>
              </w:rPr>
              <w:t>High</w:t>
            </w:r>
          </w:p>
        </w:tc>
        <w:tc>
          <w:tcPr>
            <w:tcW w:w="15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92DE179" w14:textId="77777777" w:rsidR="007D7BB8" w:rsidRDefault="00334B8E">
            <w:pPr>
              <w:jc w:val="center"/>
            </w:pPr>
            <w:r>
              <w:rPr>
                <w:sz w:val="20"/>
                <w:szCs w:val="20"/>
              </w:rPr>
              <w:t>Lowest (−5.5%)</w:t>
            </w:r>
          </w:p>
        </w:tc>
        <w:tc>
          <w:tcPr>
            <w:tcW w:w="234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02FAEFB" w14:textId="77777777" w:rsidR="007D7BB8" w:rsidRDefault="00334B8E">
            <w:pPr>
              <w:jc w:val="center"/>
            </w:pPr>
            <w:r>
              <w:rPr>
                <w:sz w:val="20"/>
                <w:szCs w:val="20"/>
              </w:rPr>
              <w:t>Moderate</w:t>
            </w:r>
          </w:p>
        </w:tc>
      </w:tr>
      <w:tr w:rsidR="007D7BB8" w14:paraId="20DBCD37" w14:textId="77777777">
        <w:tc>
          <w:tcPr>
            <w:tcW w:w="234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4E7115F" w14:textId="77777777" w:rsidR="007D7BB8" w:rsidRDefault="00334B8E">
            <w:r>
              <w:rPr>
                <w:sz w:val="20"/>
                <w:szCs w:val="20"/>
              </w:rPr>
              <w:t>GWP lifecycle (relative)</w:t>
            </w:r>
          </w:p>
        </w:tc>
        <w:tc>
          <w:tcPr>
            <w:tcW w:w="15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F922D06" w14:textId="77777777" w:rsidR="007D7BB8" w:rsidRDefault="00334B8E">
            <w:pPr>
              <w:jc w:val="center"/>
            </w:pPr>
            <w:r>
              <w:rPr>
                <w:sz w:val="20"/>
                <w:szCs w:val="20"/>
              </w:rPr>
              <w:t>Worst</w:t>
            </w:r>
          </w:p>
        </w:tc>
        <w:tc>
          <w:tcPr>
            <w:tcW w:w="15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5D60BE9" w14:textId="77777777" w:rsidR="007D7BB8" w:rsidRDefault="00334B8E">
            <w:pPr>
              <w:jc w:val="center"/>
            </w:pPr>
            <w:r>
              <w:rPr>
                <w:sz w:val="20"/>
                <w:szCs w:val="20"/>
              </w:rPr>
              <w:t>Moderate</w:t>
            </w:r>
          </w:p>
        </w:tc>
        <w:tc>
          <w:tcPr>
            <w:tcW w:w="15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F939D1F" w14:textId="77777777" w:rsidR="007D7BB8" w:rsidRDefault="00334B8E">
            <w:pPr>
              <w:jc w:val="center"/>
            </w:pPr>
            <w:r>
              <w:rPr>
                <w:sz w:val="20"/>
                <w:szCs w:val="20"/>
              </w:rPr>
              <w:t>Good</w:t>
            </w:r>
          </w:p>
        </w:tc>
        <w:tc>
          <w:tcPr>
            <w:tcW w:w="234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CFF7FEE" w14:textId="77777777" w:rsidR="007D7BB8" w:rsidRDefault="00334B8E">
            <w:pPr>
              <w:jc w:val="center"/>
            </w:pPr>
            <w:r>
              <w:rPr>
                <w:sz w:val="20"/>
                <w:szCs w:val="20"/>
              </w:rPr>
              <w:t>Best</w:t>
            </w:r>
          </w:p>
        </w:tc>
      </w:tr>
      <w:tr w:rsidR="007D7BB8" w14:paraId="2F9FFFD4" w14:textId="77777777">
        <w:tc>
          <w:tcPr>
            <w:tcW w:w="234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B5C8548" w14:textId="77777777" w:rsidR="007D7BB8" w:rsidRDefault="00334B8E">
            <w:r>
              <w:rPr>
                <w:sz w:val="20"/>
                <w:szCs w:val="20"/>
              </w:rPr>
              <w:t>Energy Performance (relative)</w:t>
            </w:r>
          </w:p>
        </w:tc>
        <w:tc>
          <w:tcPr>
            <w:tcW w:w="15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771EDE1" w14:textId="77777777" w:rsidR="007D7BB8" w:rsidRDefault="00334B8E">
            <w:pPr>
              <w:jc w:val="center"/>
            </w:pPr>
            <w:r>
              <w:rPr>
                <w:sz w:val="20"/>
                <w:szCs w:val="20"/>
              </w:rPr>
              <w:t>Worst</w:t>
            </w:r>
          </w:p>
        </w:tc>
        <w:tc>
          <w:tcPr>
            <w:tcW w:w="15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8BF9899" w14:textId="77777777" w:rsidR="007D7BB8" w:rsidRDefault="00334B8E">
            <w:pPr>
              <w:jc w:val="center"/>
            </w:pPr>
            <w:r>
              <w:rPr>
                <w:sz w:val="20"/>
                <w:szCs w:val="20"/>
              </w:rPr>
              <w:t>Moderate</w:t>
            </w:r>
          </w:p>
        </w:tc>
        <w:tc>
          <w:tcPr>
            <w:tcW w:w="15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94DE07A" w14:textId="77777777" w:rsidR="007D7BB8" w:rsidRDefault="00334B8E">
            <w:pPr>
              <w:jc w:val="center"/>
            </w:pPr>
            <w:r>
              <w:rPr>
                <w:sz w:val="20"/>
                <w:szCs w:val="20"/>
              </w:rPr>
              <w:t>Good</w:t>
            </w:r>
          </w:p>
        </w:tc>
        <w:tc>
          <w:tcPr>
            <w:tcW w:w="234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BA97951" w14:textId="77777777" w:rsidR="007D7BB8" w:rsidRDefault="00334B8E">
            <w:pPr>
              <w:jc w:val="center"/>
            </w:pPr>
            <w:r>
              <w:rPr>
                <w:sz w:val="20"/>
                <w:szCs w:val="20"/>
              </w:rPr>
              <w:t>Best</w:t>
            </w:r>
          </w:p>
        </w:tc>
      </w:tr>
      <w:tr w:rsidR="007D7BB8" w14:paraId="5A48CCD7" w14:textId="77777777">
        <w:tc>
          <w:tcPr>
            <w:tcW w:w="234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82634F8" w14:textId="77777777" w:rsidR="007D7BB8" w:rsidRDefault="00334B8E">
            <w:r>
              <w:rPr>
                <w:sz w:val="20"/>
                <w:szCs w:val="20"/>
              </w:rPr>
              <w:t>Circularity Potential</w:t>
            </w:r>
          </w:p>
        </w:tc>
        <w:tc>
          <w:tcPr>
            <w:tcW w:w="15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CCAD679" w14:textId="77777777" w:rsidR="007D7BB8" w:rsidRDefault="00334B8E">
            <w:pPr>
              <w:jc w:val="center"/>
            </w:pPr>
            <w:r>
              <w:rPr>
                <w:sz w:val="20"/>
                <w:szCs w:val="20"/>
              </w:rPr>
              <w:t>Low</w:t>
            </w:r>
          </w:p>
        </w:tc>
        <w:tc>
          <w:tcPr>
            <w:tcW w:w="15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C92CBA0" w14:textId="77777777" w:rsidR="007D7BB8" w:rsidRDefault="00334B8E">
            <w:pPr>
              <w:jc w:val="center"/>
            </w:pPr>
            <w:r>
              <w:rPr>
                <w:sz w:val="20"/>
                <w:szCs w:val="20"/>
              </w:rPr>
              <w:t>Low–Moderate</w:t>
            </w:r>
          </w:p>
        </w:tc>
        <w:tc>
          <w:tcPr>
            <w:tcW w:w="15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69ABA00" w14:textId="77777777" w:rsidR="007D7BB8" w:rsidRDefault="00334B8E">
            <w:pPr>
              <w:jc w:val="center"/>
            </w:pPr>
            <w:r>
              <w:rPr>
                <w:sz w:val="20"/>
                <w:szCs w:val="20"/>
              </w:rPr>
              <w:t>Moderate</w:t>
            </w:r>
          </w:p>
        </w:tc>
        <w:tc>
          <w:tcPr>
            <w:tcW w:w="234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8DE7C07" w14:textId="77777777" w:rsidR="007D7BB8" w:rsidRDefault="00334B8E">
            <w:pPr>
              <w:jc w:val="center"/>
            </w:pPr>
            <w:r>
              <w:rPr>
                <w:sz w:val="20"/>
                <w:szCs w:val="20"/>
              </w:rPr>
              <w:t>Moderate–High</w:t>
            </w:r>
          </w:p>
        </w:tc>
      </w:tr>
      <w:tr w:rsidR="007D7BB8" w14:paraId="673051E5" w14:textId="77777777">
        <w:tc>
          <w:tcPr>
            <w:tcW w:w="234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5E74C11" w14:textId="77777777" w:rsidR="007D7BB8" w:rsidRDefault="00334B8E">
            <w:r>
              <w:rPr>
                <w:sz w:val="20"/>
                <w:szCs w:val="20"/>
              </w:rPr>
              <w:t>System Complexity / Risk</w:t>
            </w:r>
          </w:p>
        </w:tc>
        <w:tc>
          <w:tcPr>
            <w:tcW w:w="15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55DFA9A" w14:textId="77777777" w:rsidR="007D7BB8" w:rsidRDefault="00334B8E">
            <w:pPr>
              <w:jc w:val="center"/>
            </w:pPr>
            <w:r>
              <w:rPr>
                <w:sz w:val="20"/>
                <w:szCs w:val="20"/>
              </w:rPr>
              <w:t>Low</w:t>
            </w:r>
          </w:p>
        </w:tc>
        <w:tc>
          <w:tcPr>
            <w:tcW w:w="15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16391EF" w14:textId="69754FD1" w:rsidR="00F853F4" w:rsidRPr="00F853F4" w:rsidRDefault="00334B8E" w:rsidP="00F853F4">
            <w:pPr>
              <w:jc w:val="center"/>
              <w:rPr>
                <w:sz w:val="20"/>
                <w:szCs w:val="20"/>
              </w:rPr>
            </w:pPr>
            <w:r>
              <w:rPr>
                <w:sz w:val="20"/>
                <w:szCs w:val="20"/>
              </w:rPr>
              <w:t>Low</w:t>
            </w:r>
          </w:p>
        </w:tc>
        <w:tc>
          <w:tcPr>
            <w:tcW w:w="15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3E222D6" w14:textId="77777777" w:rsidR="007D7BB8" w:rsidRDefault="00334B8E">
            <w:pPr>
              <w:jc w:val="center"/>
            </w:pPr>
            <w:r>
              <w:rPr>
                <w:sz w:val="20"/>
                <w:szCs w:val="20"/>
              </w:rPr>
              <w:t>Moderate</w:t>
            </w:r>
          </w:p>
        </w:tc>
        <w:tc>
          <w:tcPr>
            <w:tcW w:w="234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55F619A" w14:textId="77777777" w:rsidR="007D7BB8" w:rsidRDefault="00334B8E">
            <w:pPr>
              <w:jc w:val="center"/>
            </w:pPr>
            <w:r>
              <w:rPr>
                <w:sz w:val="20"/>
                <w:szCs w:val="20"/>
              </w:rPr>
              <w:t>High</w:t>
            </w:r>
          </w:p>
        </w:tc>
      </w:tr>
    </w:tbl>
    <w:p w14:paraId="43C2AF42" w14:textId="77777777" w:rsidR="007D7BB8" w:rsidRPr="003268DD" w:rsidRDefault="00334B8E">
      <w:pPr>
        <w:spacing w:before="80" w:after="160"/>
        <w:jc w:val="center"/>
        <w:rPr>
          <w:lang w:val="en-US"/>
        </w:rPr>
      </w:pPr>
      <w:r>
        <w:rPr>
          <w:i/>
          <w:iCs/>
          <w:sz w:val="20"/>
          <w:szCs w:val="20"/>
          <w:lang w:val="en-US"/>
        </w:rPr>
        <w:t>Table 1: Comparative performance summary of renovation scenarios across ecological and economic dimensions.</w:t>
      </w:r>
    </w:p>
    <w:p w14:paraId="53180D43" w14:textId="4300B608" w:rsidR="007D7BB8" w:rsidRPr="003268DD" w:rsidRDefault="003973FC" w:rsidP="00C4789A">
      <w:pPr>
        <w:spacing w:after="120" w:line="276" w:lineRule="auto"/>
        <w:jc w:val="both"/>
        <w:rPr>
          <w:lang w:val="en-US"/>
        </w:rPr>
      </w:pPr>
      <w:r>
        <w:rPr>
          <w:lang w:val="en-US"/>
        </w:rPr>
        <w:t>Table1 summarizes the integrated eco-economic comparison; whereby the Medium scenario is identified as achieving the best combined performance. The High scenario dominates ecologically but is less efficient economically; the Low scenario is least burdensome initially but performs worst on both dimensions over the lifecycle.</w:t>
      </w:r>
    </w:p>
    <w:p w14:paraId="5CC1929D" w14:textId="77777777" w:rsidR="007D7BB8" w:rsidRPr="003268DD" w:rsidRDefault="00334B8E">
      <w:pPr>
        <w:pStyle w:val="berschrift1"/>
        <w:rPr>
          <w:lang w:val="en-US"/>
        </w:rPr>
      </w:pPr>
      <w:r>
        <w:rPr>
          <w:lang w:val="en-US"/>
        </w:rPr>
        <w:t>6. EXPERT PERSPECTIVES: BARRIERS AND ENABLERS OF RENOVATION</w:t>
      </w:r>
    </w:p>
    <w:p w14:paraId="0922719F" w14:textId="77777777" w:rsidR="007D7BB8" w:rsidRPr="003268DD" w:rsidRDefault="00334B8E">
      <w:pPr>
        <w:pStyle w:val="berschrift2"/>
        <w:rPr>
          <w:lang w:val="en-US"/>
        </w:rPr>
      </w:pPr>
      <w:r>
        <w:rPr>
          <w:lang w:val="en-US"/>
        </w:rPr>
        <w:t>6.1 Technical and Organisational Barriers</w:t>
      </w:r>
    </w:p>
    <w:p w14:paraId="096D9969" w14:textId="31203F65" w:rsidR="007D7BB8" w:rsidRPr="003268DD" w:rsidRDefault="00334B8E">
      <w:pPr>
        <w:spacing w:after="120" w:line="276" w:lineRule="auto"/>
        <w:jc w:val="both"/>
        <w:rPr>
          <w:lang w:val="en-US"/>
        </w:rPr>
      </w:pPr>
      <w:r>
        <w:rPr>
          <w:lang w:val="en-US"/>
        </w:rPr>
        <w:t>Expert A emphasised a Pareto heuristic: maximum energy demand reduction with minimum necessary intervention. This perspective challenges the assumption that the most technically ambitious renovation is always most appropriate, particularly when organisational complexity and disruption to occupants are factored in. As he observed: “In the vast majority of cases, the high variant is not actually implemented because it is both financially and organisationally demanding.” Expert B illustrated a further constraint: legacy fan-coil systems had reached end-of-service-life with no available spare parts, meaning renovation horizons are sometimes constrained by the physical unavailability of compatible components, independently of financial or regulatory factors.</w:t>
      </w:r>
    </w:p>
    <w:p w14:paraId="0EF966C9" w14:textId="77777777" w:rsidR="007D7BB8" w:rsidRPr="003268DD" w:rsidRDefault="00334B8E">
      <w:pPr>
        <w:pStyle w:val="berschrift2"/>
        <w:rPr>
          <w:lang w:val="en-US"/>
        </w:rPr>
      </w:pPr>
      <w:r>
        <w:rPr>
          <w:lang w:val="en-US"/>
        </w:rPr>
        <w:t>6.2 Governance and Ownership Structures</w:t>
      </w:r>
    </w:p>
    <w:p w14:paraId="10E8EBF6" w14:textId="77777777" w:rsidR="007D7BB8" w:rsidRPr="003268DD" w:rsidRDefault="00334B8E">
      <w:pPr>
        <w:spacing w:after="120" w:line="276" w:lineRule="auto"/>
        <w:jc w:val="both"/>
        <w:rPr>
          <w:lang w:val="en-US"/>
        </w:rPr>
      </w:pPr>
      <w:r>
        <w:rPr>
          <w:lang w:val="en-US"/>
        </w:rPr>
        <w:t xml:space="preserve">Governance emerged as perhaps the most consistently cited barrier across all three interviews. Expert A, drawing on extensive experience with condominium and cooperative housing, observed that shared ownership inherently creates a "lifelong group-dynamic process" in which reaching unanimous or qualified-majority agreement on significant investments is inherently difficult. The dominant question in any owner meeting, he noted, is invariably: "What does the </w:t>
      </w:r>
      <w:r>
        <w:rPr>
          <w:lang w:val="en-US"/>
        </w:rPr>
        <w:lastRenderedPageBreak/>
        <w:t>opportunity cost of renovation?" Long-term thinking about lifecycle costs and energy efficiency is frequently overwhelmed by short-term cost sensitivity.</w:t>
      </w:r>
    </w:p>
    <w:p w14:paraId="52B10605" w14:textId="77777777" w:rsidR="007D7BB8" w:rsidRPr="003268DD" w:rsidRDefault="00334B8E">
      <w:pPr>
        <w:spacing w:after="120" w:line="276" w:lineRule="auto"/>
        <w:jc w:val="both"/>
        <w:rPr>
          <w:lang w:val="en-US"/>
        </w:rPr>
      </w:pPr>
      <w:r>
        <w:rPr>
          <w:lang w:val="en-US"/>
        </w:rPr>
        <w:t>Expert C offered a different but complementary perspective. As sole owner of 100% of each building in the portfolio, the organisation faces none of the coordination problems of split ownership. However, decisions are tightly constrained by Austrian rent law (Österreichisches Mietrecht), which establishes rent ceilings (Richtwertmietzins) limiting the extent to which renovation costs can be recovered through rent increases. This creates a structural disincentive for deep renovation: the investment cannot be fully recouped through revenues. As Expert C explained, the decision to renovate is driven primarily by the imperative to maintain attractiveness and minimise vacancy, rather than by energy efficiency considerations.</w:t>
      </w:r>
    </w:p>
    <w:p w14:paraId="6C40DCDC" w14:textId="2EF03071" w:rsidR="007D7BB8" w:rsidRPr="003268DD" w:rsidRDefault="00334B8E">
      <w:pPr>
        <w:spacing w:after="120" w:line="276" w:lineRule="auto"/>
        <w:jc w:val="both"/>
        <w:rPr>
          <w:lang w:val="en-US"/>
        </w:rPr>
      </w:pPr>
      <w:r>
        <w:rPr>
          <w:lang w:val="en-US"/>
        </w:rPr>
        <w:t>The tension between ownership structure and renovation incentive is widely documented in the housing economics literature and represents a fundamental institutional barrier to deep renovation (Eichhammer et al., 2021). Policy instruments (including renovation subsidies, mandatory minimum energy performance standards for rented properties, and split-incentive mechanisms allowing landlords to recover renovation costs through temporary rent supplements) are identified as potentially effective responses, though their design and implementation remain contested.</w:t>
      </w:r>
    </w:p>
    <w:p w14:paraId="0F65C51B" w14:textId="77777777" w:rsidR="007D7BB8" w:rsidRPr="003268DD" w:rsidRDefault="00334B8E">
      <w:pPr>
        <w:pStyle w:val="berschrift2"/>
        <w:rPr>
          <w:lang w:val="en-US"/>
        </w:rPr>
      </w:pPr>
      <w:r>
        <w:rPr>
          <w:lang w:val="en-US"/>
        </w:rPr>
        <w:t>6.3 Economic Viability and Amortisation</w:t>
      </w:r>
    </w:p>
    <w:p w14:paraId="5CA0662B" w14:textId="03B555A4" w:rsidR="007D7BB8" w:rsidRPr="003268DD" w:rsidRDefault="00334B8E" w:rsidP="00C4789A">
      <w:pPr>
        <w:spacing w:after="120" w:line="276" w:lineRule="auto"/>
        <w:jc w:val="both"/>
        <w:rPr>
          <w:lang w:val="en-US"/>
        </w:rPr>
      </w:pPr>
      <w:r>
        <w:rPr>
          <w:lang w:val="en-US"/>
        </w:rPr>
        <w:t>All three experts agreed that amortisation periods of 10–15 years are required for individual systems, effectively unachievable for thermal renovation measures given current construction costs and energy prices. Expert C confirmed that deep energy renovation is generally not undertaken unless required for legal compliance or building condition: in a regulated rental market, returns are insufficient to justify the investment. For public institutional owners (Expert B), the obligation to decarbonise exists but budget cycles and the general contractor procurement model systematically favour comprehensive system replacement over more targeted, material-minimising approaches.</w:t>
      </w:r>
    </w:p>
    <w:p w14:paraId="107C7244" w14:textId="77777777" w:rsidR="007D7BB8" w:rsidRPr="003268DD" w:rsidRDefault="00334B8E">
      <w:pPr>
        <w:pStyle w:val="berschrift2"/>
        <w:rPr>
          <w:lang w:val="en-US"/>
        </w:rPr>
      </w:pPr>
      <w:r>
        <w:rPr>
          <w:lang w:val="en-US"/>
        </w:rPr>
        <w:t>6.4 User Behaviour and Social Dimensions</w:t>
      </w:r>
    </w:p>
    <w:p w14:paraId="11384ABC" w14:textId="238A3131" w:rsidR="007D7BB8" w:rsidRPr="003268DD" w:rsidRDefault="00334B8E">
      <w:pPr>
        <w:spacing w:after="120" w:line="276" w:lineRule="auto"/>
        <w:jc w:val="both"/>
        <w:rPr>
          <w:lang w:val="en-US"/>
        </w:rPr>
      </w:pPr>
      <w:r>
        <w:rPr>
          <w:lang w:val="en-US"/>
        </w:rPr>
        <w:t xml:space="preserve">Expert A identified the interface between technical systems and occupant behaviour as a critical determinant of actual renovation outcomes. Modern building systems (heat pumps, mechanical ventilation, sophisticated controls) require a level of user understanding that many occupants lack. Poorly explained systems are frequently misused: thermostatic valves set incorrectly, ventilation operated at full capacity regardless of occupancy, heating and cooling modes switched inappropriately. Expert A observed: "You must give them a manual. They need to understand the connections." The absence of post-occupancy monitoring and commissioning </w:t>
      </w:r>
      <w:r w:rsidR="00404A2F">
        <w:rPr>
          <w:lang w:val="en-US"/>
        </w:rPr>
        <w:t>(</w:t>
      </w:r>
      <w:r>
        <w:rPr>
          <w:lang w:val="en-US"/>
        </w:rPr>
        <w:t>typically driven by budget constraints</w:t>
      </w:r>
      <w:r w:rsidR="00404A2F">
        <w:rPr>
          <w:lang w:val="en-US"/>
        </w:rPr>
        <w:t>)</w:t>
      </w:r>
      <w:r>
        <w:rPr>
          <w:lang w:val="en-US"/>
        </w:rPr>
        <w:t xml:space="preserve"> means that the gap between planned and actual energy savings is often large and unaddressed.</w:t>
      </w:r>
    </w:p>
    <w:p w14:paraId="3797D255" w14:textId="795F4D5F" w:rsidR="007D7BB8" w:rsidRPr="003268DD" w:rsidRDefault="00334B8E">
      <w:pPr>
        <w:spacing w:after="120" w:line="276" w:lineRule="auto"/>
        <w:jc w:val="both"/>
        <w:rPr>
          <w:lang w:val="en-US"/>
        </w:rPr>
      </w:pPr>
      <w:r>
        <w:rPr>
          <w:lang w:val="en-US"/>
        </w:rPr>
        <w:t xml:space="preserve">Comfort was identified as the primary lever through which occupant acceptance of renovation is obtained. Residents who experience tangible improvements in thermal comfort, air quality, or acoustic performance are more likely to engage positively with renovation measures and operate installed systems correctly. This implies that simpler, more robust systems delivering reliable comfort improvements may outperform complex systems that require high levels of </w:t>
      </w:r>
      <w:r>
        <w:rPr>
          <w:lang w:val="en-US"/>
        </w:rPr>
        <w:lastRenderedPageBreak/>
        <w:t>user engagement under real-world conditions. It should be noted, however, that these observations derive entirely from expert inference: no occupants or tenants were interviewed in this study. The extent to which these assessments reflect actual resident experience and preferences remains an open empirical question and constitutes a central limitation of the qualitative evidence base (see Section 7.6).</w:t>
      </w:r>
    </w:p>
    <w:p w14:paraId="566CDE05" w14:textId="77777777" w:rsidR="007D7BB8" w:rsidRPr="003268DD" w:rsidRDefault="00334B8E">
      <w:pPr>
        <w:pStyle w:val="berschrift2"/>
        <w:rPr>
          <w:lang w:val="en-US"/>
        </w:rPr>
      </w:pPr>
      <w:r>
        <w:rPr>
          <w:lang w:val="en-US"/>
        </w:rPr>
        <w:t>6.5 Regulatory and Policy Context</w:t>
      </w:r>
    </w:p>
    <w:p w14:paraId="298E492C" w14:textId="656FA75A" w:rsidR="007D7BB8" w:rsidRPr="003268DD" w:rsidRDefault="00EA0441">
      <w:pPr>
        <w:spacing w:after="120" w:line="276" w:lineRule="auto"/>
        <w:jc w:val="both"/>
        <w:rPr>
          <w:lang w:val="en-US"/>
        </w:rPr>
      </w:pPr>
      <w:r>
        <w:rPr>
          <w:lang w:val="en-US"/>
        </w:rPr>
        <w:t>The interviewees consistently referenced the regulatory framework as a key shaper of renovation decisions. Growing stringency of fire safety, accessibility, and seismic requirements frequently triggers comprehensive structural upgrades from modest interventions; heritage protection can render renovation uneconomical compared to adaptive reuse (Expert C). The Austrian legal framework for shared ownership (Wohnungseigentumsgesetz) imposes procedural delays where qualified-majority agreement is absent, a threshold Austria is considering lowering, following German and French reforms. Subsidy programmes across federal, Bundesland, and municipal levels significantly influence renovation timing and scope, but subsidy dependency carries its own risk: projects unviable without current support may become stranded when programmes change.</w:t>
      </w:r>
    </w:p>
    <w:p w14:paraId="420383A2" w14:textId="77777777" w:rsidR="007D7BB8" w:rsidRPr="003268DD" w:rsidRDefault="00334B8E">
      <w:pPr>
        <w:pStyle w:val="berschrift2"/>
        <w:rPr>
          <w:lang w:val="en-US"/>
        </w:rPr>
      </w:pPr>
      <w:r>
        <w:rPr>
          <w:lang w:val="en-US"/>
        </w:rPr>
        <w:t>6.6 Implementation Constraints, Hurdles, and Thresholds</w:t>
      </w:r>
    </w:p>
    <w:p w14:paraId="1BDDB6CB" w14:textId="169EC6A2" w:rsidR="007D7BB8" w:rsidRPr="003268DD" w:rsidRDefault="00334B8E">
      <w:pPr>
        <w:spacing w:after="120" w:line="276" w:lineRule="auto"/>
        <w:jc w:val="both"/>
        <w:rPr>
          <w:lang w:val="en-US"/>
        </w:rPr>
      </w:pPr>
      <w:r w:rsidRPr="006B57B4">
        <w:rPr>
          <w:lang w:val="en-US"/>
        </w:rPr>
        <w:t>The recurring implementability barriers identified across all three interviews are mapped in Table 2 onto the five-dimension framework introduced in Section 2.3.4. The analytical value of this mapping lies in identifying convergence: the most difficult cases arise where multiple threshold dimensions simultaneously approach their limits</w:t>
      </w:r>
      <w:r w:rsidR="00404A2F" w:rsidRPr="006B57B4">
        <w:rPr>
          <w:lang w:val="en-US"/>
        </w:rPr>
        <w:t xml:space="preserve">, </w:t>
      </w:r>
      <w:r w:rsidRPr="006B57B4">
        <w:rPr>
          <w:lang w:val="en-US"/>
        </w:rPr>
        <w:t xml:space="preserve">precisely the situation that </w:t>
      </w:r>
      <w:proofErr w:type="spellStart"/>
      <w:r w:rsidRPr="006B57B4">
        <w:rPr>
          <w:lang w:val="en-US"/>
        </w:rPr>
        <w:t>characterises</w:t>
      </w:r>
      <w:proofErr w:type="spellEnd"/>
      <w:r w:rsidRPr="006B57B4">
        <w:rPr>
          <w:lang w:val="en-US"/>
        </w:rPr>
        <w:t xml:space="preserve"> the High scenario in this case study.</w:t>
      </w:r>
    </w:p>
    <w:p w14:paraId="23BA5487" w14:textId="77777777" w:rsidR="007D7BB8" w:rsidRPr="003268DD" w:rsidRDefault="007D7BB8">
      <w:pPr>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860"/>
      </w:tblGrid>
      <w:tr w:rsidR="007D7BB8" w14:paraId="2C5564C6" w14:textId="77777777">
        <w:trPr>
          <w:tblHeader/>
        </w:trPr>
        <w:tc>
          <w:tcPr>
            <w:tcW w:w="3500" w:type="dxa"/>
            <w:tcBorders>
              <w:top w:val="single" w:sz="1" w:space="0" w:color="999999"/>
              <w:left w:val="single" w:sz="1" w:space="0" w:color="999999"/>
              <w:bottom w:val="single" w:sz="1" w:space="0" w:color="999999"/>
              <w:right w:val="single" w:sz="1" w:space="0" w:color="999999"/>
            </w:tcBorders>
            <w:shd w:val="clear" w:color="auto" w:fill="D5E8F0"/>
            <w:tcMar>
              <w:top w:w="80" w:type="dxa"/>
              <w:left w:w="120" w:type="dxa"/>
              <w:bottom w:w="80" w:type="dxa"/>
              <w:right w:w="120" w:type="dxa"/>
            </w:tcMar>
          </w:tcPr>
          <w:p w14:paraId="3E497D29" w14:textId="77777777" w:rsidR="007D7BB8" w:rsidRDefault="00334B8E">
            <w:r>
              <w:rPr>
                <w:b/>
                <w:bCs/>
                <w:sz w:val="20"/>
                <w:szCs w:val="20"/>
              </w:rPr>
              <w:t>Main Category</w:t>
            </w:r>
          </w:p>
        </w:tc>
        <w:tc>
          <w:tcPr>
            <w:tcW w:w="5860" w:type="dxa"/>
            <w:tcBorders>
              <w:top w:val="single" w:sz="1" w:space="0" w:color="999999"/>
              <w:left w:val="single" w:sz="1" w:space="0" w:color="999999"/>
              <w:bottom w:val="single" w:sz="1" w:space="0" w:color="999999"/>
              <w:right w:val="single" w:sz="1" w:space="0" w:color="999999"/>
            </w:tcBorders>
            <w:shd w:val="clear" w:color="auto" w:fill="D5E8F0"/>
            <w:tcMar>
              <w:top w:w="80" w:type="dxa"/>
              <w:left w:w="120" w:type="dxa"/>
              <w:bottom w:w="80" w:type="dxa"/>
              <w:right w:w="120" w:type="dxa"/>
            </w:tcMar>
          </w:tcPr>
          <w:p w14:paraId="245357A0" w14:textId="77777777" w:rsidR="007D7BB8" w:rsidRDefault="00334B8E">
            <w:r>
              <w:rPr>
                <w:b/>
                <w:bCs/>
                <w:sz w:val="20"/>
                <w:szCs w:val="20"/>
              </w:rPr>
              <w:t>Subcategory</w:t>
            </w:r>
          </w:p>
        </w:tc>
      </w:tr>
      <w:tr w:rsidR="007D7BB8" w:rsidRPr="00917780" w14:paraId="3B93C2D9" w14:textId="77777777">
        <w:tc>
          <w:tcPr>
            <w:tcW w:w="35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307DCFD" w14:textId="77777777" w:rsidR="007D7BB8" w:rsidRPr="003268DD" w:rsidRDefault="00334B8E">
            <w:pPr>
              <w:rPr>
                <w:lang w:val="en-US"/>
              </w:rPr>
            </w:pPr>
            <w:r>
              <w:rPr>
                <w:b/>
                <w:bCs/>
                <w:sz w:val="20"/>
                <w:szCs w:val="20"/>
                <w:lang w:val="en-US"/>
              </w:rPr>
              <w:t>Governance alignment</w:t>
            </w:r>
          </w:p>
        </w:tc>
        <w:tc>
          <w:tcPr>
            <w:tcW w:w="58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FB5C6AD" w14:textId="77777777" w:rsidR="007D7BB8" w:rsidRPr="003268DD" w:rsidRDefault="00334B8E">
            <w:pPr>
              <w:rPr>
                <w:lang w:val="en-US"/>
              </w:rPr>
            </w:pPr>
            <w:r>
              <w:rPr>
                <w:sz w:val="20"/>
                <w:szCs w:val="20"/>
                <w:lang w:val="en-US"/>
              </w:rPr>
              <w:t>Decision fragmentation in split ownership; coordination effort; communicability of complex measures; qualified-majority thresholds for renovation decisions</w:t>
            </w:r>
          </w:p>
        </w:tc>
      </w:tr>
      <w:tr w:rsidR="007D7BB8" w:rsidRPr="00917780" w14:paraId="01A0795D" w14:textId="77777777">
        <w:tc>
          <w:tcPr>
            <w:tcW w:w="35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EA6DD2B" w14:textId="77777777" w:rsidR="007D7BB8" w:rsidRDefault="00334B8E">
            <w:proofErr w:type="spellStart"/>
            <w:r>
              <w:rPr>
                <w:b/>
                <w:bCs/>
                <w:sz w:val="20"/>
                <w:szCs w:val="20"/>
              </w:rPr>
              <w:t>Institutional</w:t>
            </w:r>
            <w:proofErr w:type="spellEnd"/>
            <w:r>
              <w:rPr>
                <w:b/>
                <w:bCs/>
                <w:sz w:val="20"/>
                <w:szCs w:val="20"/>
              </w:rPr>
              <w:t xml:space="preserve"> </w:t>
            </w:r>
            <w:proofErr w:type="spellStart"/>
            <w:r>
              <w:rPr>
                <w:b/>
                <w:bCs/>
                <w:sz w:val="20"/>
                <w:szCs w:val="20"/>
              </w:rPr>
              <w:t>permissibility</w:t>
            </w:r>
            <w:proofErr w:type="spellEnd"/>
          </w:p>
        </w:tc>
        <w:tc>
          <w:tcPr>
            <w:tcW w:w="58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27F8865" w14:textId="77777777" w:rsidR="007D7BB8" w:rsidRPr="003268DD" w:rsidRDefault="00334B8E">
            <w:pPr>
              <w:rPr>
                <w:lang w:val="en-US"/>
              </w:rPr>
            </w:pPr>
            <w:r>
              <w:rPr>
                <w:sz w:val="20"/>
                <w:szCs w:val="20"/>
                <w:lang w:val="en-US"/>
              </w:rPr>
              <w:t>MRG rent ceilings limiting cost recovery; heritage protection obligations; fire safety and seismic upgrade triggers; subsidy dependency and programme discontinuity risk; informal norms of risk aversion and incremental renovation cultures</w:t>
            </w:r>
          </w:p>
        </w:tc>
      </w:tr>
      <w:tr w:rsidR="007D7BB8" w:rsidRPr="00917780" w14:paraId="7DD09620" w14:textId="77777777">
        <w:tc>
          <w:tcPr>
            <w:tcW w:w="35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45CA321" w14:textId="77777777" w:rsidR="007D7BB8" w:rsidRPr="003268DD" w:rsidRDefault="00334B8E">
            <w:pPr>
              <w:rPr>
                <w:lang w:val="en-US"/>
              </w:rPr>
            </w:pPr>
            <w:r>
              <w:rPr>
                <w:b/>
                <w:bCs/>
                <w:sz w:val="20"/>
                <w:szCs w:val="20"/>
                <w:lang w:val="en-US"/>
              </w:rPr>
              <w:t>Financing capacity</w:t>
            </w:r>
          </w:p>
        </w:tc>
        <w:tc>
          <w:tcPr>
            <w:tcW w:w="58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0EAE142" w14:textId="77777777" w:rsidR="007D7BB8" w:rsidRPr="003268DD" w:rsidRDefault="00334B8E">
            <w:pPr>
              <w:rPr>
                <w:lang w:val="en-US"/>
              </w:rPr>
            </w:pPr>
            <w:r>
              <w:rPr>
                <w:sz w:val="20"/>
                <w:szCs w:val="20"/>
                <w:lang w:val="en-US"/>
              </w:rPr>
              <w:t>Investment hurdle relative to rent recovery capacity; economic asymmetry between owner (investment) and tenant (savings); high discount rate logic of private investors; refinancing limits under current rent regulation; technological uncertainty affecting long-term cost projections</w:t>
            </w:r>
          </w:p>
        </w:tc>
      </w:tr>
      <w:tr w:rsidR="007D7BB8" w:rsidRPr="00917780" w14:paraId="5AC43068" w14:textId="77777777">
        <w:tc>
          <w:tcPr>
            <w:tcW w:w="35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61C367F" w14:textId="77777777" w:rsidR="007D7BB8" w:rsidRPr="003268DD" w:rsidRDefault="00334B8E">
            <w:pPr>
              <w:rPr>
                <w:lang w:val="en-US"/>
              </w:rPr>
            </w:pPr>
            <w:r>
              <w:rPr>
                <w:b/>
                <w:bCs/>
                <w:sz w:val="20"/>
                <w:szCs w:val="20"/>
                <w:lang w:val="en-US"/>
              </w:rPr>
              <w:t>Operational manageability</w:t>
            </w:r>
          </w:p>
        </w:tc>
        <w:tc>
          <w:tcPr>
            <w:tcW w:w="58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3637D21" w14:textId="77777777" w:rsidR="007D7BB8" w:rsidRPr="003268DD" w:rsidRDefault="00334B8E">
            <w:pPr>
              <w:rPr>
                <w:lang w:val="en-US"/>
              </w:rPr>
            </w:pPr>
            <w:r>
              <w:rPr>
                <w:sz w:val="20"/>
                <w:szCs w:val="20"/>
                <w:lang w:val="en-US"/>
              </w:rPr>
              <w:t>System complexity of heat pumps and ventilation; short service lives of technical components (15–20 years); expertise and support capacity; organisational carrying capacity; legacy system exhaustion and component unavailability; planning and commissioning quality as cost risk</w:t>
            </w:r>
          </w:p>
        </w:tc>
      </w:tr>
      <w:tr w:rsidR="007D7BB8" w:rsidRPr="00917780" w14:paraId="1D6D67C8" w14:textId="77777777">
        <w:tc>
          <w:tcPr>
            <w:tcW w:w="350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381E252" w14:textId="77777777" w:rsidR="007D7BB8" w:rsidRPr="003268DD" w:rsidRDefault="00334B8E">
            <w:pPr>
              <w:rPr>
                <w:lang w:val="en-US"/>
              </w:rPr>
            </w:pPr>
            <w:r>
              <w:rPr>
                <w:b/>
                <w:bCs/>
                <w:sz w:val="20"/>
                <w:szCs w:val="20"/>
                <w:lang w:val="en-US"/>
              </w:rPr>
              <w:t>Occupant compatibility</w:t>
            </w:r>
          </w:p>
        </w:tc>
        <w:tc>
          <w:tcPr>
            <w:tcW w:w="58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8D423C8" w14:textId="77777777" w:rsidR="007D7BB8" w:rsidRPr="003268DD" w:rsidRDefault="00334B8E">
            <w:pPr>
              <w:rPr>
                <w:lang w:val="en-US"/>
              </w:rPr>
            </w:pPr>
            <w:r>
              <w:rPr>
                <w:sz w:val="20"/>
                <w:szCs w:val="20"/>
                <w:lang w:val="en-US"/>
              </w:rPr>
              <w:t xml:space="preserve">Disruption to residents during construction; utilisation discipline required by complex systems (heat pumps, ventilation); perceived user benefit; life-stage sensitivity; absence of post-occupancy </w:t>
            </w:r>
            <w:r>
              <w:rPr>
                <w:sz w:val="20"/>
                <w:szCs w:val="20"/>
                <w:lang w:val="en-US"/>
              </w:rPr>
              <w:lastRenderedPageBreak/>
              <w:t>commissioning; gap between planned and actual energy savings (based on expert inference; direct resident evidence absent)</w:t>
            </w:r>
          </w:p>
        </w:tc>
      </w:tr>
    </w:tbl>
    <w:p w14:paraId="24931852" w14:textId="77777777" w:rsidR="007D7BB8" w:rsidRDefault="00334B8E">
      <w:pPr>
        <w:spacing w:before="80" w:after="160"/>
        <w:jc w:val="center"/>
        <w:rPr>
          <w:i/>
          <w:iCs/>
          <w:sz w:val="20"/>
          <w:szCs w:val="20"/>
          <w:lang w:val="en-US"/>
        </w:rPr>
      </w:pPr>
      <w:r>
        <w:rPr>
          <w:i/>
          <w:iCs/>
          <w:sz w:val="20"/>
          <w:szCs w:val="20"/>
          <w:lang w:val="en-US"/>
        </w:rPr>
        <w:lastRenderedPageBreak/>
        <w:t xml:space="preserve">Table 2: </w:t>
      </w:r>
      <w:proofErr w:type="spellStart"/>
      <w:r>
        <w:rPr>
          <w:i/>
          <w:iCs/>
          <w:sz w:val="20"/>
          <w:szCs w:val="20"/>
          <w:lang w:val="en-US"/>
        </w:rPr>
        <w:t>Implementability</w:t>
      </w:r>
      <w:proofErr w:type="spellEnd"/>
      <w:r>
        <w:rPr>
          <w:i/>
          <w:iCs/>
          <w:sz w:val="20"/>
          <w:szCs w:val="20"/>
          <w:lang w:val="en-US"/>
        </w:rPr>
        <w:t xml:space="preserve"> barriers mapped onto the five-dimension framework, from expert interviews.</w:t>
      </w:r>
    </w:p>
    <w:p w14:paraId="186B87D3" w14:textId="77777777" w:rsidR="00C4789A" w:rsidRPr="003268DD" w:rsidRDefault="00C4789A">
      <w:pPr>
        <w:spacing w:before="80" w:after="160"/>
        <w:jc w:val="center"/>
        <w:rPr>
          <w:lang w:val="en-US"/>
        </w:rPr>
      </w:pPr>
    </w:p>
    <w:p w14:paraId="6336491F" w14:textId="77777777" w:rsidR="007D7BB8" w:rsidRPr="003268DD" w:rsidRDefault="00334B8E">
      <w:pPr>
        <w:pStyle w:val="berschrift1"/>
        <w:rPr>
          <w:lang w:val="en-US"/>
        </w:rPr>
      </w:pPr>
      <w:r>
        <w:rPr>
          <w:lang w:val="en-US"/>
        </w:rPr>
        <w:t>7. DISCUSSION</w:t>
      </w:r>
    </w:p>
    <w:p w14:paraId="34A00B12" w14:textId="77777777" w:rsidR="007D7BB8" w:rsidRPr="003268DD" w:rsidRDefault="00334B8E">
      <w:pPr>
        <w:pStyle w:val="berschrift2"/>
        <w:rPr>
          <w:lang w:val="en-US"/>
        </w:rPr>
      </w:pPr>
      <w:r>
        <w:rPr>
          <w:lang w:val="en-US"/>
        </w:rPr>
        <w:t>7.1 Beyond Technical Optimisation: The Limits of Performance Logic</w:t>
      </w:r>
    </w:p>
    <w:p w14:paraId="7AD57F16" w14:textId="0B64A519" w:rsidR="007D7BB8" w:rsidRPr="003268DD" w:rsidRDefault="00334B8E">
      <w:pPr>
        <w:spacing w:after="120" w:line="276" w:lineRule="auto"/>
        <w:jc w:val="both"/>
        <w:rPr>
          <w:lang w:val="en-US"/>
        </w:rPr>
      </w:pPr>
      <w:r>
        <w:rPr>
          <w:lang w:val="en-US"/>
        </w:rPr>
        <w:t>The results first challenge the assumption, implicit in much of the literature, that the advantage of a retrofit pathway automatically increases with intervention depth. The present use case shows that deep retrofits do not necessarily produce the best overall results. The interaction between the underlying energy mix and GWP</w:t>
      </w:r>
      <w:r>
        <w:rPr>
          <w:vertAlign w:val="subscript"/>
          <w:lang w:val="en-US"/>
        </w:rPr>
        <w:t>operational</w:t>
      </w:r>
      <w:r>
        <w:rPr>
          <w:lang w:val="en-US"/>
        </w:rPr>
        <w:t xml:space="preserve"> meant that, in this case, the Medium scenario performed better than the High scenario environmentally. Retrofit strategies cannot therefore be assessed through a linear logic of "more intervention equals better outcome."</w:t>
      </w:r>
    </w:p>
    <w:p w14:paraId="6B796F1E" w14:textId="10F5745E" w:rsidR="007D7BB8" w:rsidRPr="003268DD" w:rsidRDefault="00334B8E">
      <w:pPr>
        <w:spacing w:after="120" w:line="276" w:lineRule="auto"/>
        <w:jc w:val="both"/>
        <w:rPr>
          <w:lang w:val="en-US"/>
        </w:rPr>
      </w:pPr>
      <w:r>
        <w:rPr>
          <w:lang w:val="en-US"/>
        </w:rPr>
        <w:t>A further issue is the fundamental trade-off between GWP</w:t>
      </w:r>
      <w:r>
        <w:rPr>
          <w:vertAlign w:val="subscript"/>
          <w:lang w:val="en-US"/>
        </w:rPr>
        <w:t>embodied</w:t>
      </w:r>
      <w:r>
        <w:rPr>
          <w:lang w:val="en-US"/>
        </w:rPr>
        <w:t xml:space="preserve"> and GWP</w:t>
      </w:r>
      <w:r>
        <w:rPr>
          <w:vertAlign w:val="subscript"/>
          <w:lang w:val="en-US"/>
        </w:rPr>
        <w:t>operational</w:t>
      </w:r>
      <w:r>
        <w:rPr>
          <w:lang w:val="en-US"/>
        </w:rPr>
        <w:t>. Which scenario appears preferable depends substantially on assumed service lives of materials, replacement cycles, and the chosen assessment period. A more relevant question is which time horizons actually shape real decision-making. Owners, asset holders, and residents rarely think in 50- or 100-year periods; assessment periods should therefore be aligned more closely with concrete use situations, investment logics, and expected holding periods.</w:t>
      </w:r>
    </w:p>
    <w:p w14:paraId="2CA8C2F7" w14:textId="77777777" w:rsidR="007D7BB8" w:rsidRPr="003268DD" w:rsidRDefault="00334B8E">
      <w:pPr>
        <w:spacing w:after="120" w:line="276" w:lineRule="auto"/>
        <w:jc w:val="both"/>
        <w:rPr>
          <w:lang w:val="en-US"/>
        </w:rPr>
      </w:pPr>
      <w:r>
        <w:rPr>
          <w:lang w:val="en-US"/>
        </w:rPr>
        <w:t>The same applies to affordability. In existing buildings, economic viability is strongly shaped by real refinancing conditions: limited possibilities for rent adjustment, benchmark-based rent structures, high construction costs, and the risk of additional burdens during the construction phase can significantly reduce the viability of deep retrofits. The economic feasibility of deep retrofit is not only a question of absolute investment levels, but is closely tied to the institutional framework of tenancy and property law.</w:t>
      </w:r>
    </w:p>
    <w:p w14:paraId="614C5B51" w14:textId="5F44AF8B" w:rsidR="007D7BB8" w:rsidRPr="003268DD" w:rsidRDefault="00667895" w:rsidP="00667895">
      <w:pPr>
        <w:spacing w:after="120" w:line="276" w:lineRule="auto"/>
        <w:rPr>
          <w:lang w:val="en-US"/>
        </w:rPr>
      </w:pPr>
      <w:r>
        <w:rPr>
          <w:lang w:val="en-US"/>
        </w:rPr>
        <w:t>The quantitative and qualitative results produce a revealing conflict: LCA and LCC identify Medium as optimal, yet experts indicate Low as the most frequent real outcome, because the institutional, financial, and organisational conditions that make Medium viable on paper rarely hold in the occupied building context. High performs best in selected energy indicators but is characterised as the least implementable option in practice. This divergence between modelled optimality and practical viability is the analytical core of the paper, and precisely the gap the concept of implementability is designed to make visible.</w:t>
      </w:r>
    </w:p>
    <w:p w14:paraId="614C5B50" w14:textId="77777777" w:rsidR="007D7BB8" w:rsidRPr="003268DD" w:rsidRDefault="00334B8E">
      <w:pPr>
        <w:pStyle w:val="berschrift2"/>
        <w:rPr>
          <w:lang w:val="en-US"/>
        </w:rPr>
      </w:pPr>
      <w:r>
        <w:rPr>
          <w:lang w:val="en-US"/>
        </w:rPr>
        <w:t>7.2 Decision Space Narrowing and the Logic of Existing-Stock Rationality</w:t>
      </w:r>
    </w:p>
    <w:p w14:paraId="4958073F" w14:textId="77777777" w:rsidR="007D7BB8" w:rsidRPr="003268DD" w:rsidRDefault="00334B8E">
      <w:pPr>
        <w:spacing w:after="120" w:line="276" w:lineRule="auto"/>
        <w:jc w:val="both"/>
        <w:rPr>
          <w:lang w:val="en-US"/>
        </w:rPr>
      </w:pPr>
      <w:r>
        <w:rPr>
          <w:lang w:val="en-US"/>
        </w:rPr>
        <w:t xml:space="preserve">The results suggest that the real decision space is considerably narrower than the range of options initially indicated by technical and economic models. Which scenario remains a real option is determined not only by its calculated advantage, but by its stability in the interaction between technical, economic, and socio-governance logics. Path dependency is a further relevant finding: earlier partial measures can make later deep retrofits more difficult, because with each intervention already carried out, the economic and organisational willingness to </w:t>
      </w:r>
      <w:r>
        <w:rPr>
          <w:lang w:val="en-US"/>
        </w:rPr>
        <w:lastRenderedPageBreak/>
        <w:t>intervene again at a fundamental level tends to decline. Shallow retrofits may therefore be plausible and rational in the short term while producing lock-in effects in the longer term.</w:t>
      </w:r>
    </w:p>
    <w:p w14:paraId="511AC70A" w14:textId="77777777" w:rsidR="007D7BB8" w:rsidRPr="003268DD" w:rsidRDefault="00334B8E">
      <w:pPr>
        <w:spacing w:after="120" w:line="276" w:lineRule="auto"/>
        <w:jc w:val="both"/>
        <w:rPr>
          <w:lang w:val="en-US"/>
        </w:rPr>
      </w:pPr>
      <w:r>
        <w:rPr>
          <w:lang w:val="en-US"/>
        </w:rPr>
        <w:t>Against this background, the Low scenario does not appear merely as a suboptimal result. It appears instead as the expression of a specific existing-stock rationality: low vacancy risk, preservation of rentability, limited interference with tenancy relations, limited refinancing capacity, and avoidance of organisational overload. A further challenge concerns the infrastructural embedding of decarbonisation itself: access to district heating can become constrained where connection options are missing or capacity limits are approached, and district heating cannot automatically be labelled low-emission as long as its generation remains partly fossil-dependent.</w:t>
      </w:r>
    </w:p>
    <w:p w14:paraId="0B52AB98" w14:textId="77777777" w:rsidR="007D7BB8" w:rsidRPr="003268DD" w:rsidRDefault="00334B8E">
      <w:pPr>
        <w:pStyle w:val="berschrift2"/>
        <w:rPr>
          <w:lang w:val="en-US"/>
        </w:rPr>
      </w:pPr>
      <w:r>
        <w:rPr>
          <w:lang w:val="en-US"/>
        </w:rPr>
        <w:t>7.3 Alignment of Ecological and Economic Optima</w:t>
      </w:r>
    </w:p>
    <w:p w14:paraId="7D8D9B57" w14:textId="77777777" w:rsidR="007D7BB8" w:rsidRPr="003268DD" w:rsidRDefault="00334B8E">
      <w:pPr>
        <w:spacing w:after="120" w:line="276" w:lineRule="auto"/>
        <w:jc w:val="both"/>
        <w:rPr>
          <w:lang w:val="en-US"/>
        </w:rPr>
      </w:pPr>
      <w:r>
        <w:rPr>
          <w:lang w:val="en-US"/>
        </w:rPr>
        <w:t>The integrated assessment reveals a nuanced picture: the ecological optimum (High scenario) does not coincide with the economic optimum (Medium scenario) under baseline assumptions. This finding is consistent with the broader literature on sustainable renovation, which frequently identifies tension between climate policy ambition and the financial constraints of individual building owners (Eichhammer et al., 2021). The Medium scenario represents a pragmatic convergence of ecological progress and economic viability, achieving substantial reductions in energy demand and environmental impact at a lifecycle cost demonstrably superior to both the minimal-intervention and maximally ambitious alternatives.</w:t>
      </w:r>
    </w:p>
    <w:p w14:paraId="3C8D507E" w14:textId="77777777" w:rsidR="007D7BB8" w:rsidRPr="003268DD" w:rsidRDefault="00334B8E">
      <w:pPr>
        <w:spacing w:after="120" w:line="276" w:lineRule="auto"/>
        <w:jc w:val="both"/>
        <w:rPr>
          <w:lang w:val="en-US"/>
        </w:rPr>
      </w:pPr>
      <w:r>
        <w:rPr>
          <w:lang w:val="en-US"/>
        </w:rPr>
        <w:t>The relative ranking of scenarios is sensitive to assumptions about energy price trajectories, discount rates, and system service lives. Under scenarios of sustained high energy prices or low discount rates reflecting social rather than private valuation of future costs, the High scenario becomes increasingly cost-competitive. This underscores the importance of presenting lifecycle cost results as ranges rather than point estimates, and of explicitly testing the robustness of scenario rankings to key parameter variations.</w:t>
      </w:r>
    </w:p>
    <w:p w14:paraId="1455BD3B" w14:textId="77777777" w:rsidR="007D7BB8" w:rsidRPr="003268DD" w:rsidRDefault="00334B8E">
      <w:pPr>
        <w:pStyle w:val="berschrift2"/>
        <w:rPr>
          <w:lang w:val="en-US"/>
        </w:rPr>
      </w:pPr>
      <w:r>
        <w:rPr>
          <w:lang w:val="en-US"/>
        </w:rPr>
        <w:t>7.4 Policy Implications and Scalability</w:t>
      </w:r>
    </w:p>
    <w:p w14:paraId="3849308A" w14:textId="0503CC38" w:rsidR="007D7BB8" w:rsidRPr="003268DD" w:rsidRDefault="00334B8E">
      <w:pPr>
        <w:spacing w:after="120" w:line="276" w:lineRule="auto"/>
        <w:jc w:val="both"/>
        <w:rPr>
          <w:lang w:val="en-US"/>
        </w:rPr>
      </w:pPr>
      <w:r>
        <w:rPr>
          <w:lang w:val="en-US"/>
        </w:rPr>
        <w:t>Three policy priorities follow from these findings. First, mandatory lifecycle cost disclosure for renovation projects would correct the systematic bias of investment-cost-only evaluation against deeper renovation. Second, split-incentive instruments (green renovation premiums, performance-linked subsidies, reformed rent-setting mechanisms) are needed to bridge the gap between owners who invest and tenants who benefit. Third, lowering qualified-majority thresholds for energy renovation decisions in condominiums would reduce governance fragmentation. At district scale, serial renovation approaches (prefabricated façade modules) only realise efficiency gains across entire blocks; single-ownership social housing (Gemeindebau) offers structural advantage here, though institutional procurement practices remain a constraint.</w:t>
      </w:r>
    </w:p>
    <w:p w14:paraId="14D40CF1" w14:textId="77ED2B43" w:rsidR="007D7BB8" w:rsidRPr="003268DD" w:rsidRDefault="00334B8E">
      <w:pPr>
        <w:pStyle w:val="berschrift2"/>
        <w:rPr>
          <w:lang w:val="en-US"/>
        </w:rPr>
      </w:pPr>
      <w:r>
        <w:rPr>
          <w:lang w:val="en-US"/>
        </w:rPr>
        <w:t>7.</w:t>
      </w:r>
      <w:r w:rsidR="00705442">
        <w:rPr>
          <w:lang w:val="en-US"/>
        </w:rPr>
        <w:t>5</w:t>
      </w:r>
      <w:r>
        <w:rPr>
          <w:lang w:val="en-US"/>
        </w:rPr>
        <w:t xml:space="preserve"> Limitations</w:t>
      </w:r>
    </w:p>
    <w:p w14:paraId="1931544D" w14:textId="19211D7D" w:rsidR="007D7BB8" w:rsidRPr="003268DD" w:rsidRDefault="00334B8E" w:rsidP="00C4789A">
      <w:pPr>
        <w:spacing w:after="120" w:line="276" w:lineRule="auto"/>
        <w:jc w:val="both"/>
        <w:rPr>
          <w:lang w:val="en-US"/>
        </w:rPr>
      </w:pPr>
      <w:r>
        <w:rPr>
          <w:lang w:val="en-US"/>
        </w:rPr>
        <w:t xml:space="preserve">Several limitations of the present study should be acknowledged. The LCC analysis is conducted for a single reference building and a specific set of scenarios; generalisation to the broader stock requires caution, as building configuration, ownership structure, local energy </w:t>
      </w:r>
      <w:r>
        <w:rPr>
          <w:lang w:val="en-US"/>
        </w:rPr>
        <w:lastRenderedPageBreak/>
        <w:t>prices, and subsidy conditions vary substantially. The ecological assessment relies on national average emission factors for energy carriers, which may not accurately reflect marginal or future grid conditions. The qualitative sample is the most significant limitation: three interviews with professional decision-makers on the supply side of renovation cannot saturate the socio-technical dimensions the paper addresses. Most critically, occupants and tenants</w:t>
      </w:r>
      <w:r w:rsidR="00404A2F">
        <w:rPr>
          <w:lang w:val="en-US"/>
        </w:rPr>
        <w:t xml:space="preserve">, </w:t>
      </w:r>
      <w:r>
        <w:rPr>
          <w:lang w:val="en-US"/>
        </w:rPr>
        <w:t>the parties most directly affected by renovation disruption, most reliant on functional system interfaces, and most central to the user-behaviour arguments developed in Section 6.4</w:t>
      </w:r>
      <w:r w:rsidR="00404A2F">
        <w:rPr>
          <w:lang w:val="en-US"/>
        </w:rPr>
        <w:t>,</w:t>
      </w:r>
      <w:r>
        <w:rPr>
          <w:lang w:val="en-US"/>
        </w:rPr>
        <w:t xml:space="preserve"> are absent from the qualitative data. Their perspectives on acceptance, comfort expectations, and willingness to engage with renovation processes remain unrepresented, and the implementability dimensions attributed to user behaviour rest on expert inference rather than direct evidence. Future work should address these limitations through multi-building comparative analysis, sensitivity testing with alternative emission factor scenarios, and direct qualitative engagement with tenants and occupants.</w:t>
      </w:r>
    </w:p>
    <w:p w14:paraId="147BC0DA" w14:textId="77777777" w:rsidR="007D7BB8" w:rsidRPr="003268DD" w:rsidRDefault="00334B8E">
      <w:pPr>
        <w:pStyle w:val="berschrift1"/>
        <w:rPr>
          <w:lang w:val="en-US"/>
        </w:rPr>
      </w:pPr>
      <w:r>
        <w:rPr>
          <w:lang w:val="en-US"/>
        </w:rPr>
        <w:t>8. CONCLUSIONS</w:t>
      </w:r>
    </w:p>
    <w:p w14:paraId="582EB006" w14:textId="5D9B8CB8" w:rsidR="00F006AA" w:rsidRPr="00407717" w:rsidRDefault="00F006AA" w:rsidP="006A252C">
      <w:pPr>
        <w:spacing w:after="120" w:line="276" w:lineRule="auto"/>
        <w:jc w:val="both"/>
        <w:rPr>
          <w:lang w:val="en-US"/>
        </w:rPr>
      </w:pPr>
      <w:r>
        <w:rPr>
          <w:lang w:val="en-US"/>
        </w:rPr>
        <w:t xml:space="preserve">This paper presents an integrated ecological, economic, and socio-technical assessment of three retrofit pathways for a post-war residential building in Vienna. Ecologically, all scenarios reduce lifecycle GWP relative to the unrenovated stock. The Medium scenario achieves the lowest total GWP (12.2 kgCO₂/m²a) despite the High scenario’s superior energy performance, because the shift from district heating to electricity-based supply increases </w:t>
      </w:r>
      <w:r w:rsidRPr="00C5609C">
        <w:rPr>
          <w:lang w:val="en-US"/>
        </w:rPr>
        <w:t>GWP</w:t>
      </w:r>
      <w:r w:rsidRPr="00C5609C">
        <w:rPr>
          <w:vertAlign w:val="subscript"/>
          <w:lang w:val="en-US"/>
        </w:rPr>
        <w:t>operational</w:t>
      </w:r>
      <w:r>
        <w:rPr>
          <w:lang w:val="en-US"/>
        </w:rPr>
        <w:t xml:space="preserve"> under Vienna’s current energy mix. Economically, Medium achieves a 5.5% lifecycle cost advantage at a 2% discount rate, reflecting the High scenario’s replacement cycle penalties and the Low scenario’s energy cost exposure. Across both dimensions, Medium represents the most robust pathway under current conditions.</w:t>
      </w:r>
    </w:p>
    <w:p w14:paraId="1223B5B7" w14:textId="186B7146" w:rsidR="00F006AA" w:rsidRPr="004E4222" w:rsidRDefault="00F006AA" w:rsidP="00F006AA">
      <w:pPr>
        <w:jc w:val="both"/>
        <w:rPr>
          <w:lang w:val="en-US"/>
        </w:rPr>
      </w:pPr>
      <w:r>
        <w:rPr>
          <w:lang w:val="en-US"/>
        </w:rPr>
        <w:t>The central contribution is the shift from asking which scenario is technically superior to asking under what conditions a scenario retains its status as a viable implementation pathway. Institutional theory and agency theory, applied throughout this paper, not deferred, explain why technically superior options systematically remain unrealised: formal rules (MRG, procurement norms, subsidy structures) and informal norms (risk aversion, “existing-stock rationality”) constrain the effective decision space before any technical assessment begins, while the owner-tenant split incentive (structurally reinforced by Austrian rent regulation) explains persistent underinvestment in deep retrofit. High-invasive pathways are particularly unstable where multiple implementation thresholds converge simultaneously.</w:t>
      </w:r>
    </w:p>
    <w:p w14:paraId="5D2A632E" w14:textId="596F3A71" w:rsidR="00F006AA" w:rsidRPr="004E4222" w:rsidRDefault="00F006AA" w:rsidP="00F006AA">
      <w:pPr>
        <w:jc w:val="both"/>
        <w:rPr>
          <w:lang w:val="en-US"/>
        </w:rPr>
      </w:pPr>
    </w:p>
    <w:p w14:paraId="3E2BD5B2" w14:textId="38EE9B18" w:rsidR="00F006AA" w:rsidRPr="004E4222" w:rsidRDefault="00667895" w:rsidP="00F006AA">
      <w:pPr>
        <w:jc w:val="both"/>
        <w:rPr>
          <w:lang w:val="en-US"/>
        </w:rPr>
      </w:pPr>
      <w:r>
        <w:rPr>
          <w:lang w:val="en-US"/>
        </w:rPr>
        <w:t>Achieving the goals outlined in the European Green Deal, Austria’s National Building Renovation Plan, and Vienna’s own climate targets (including its emerging Climate Law and Smart Climate City Strategy) will depend not only on the advancement of building technologies but also on aligning external framework conditions with the realities of the existing building stock. This necessitates a critical examination of infrastructural dependencies (notably district heating), monopolistic supply structures, and regulatory and legal conditions</w:t>
      </w:r>
      <w:r w:rsidR="00404A2F">
        <w:rPr>
          <w:lang w:val="en-US"/>
        </w:rPr>
        <w:t xml:space="preserve"> (</w:t>
      </w:r>
      <w:r>
        <w:rPr>
          <w:lang w:val="en-US"/>
        </w:rPr>
        <w:t>particularly the MRG and municipal procurement practices</w:t>
      </w:r>
      <w:r w:rsidR="00404A2F">
        <w:rPr>
          <w:lang w:val="en-US"/>
        </w:rPr>
        <w:t xml:space="preserve">) </w:t>
      </w:r>
      <w:r>
        <w:rPr>
          <w:lang w:val="en-US"/>
        </w:rPr>
        <w:t>that complicate deep retrofits in occupied buildings. Future research should extend this framework to other Viennese typologies, and most urgently, engage directly with tenants and occupants whose perspectives are absent from the present study.</w:t>
      </w:r>
    </w:p>
    <w:p w14:paraId="0BBAAE07" w14:textId="7CA93091" w:rsidR="007D7BB8" w:rsidRPr="003268DD" w:rsidRDefault="007D7BB8" w:rsidP="006A252C">
      <w:pPr>
        <w:jc w:val="both"/>
        <w:rPr>
          <w:lang w:val="en-US"/>
        </w:rPr>
      </w:pPr>
    </w:p>
    <w:p w14:paraId="13B303F5" w14:textId="77777777" w:rsidR="007D7BB8" w:rsidRDefault="00334B8E">
      <w:pPr>
        <w:pStyle w:val="berschrift1"/>
      </w:pPr>
      <w:r>
        <w:lastRenderedPageBreak/>
        <w:t>REFERENCES</w:t>
      </w:r>
    </w:p>
    <w:p w14:paraId="55AB976F" w14:textId="77777777" w:rsidR="007D7BB8" w:rsidRPr="003268DD" w:rsidRDefault="00334B8E">
      <w:pPr>
        <w:spacing w:after="120" w:line="276" w:lineRule="auto"/>
        <w:jc w:val="both"/>
        <w:rPr>
          <w:lang w:val="en-US"/>
        </w:rPr>
      </w:pPr>
      <w:r>
        <w:t xml:space="preserve">Aigner, M. (2025). Ressourceneffiziente Sanierung von Bestandsbauten der 1950er Jahre: Vergleichende Analyse der Kreislauffähigkeit und Ökoeffizienz verschiedener baulicher und energetischer Szenarien. </w:t>
      </w:r>
      <w:r>
        <w:rPr>
          <w:lang w:val="en-US"/>
        </w:rPr>
        <w:t>Diploma Thesis, TU Wien, Faculty of Civil and Environmental Engineering.</w:t>
      </w:r>
    </w:p>
    <w:p w14:paraId="32DD5777" w14:textId="77777777" w:rsidR="007D7BB8" w:rsidRPr="003268DD" w:rsidRDefault="00334B8E">
      <w:pPr>
        <w:spacing w:after="120" w:line="276" w:lineRule="auto"/>
        <w:jc w:val="both"/>
        <w:rPr>
          <w:lang w:val="en-US"/>
        </w:rPr>
      </w:pPr>
      <w:r>
        <w:t xml:space="preserve">Archiphysik. (2026). Energieausweis und Bauphysik Software. </w:t>
      </w:r>
      <w:r>
        <w:rPr>
          <w:lang w:val="en-US"/>
        </w:rPr>
        <w:t>Retrieved 24.03.2026 from https://archiphysik.at/</w:t>
      </w:r>
    </w:p>
    <w:p w14:paraId="70713769" w14:textId="77777777" w:rsidR="007D7BB8" w:rsidRDefault="00334B8E">
      <w:pPr>
        <w:spacing w:after="120" w:line="276" w:lineRule="auto"/>
        <w:jc w:val="both"/>
      </w:pPr>
      <w:r>
        <w:t>Böckl, C., Formanek, S., Fuchs, S., Mühlbauer, I., Oppel, M., Unzeitig, U., Weiser, C., Grief, H., Ninaus, C., Amann, W., Mundt, A., Ploss, M., &amp; Roßkopf-Nachbaur, T. (2025). MasSan – Machbarkeitsstudie serieller Sanierungskonzepte und -modelle in Österreich.</w:t>
      </w:r>
    </w:p>
    <w:p w14:paraId="4267A66A" w14:textId="77777777" w:rsidR="007D7BB8" w:rsidRPr="003268DD" w:rsidRDefault="00334B8E">
      <w:pPr>
        <w:spacing w:after="120" w:line="276" w:lineRule="auto"/>
        <w:jc w:val="both"/>
        <w:rPr>
          <w:lang w:val="en-US"/>
        </w:rPr>
      </w:pPr>
      <w:r>
        <w:t xml:space="preserve">Boskovic, A., &amp; Cullen, J. M. (2025). </w:t>
      </w:r>
      <w:r>
        <w:rPr>
          <w:lang w:val="en-US"/>
        </w:rPr>
        <w:t>Barriers, enablers, and opportunities for scaling-up innovative and circular domestic retrofit business models in the UK. Journal of Cleaner Production, 520. https://doi.org/10.1016/j.jclepro.2025.146153</w:t>
      </w:r>
    </w:p>
    <w:p w14:paraId="1D68004F" w14:textId="77777777" w:rsidR="007D7BB8" w:rsidRPr="003268DD" w:rsidRDefault="00334B8E">
      <w:pPr>
        <w:spacing w:after="120" w:line="276" w:lineRule="auto"/>
        <w:jc w:val="both"/>
        <w:rPr>
          <w:lang w:val="en-US"/>
        </w:rPr>
      </w:pPr>
      <w:r>
        <w:rPr>
          <w:lang w:val="en-US"/>
        </w:rPr>
        <w:t>Campagna, L. M., Carlucci, F., &amp; Fiorito, F. (2025). Life cycle cost optimization for schools energy retrofit under climate change: Methodological approach and analyses in five different climates. Energy and Buildings, 335. https://doi.org/10.1016/j.enbuild.2025.115561</w:t>
      </w:r>
    </w:p>
    <w:p w14:paraId="39E09B56" w14:textId="77777777" w:rsidR="007D7BB8" w:rsidRPr="003268DD" w:rsidRDefault="00334B8E">
      <w:pPr>
        <w:spacing w:after="120" w:line="276" w:lineRule="auto"/>
        <w:jc w:val="both"/>
        <w:rPr>
          <w:lang w:val="en-US"/>
        </w:rPr>
      </w:pPr>
      <w:r>
        <w:rPr>
          <w:lang w:val="en-US"/>
        </w:rPr>
        <w:t>DeTroy, S. E., Rathgens, J., Ilvonen, O., &amp; Becken, K. (2025). The barriers and drivers of building refurbishments: an investigation of attitudes and perceptions among German architectural designers. Discover Sustainability, 6(1). https://doi.org/10.1007/s43621-025-01052-9</w:t>
      </w:r>
    </w:p>
    <w:p w14:paraId="78B3F467" w14:textId="77777777" w:rsidR="007D7BB8" w:rsidRPr="003268DD" w:rsidRDefault="00334B8E">
      <w:pPr>
        <w:spacing w:after="120" w:line="276" w:lineRule="auto"/>
        <w:jc w:val="both"/>
        <w:rPr>
          <w:lang w:val="en-US"/>
        </w:rPr>
      </w:pPr>
      <w:r>
        <w:rPr>
          <w:lang w:val="en-US"/>
        </w:rPr>
        <w:t>Di Giuseppe, E., Iannaccone, M., Telloni, M., D'Orazio, M., &amp; Di Perna, C. (2017). Probabilistic life cycle costing of existing buildings retrofit interventions towards nZE target: Methodology and application example. Energy and Buildings, 144, 416–432. https://doi.org/10.1016/j.enbuild.2017.03.055</w:t>
      </w:r>
    </w:p>
    <w:p w14:paraId="2AB3FC2B" w14:textId="77777777" w:rsidR="007D7BB8" w:rsidRPr="003268DD" w:rsidRDefault="00334B8E">
      <w:pPr>
        <w:spacing w:after="120" w:line="276" w:lineRule="auto"/>
        <w:jc w:val="both"/>
        <w:rPr>
          <w:lang w:val="en-US"/>
        </w:rPr>
      </w:pPr>
      <w:r>
        <w:rPr>
          <w:lang w:val="en-US"/>
        </w:rPr>
        <w:t xml:space="preserve">Dilber, C. (2026). </w:t>
      </w:r>
      <w:r>
        <w:t xml:space="preserve">Lebenszykluskosten thermischer und energetischer Sanierungsszenarien für Bestandsgebäude der 1950er Jahre. </w:t>
      </w:r>
      <w:r>
        <w:rPr>
          <w:lang w:val="en-US"/>
        </w:rPr>
        <w:t>Diploma Thesis, TU Wien, Faculty of Civil and Environmental Engineering.</w:t>
      </w:r>
    </w:p>
    <w:p w14:paraId="55DDD4E9" w14:textId="77777777" w:rsidR="007D7BB8" w:rsidRPr="003268DD" w:rsidRDefault="00334B8E">
      <w:pPr>
        <w:spacing w:after="120" w:line="276" w:lineRule="auto"/>
        <w:jc w:val="both"/>
        <w:rPr>
          <w:lang w:val="en-US"/>
        </w:rPr>
      </w:pPr>
      <w:r>
        <w:rPr>
          <w:lang w:val="en-US"/>
        </w:rPr>
        <w:t>ECB – European Central Bank. (2026). Retrieved 03/04/2026 from https://www.ecb.europa.eu/</w:t>
      </w:r>
    </w:p>
    <w:p w14:paraId="3A3DDFF0" w14:textId="77777777" w:rsidR="007D7BB8" w:rsidRPr="003268DD" w:rsidRDefault="00334B8E">
      <w:pPr>
        <w:spacing w:after="120" w:line="276" w:lineRule="auto"/>
        <w:jc w:val="both"/>
        <w:rPr>
          <w:lang w:val="en-US"/>
        </w:rPr>
      </w:pPr>
      <w:r>
        <w:t xml:space="preserve">Eichhammer, W., Braungardt, S., &amp; Offermann, M. (2021). </w:t>
      </w:r>
      <w:r>
        <w:rPr>
          <w:lang w:val="en-US"/>
        </w:rPr>
        <w:t>European renovation policies and their impact on the building stock. Building and Environment, 196, 107776.</w:t>
      </w:r>
    </w:p>
    <w:p w14:paraId="72C4C63D" w14:textId="77777777" w:rsidR="007D7BB8" w:rsidRPr="003268DD" w:rsidRDefault="00334B8E">
      <w:pPr>
        <w:spacing w:after="120" w:line="276" w:lineRule="auto"/>
        <w:jc w:val="both"/>
        <w:rPr>
          <w:lang w:val="en-US"/>
        </w:rPr>
      </w:pPr>
      <w:r>
        <w:rPr>
          <w:lang w:val="en-US"/>
        </w:rPr>
        <w:t>Euribor. (2026). Database. Retrieved 03/04/2026 from https://www.euribor-rates.eu/</w:t>
      </w:r>
    </w:p>
    <w:p w14:paraId="01F5FA04" w14:textId="77777777" w:rsidR="007D7BB8" w:rsidRPr="003268DD" w:rsidRDefault="00334B8E">
      <w:pPr>
        <w:spacing w:after="120" w:line="276" w:lineRule="auto"/>
        <w:jc w:val="both"/>
        <w:rPr>
          <w:lang w:val="en-US"/>
        </w:rPr>
      </w:pPr>
      <w:r>
        <w:rPr>
          <w:lang w:val="en-US"/>
        </w:rPr>
        <w:t>European Commission. (2019). The European Green Deal. Communication COM(2019) 640 final. Brussels: European Commission.</w:t>
      </w:r>
    </w:p>
    <w:p w14:paraId="5485157D" w14:textId="77777777" w:rsidR="007D7BB8" w:rsidRPr="003268DD" w:rsidRDefault="00334B8E">
      <w:pPr>
        <w:spacing w:after="120" w:line="276" w:lineRule="auto"/>
        <w:jc w:val="both"/>
        <w:rPr>
          <w:lang w:val="en-US"/>
        </w:rPr>
      </w:pPr>
      <w:r>
        <w:rPr>
          <w:lang w:val="en-US"/>
        </w:rPr>
        <w:t>European Commission. (2020). A Renovation Wave for Europe – Greening our buildings, creating jobs, improving lives. Communication COM(2020) 662 final. Brussels: European Commission.</w:t>
      </w:r>
    </w:p>
    <w:p w14:paraId="1096326E" w14:textId="77777777" w:rsidR="007D7BB8" w:rsidRPr="003268DD" w:rsidRDefault="00334B8E">
      <w:pPr>
        <w:spacing w:after="120" w:line="276" w:lineRule="auto"/>
        <w:jc w:val="both"/>
        <w:rPr>
          <w:lang w:val="en-US"/>
        </w:rPr>
      </w:pPr>
      <w:r>
        <w:rPr>
          <w:lang w:val="en-US"/>
        </w:rPr>
        <w:lastRenderedPageBreak/>
        <w:t>Geels, F. W. (2002). Technological transitions as evolutionary reconfiguration processes: A multi-level perspective and a case-study. Research Policy, 31(8–9), 1257–1274. https://doi.org/10.1016/S0048-7333(02)00062-8</w:t>
      </w:r>
    </w:p>
    <w:p w14:paraId="1096326F" w14:textId="77777777" w:rsidR="007D7BB8" w:rsidRPr="003268DD" w:rsidRDefault="00334B8E">
      <w:pPr>
        <w:spacing w:after="120" w:line="276" w:lineRule="auto"/>
        <w:jc w:val="both"/>
        <w:rPr>
          <w:lang w:val="en-US"/>
        </w:rPr>
      </w:pPr>
      <w:r>
        <w:rPr>
          <w:lang w:val="en-US"/>
        </w:rPr>
        <w:t>Gutland, M., Munro, K., Cant, K., Kotha, R., &amp; Evins, R. (2024). A meta-analysis of the schematic design process of deep retrofit projects. Energy and Buildings, 324. https://doi.org/10.1016/j.enbuild.2024.114868</w:t>
      </w:r>
    </w:p>
    <w:p w14:paraId="6D198485" w14:textId="77777777" w:rsidR="007D7BB8" w:rsidRPr="003268DD" w:rsidRDefault="00334B8E">
      <w:pPr>
        <w:spacing w:after="120" w:line="276" w:lineRule="auto"/>
        <w:jc w:val="both"/>
        <w:rPr>
          <w:lang w:val="en-US"/>
        </w:rPr>
      </w:pPr>
      <w:r>
        <w:rPr>
          <w:lang w:val="en-US"/>
        </w:rPr>
        <w:t>Heinz, E., Sovacool, B. K., Kwan, T., &amp; Petit, V. (2025). Reviewing the 95 sociotechnical barriers to the decarbonization of buildings. Nature Communications, 16(1), 9983. https://doi.org/10.1038/s41467-025-64923-9</w:t>
      </w:r>
    </w:p>
    <w:p w14:paraId="06FDC500" w14:textId="77777777" w:rsidR="007D7BB8" w:rsidRDefault="00334B8E">
      <w:pPr>
        <w:spacing w:after="120" w:line="276" w:lineRule="auto"/>
        <w:jc w:val="both"/>
      </w:pPr>
      <w:r>
        <w:rPr>
          <w:lang w:val="en-US"/>
        </w:rPr>
        <w:t xml:space="preserve">Honic, M., Kovacic, I., Aschenbrenner, P., &amp; Ragossnig, A. (2021). Material Passports for the end-of-life stage of buildings: Challenges and potentials. </w:t>
      </w:r>
      <w:r>
        <w:t>Journal of Cleaner Production, 319. https://doi.org/10.1016/j.jclepro.2021.128702</w:t>
      </w:r>
    </w:p>
    <w:p w14:paraId="507B4D04" w14:textId="77777777" w:rsidR="007D7BB8" w:rsidRPr="003268DD" w:rsidRDefault="00334B8E">
      <w:pPr>
        <w:spacing w:after="120" w:line="276" w:lineRule="auto"/>
        <w:jc w:val="both"/>
        <w:rPr>
          <w:lang w:val="en-US"/>
        </w:rPr>
      </w:pPr>
      <w:r>
        <w:t xml:space="preserve">IBO – Österreichisches Institut für Bauen und Ökologie. (2023). IBO Richtlinie für Ökobilanzen im Hochbau. </w:t>
      </w:r>
      <w:r>
        <w:rPr>
          <w:lang w:val="en-US"/>
        </w:rPr>
        <w:t>Vienna: IBO.</w:t>
      </w:r>
    </w:p>
    <w:p w14:paraId="25467F40" w14:textId="77777777" w:rsidR="007D7BB8" w:rsidRPr="003268DD" w:rsidRDefault="00334B8E">
      <w:pPr>
        <w:spacing w:after="120" w:line="276" w:lineRule="auto"/>
        <w:jc w:val="both"/>
        <w:rPr>
          <w:lang w:val="en-US"/>
        </w:rPr>
      </w:pPr>
      <w:r>
        <w:rPr>
          <w:lang w:val="en-US"/>
        </w:rPr>
        <w:t>IEA – International Energy Agency. (2023). Tracking Buildings 2023. Paris: IEA.</w:t>
      </w:r>
    </w:p>
    <w:p w14:paraId="1C8C8A33" w14:textId="77777777" w:rsidR="007D7BB8" w:rsidRPr="003268DD" w:rsidRDefault="00334B8E">
      <w:pPr>
        <w:spacing w:after="120" w:line="276" w:lineRule="auto"/>
        <w:jc w:val="both"/>
        <w:rPr>
          <w:lang w:val="en-US"/>
        </w:rPr>
      </w:pPr>
      <w:r>
        <w:rPr>
          <w:lang w:val="en-US"/>
        </w:rPr>
        <w:t>Johansson, E. D., &amp; Henrik, D. (2023). Barriers and drivers for energy efficient renovation at district level. Energy in Buildings and Communities Technology Collaboration Programme. IEA.</w:t>
      </w:r>
    </w:p>
    <w:p w14:paraId="569E9919" w14:textId="77777777" w:rsidR="007D7BB8" w:rsidRPr="003268DD" w:rsidRDefault="00334B8E">
      <w:pPr>
        <w:spacing w:after="120" w:line="276" w:lineRule="auto"/>
        <w:jc w:val="both"/>
        <w:rPr>
          <w:lang w:val="en-US"/>
        </w:rPr>
      </w:pPr>
      <w:r>
        <w:rPr>
          <w:lang w:val="en-US"/>
        </w:rPr>
        <w:t xml:space="preserve">Kovacic, I. (2025). </w:t>
      </w:r>
      <w:r>
        <w:t xml:space="preserve">Integrierte Planung und Lebenszykluskosten im Bestandsbau. </w:t>
      </w:r>
      <w:r>
        <w:rPr>
          <w:lang w:val="en-US"/>
        </w:rPr>
        <w:t>Lecture notes, Institute E210, TU Wien.</w:t>
      </w:r>
    </w:p>
    <w:p w14:paraId="1D64345E" w14:textId="77777777" w:rsidR="007D7BB8" w:rsidRPr="003268DD" w:rsidRDefault="00334B8E">
      <w:pPr>
        <w:spacing w:after="120" w:line="276" w:lineRule="auto"/>
        <w:jc w:val="both"/>
        <w:rPr>
          <w:lang w:val="en-US"/>
        </w:rPr>
      </w:pPr>
      <w:r>
        <w:rPr>
          <w:lang w:val="en-US"/>
        </w:rPr>
        <w:t>Kovacic, I., Summer, M., &amp; Achammer, C. (2015). Strategies of building stock renovation for ageing society. Journal of Cleaner Production, 88, 349–357. https://doi.org/10.1016/j.jclepro.2014.04.080</w:t>
      </w:r>
    </w:p>
    <w:p w14:paraId="2839BD49" w14:textId="77777777" w:rsidR="007D7BB8" w:rsidRPr="003268DD" w:rsidRDefault="00334B8E">
      <w:pPr>
        <w:spacing w:after="120" w:line="276" w:lineRule="auto"/>
        <w:jc w:val="both"/>
        <w:rPr>
          <w:lang w:val="en-US"/>
        </w:rPr>
      </w:pPr>
      <w:r>
        <w:rPr>
          <w:lang w:val="en-US"/>
        </w:rPr>
        <w:t>Luo, D., Liu, J., Wu, H., Zhang, G., Pan, Z., &amp; Huang, J. (2025). Advancing smart net-zero energy buildings with renewable energy and electrical energy storage. Journal of Energy Storage, 114. https://doi.org/10.1016/j.est.2025.115850</w:t>
      </w:r>
    </w:p>
    <w:p w14:paraId="4A1F69C4" w14:textId="77777777" w:rsidR="007D7BB8" w:rsidRPr="003268DD" w:rsidRDefault="00334B8E">
      <w:pPr>
        <w:spacing w:after="120" w:line="276" w:lineRule="auto"/>
        <w:jc w:val="both"/>
        <w:rPr>
          <w:lang w:val="en-US"/>
        </w:rPr>
      </w:pPr>
      <w:r>
        <w:rPr>
          <w:lang w:val="en-US"/>
        </w:rPr>
        <w:t>Medrano-Gómez, L. E., Boarin, P., &amp; Premier, A. (2025). The retrofit puzzle: Connecting practices, retrofit measures, and performance outcomes through socio-technical evaluations. Energy Research &amp; Social Science, 120. https://doi.org/10.1016/j.erss.2025.103924</w:t>
      </w:r>
    </w:p>
    <w:p w14:paraId="322972A6" w14:textId="77777777" w:rsidR="007D7BB8" w:rsidRDefault="00334B8E">
      <w:pPr>
        <w:spacing w:after="120" w:line="276" w:lineRule="auto"/>
        <w:jc w:val="both"/>
      </w:pPr>
      <w:r>
        <w:rPr>
          <w:lang w:val="en-US"/>
        </w:rPr>
        <w:t xml:space="preserve">Mohammadpourkarbasi, H., Riddle, B., Liu, C., &amp; Sharples, S. (2023). Life cycle carbon assessment of decarbonising UK's hard-to-treat homes. </w:t>
      </w:r>
      <w:r>
        <w:t>Energy and Buildings, 296. https://doi.org/10.1016/j.enbuild.2023.113353</w:t>
      </w:r>
    </w:p>
    <w:p w14:paraId="7B201A1A" w14:textId="1132F422" w:rsidR="007D7BB8" w:rsidRDefault="00334B8E">
      <w:pPr>
        <w:spacing w:after="120" w:line="276" w:lineRule="auto"/>
        <w:jc w:val="both"/>
      </w:pPr>
      <w:r>
        <w:t>ÖGNI – Österreichische Gesellschaft für Nachhaltige Immobilienwirtschaft. (202</w:t>
      </w:r>
      <w:r w:rsidR="00AF5FF1">
        <w:t>6</w:t>
      </w:r>
      <w:r>
        <w:t>). ÖGNI Bewertungssystem für Bestandsgebäude. Vienna: ÖGNI.</w:t>
      </w:r>
    </w:p>
    <w:p w14:paraId="19964272" w14:textId="77777777" w:rsidR="007D7BB8" w:rsidRPr="003268DD" w:rsidRDefault="00334B8E">
      <w:pPr>
        <w:spacing w:after="120" w:line="276" w:lineRule="auto"/>
        <w:jc w:val="both"/>
        <w:rPr>
          <w:lang w:val="en-US"/>
        </w:rPr>
      </w:pPr>
      <w:r>
        <w:t xml:space="preserve">Oikonomou, E., Jain, N., Petrou, G., Tsoulou, I., Mavronianni, A., Gupta, R., Howard, A., Milojevic, A., &amp; Davies, M. (2026). </w:t>
      </w:r>
      <w:r>
        <w:rPr>
          <w:lang w:val="en-US"/>
        </w:rPr>
        <w:t>Adapting care homes to heat: A comparison of building retrofit interventions in London, UK. Energy and Buildings, 353. https://doi.org/10.1016/j.enbuild.2025.116928</w:t>
      </w:r>
    </w:p>
    <w:p w14:paraId="347FD194" w14:textId="77777777" w:rsidR="007D7BB8" w:rsidRDefault="00334B8E">
      <w:pPr>
        <w:spacing w:after="120" w:line="276" w:lineRule="auto"/>
        <w:jc w:val="both"/>
      </w:pPr>
      <w:r>
        <w:rPr>
          <w:lang w:val="en-US"/>
        </w:rPr>
        <w:lastRenderedPageBreak/>
        <w:t xml:space="preserve">ÖNORM B 1801-1:2022. </w:t>
      </w:r>
      <w:r>
        <w:t>Bauprojekt- und Objektmanagement – Teil 1: Objekterrichtung. Austrian Standards International.</w:t>
      </w:r>
    </w:p>
    <w:p w14:paraId="2697DD27" w14:textId="77777777" w:rsidR="007D7BB8" w:rsidRDefault="00334B8E">
      <w:pPr>
        <w:spacing w:after="120" w:line="276" w:lineRule="auto"/>
        <w:jc w:val="both"/>
      </w:pPr>
      <w:r>
        <w:t>ÖNORM B 1801-2:2011. Bauprojekt- und Objektmanagement – Teil 2: Objektnutzung. Austrian Standards International.</w:t>
      </w:r>
    </w:p>
    <w:p w14:paraId="2B0BF876" w14:textId="77777777" w:rsidR="007D7BB8" w:rsidRPr="003268DD" w:rsidRDefault="00334B8E">
      <w:pPr>
        <w:spacing w:after="120" w:line="276" w:lineRule="auto"/>
        <w:jc w:val="both"/>
        <w:rPr>
          <w:lang w:val="en-US"/>
        </w:rPr>
      </w:pPr>
      <w:r>
        <w:t xml:space="preserve">ÖNORM B 1801-4:2014. Bauprojekt- und Objektmanagement – Teil 4: Lebenszykluskosten. </w:t>
      </w:r>
      <w:r>
        <w:rPr>
          <w:lang w:val="en-US"/>
        </w:rPr>
        <w:t>Austrian Standards International.</w:t>
      </w:r>
    </w:p>
    <w:p w14:paraId="054791CD" w14:textId="77777777" w:rsidR="007D7BB8" w:rsidRDefault="00334B8E">
      <w:pPr>
        <w:spacing w:after="120" w:line="276" w:lineRule="auto"/>
        <w:jc w:val="both"/>
      </w:pPr>
      <w:r>
        <w:rPr>
          <w:lang w:val="en-US"/>
        </w:rPr>
        <w:t xml:space="preserve">Panakaduwa, C., Coates, P., &amp; Munir, M. (2025). Understanding homeowner decision-making through demographics: Barriers to housing retrofit at scale. </w:t>
      </w:r>
      <w:r>
        <w:t>PLoS One, 20(12), e0338740. https://doi.org/10.1371/journal.pone.0338740</w:t>
      </w:r>
    </w:p>
    <w:p w14:paraId="25B10B2A" w14:textId="77777777" w:rsidR="007D7BB8" w:rsidRPr="003268DD" w:rsidRDefault="00334B8E">
      <w:pPr>
        <w:spacing w:after="120" w:line="276" w:lineRule="auto"/>
        <w:jc w:val="both"/>
        <w:rPr>
          <w:lang w:val="en-US"/>
        </w:rPr>
      </w:pPr>
      <w:r>
        <w:t xml:space="preserve">Rizk, A., &amp; Lindgren, I. (2025). </w:t>
      </w:r>
      <w:r>
        <w:rPr>
          <w:lang w:val="en-US"/>
        </w:rPr>
        <w:t>Automated decision-making in public administration: Changing the decision space between public officials and citizens. Government Information Quarterly, 42(3). https://doi.org/10.1016/j.giq.2025.102061</w:t>
      </w:r>
    </w:p>
    <w:p w14:paraId="14060BC0" w14:textId="77777777" w:rsidR="007D7BB8" w:rsidRPr="003268DD" w:rsidRDefault="00334B8E">
      <w:pPr>
        <w:spacing w:after="120" w:line="276" w:lineRule="auto"/>
        <w:jc w:val="both"/>
        <w:rPr>
          <w:lang w:val="en-US"/>
        </w:rPr>
      </w:pPr>
      <w:r>
        <w:rPr>
          <w:lang w:val="en-US"/>
        </w:rPr>
        <w:t xml:space="preserve">Statistik Austria. </w:t>
      </w:r>
      <w:r>
        <w:t xml:space="preserve">(2023). Gebäude- und Wohnungszählung 2021 – Bestandsgebäude nach Errichtungsjahr und Bundesland. </w:t>
      </w:r>
      <w:r>
        <w:rPr>
          <w:lang w:val="en-US"/>
        </w:rPr>
        <w:t>Vienna: Statistik Austria.</w:t>
      </w:r>
    </w:p>
    <w:p w14:paraId="46FD6EC9" w14:textId="77777777" w:rsidR="007D7BB8" w:rsidRPr="003268DD" w:rsidRDefault="00334B8E">
      <w:pPr>
        <w:spacing w:after="120" w:line="276" w:lineRule="auto"/>
        <w:jc w:val="both"/>
        <w:rPr>
          <w:lang w:val="en-US"/>
        </w:rPr>
      </w:pPr>
      <w:r>
        <w:rPr>
          <w:lang w:val="en-US"/>
        </w:rPr>
        <w:t>Statistik Austria. (2026). Database. Retrieved 03/04/2026 from https://www.statistik.at/</w:t>
      </w:r>
    </w:p>
    <w:p w14:paraId="038FEB0B" w14:textId="77777777" w:rsidR="007D7BB8" w:rsidRPr="003268DD" w:rsidRDefault="00334B8E">
      <w:pPr>
        <w:spacing w:after="120" w:line="276" w:lineRule="auto"/>
        <w:jc w:val="both"/>
        <w:rPr>
          <w:lang w:val="en-US"/>
        </w:rPr>
      </w:pPr>
      <w:r>
        <w:t xml:space="preserve">Summer, M. (2012). Sanierungsvarianten und Betreutes Wohnen. </w:t>
      </w:r>
      <w:r>
        <w:rPr>
          <w:lang w:val="en-US"/>
        </w:rPr>
        <w:t>Diploma Thesis, TU Wien, Vienna.</w:t>
      </w:r>
    </w:p>
    <w:p w14:paraId="4338A631" w14:textId="77777777" w:rsidR="007D7BB8" w:rsidRPr="003268DD" w:rsidRDefault="00334B8E">
      <w:pPr>
        <w:spacing w:after="120" w:line="276" w:lineRule="auto"/>
        <w:jc w:val="both"/>
        <w:rPr>
          <w:lang w:val="en-US"/>
        </w:rPr>
      </w:pPr>
      <w:r>
        <w:rPr>
          <w:lang w:val="en-US"/>
        </w:rPr>
        <w:t>Suppa, A. R., Bottero, M. C., Corrado, V., &amp; Dell'Anna, F. (2026). District-scale life cycle costing of climate-neutral retrofits, based on automatic envelope detection workflows and LOD3 3D city model. Energy and Buildings, 359. https://doi.org/10.1016/j.enbuild.2026.117289</w:t>
      </w:r>
    </w:p>
    <w:p w14:paraId="6F4C6B2F" w14:textId="77777777" w:rsidR="007D7BB8" w:rsidRPr="003268DD" w:rsidRDefault="00334B8E">
      <w:pPr>
        <w:spacing w:after="120" w:line="276" w:lineRule="auto"/>
        <w:jc w:val="both"/>
        <w:rPr>
          <w:lang w:val="en-US"/>
        </w:rPr>
      </w:pPr>
      <w:r>
        <w:rPr>
          <w:lang w:val="en-US"/>
        </w:rPr>
        <w:t>United Nations. (2015). The Paris Agreement. Retrieved from https://unfccc.int/process-and-meetings/the-paris-agreement</w:t>
      </w:r>
    </w:p>
    <w:p w14:paraId="61B8CB8E" w14:textId="77777777" w:rsidR="007D7BB8" w:rsidRPr="003268DD" w:rsidRDefault="00334B8E">
      <w:pPr>
        <w:spacing w:after="120" w:line="276" w:lineRule="auto"/>
        <w:jc w:val="both"/>
        <w:rPr>
          <w:lang w:val="en-US"/>
        </w:rPr>
      </w:pPr>
      <w:r>
        <w:rPr>
          <w:lang w:val="en-US"/>
        </w:rPr>
        <w:t>WEF – World Economic Forum. (2022). To create net-zero cities, we need to look hard at our older buildings. https://www.weforum.org/stories/2022/11/net-zero-cities-retrofit-older-buildings-cop27/</w:t>
      </w:r>
    </w:p>
    <w:p w14:paraId="0965EC91" w14:textId="77777777" w:rsidR="007D7BB8" w:rsidRPr="003268DD" w:rsidRDefault="00334B8E">
      <w:pPr>
        <w:spacing w:after="120" w:line="276" w:lineRule="auto"/>
        <w:jc w:val="both"/>
        <w:rPr>
          <w:lang w:val="en-US"/>
        </w:rPr>
      </w:pPr>
      <w:r>
        <w:rPr>
          <w:lang w:val="en-US"/>
        </w:rPr>
        <w:t>Yan, H., Song, D., &amp; Park, S. (2026). Mind the gap: How stakeholder awareness shapes energy retrofit effectiveness in public daycare centers. Sustainable Cities and Society, 141. https://doi.org/10.1016/j.scs.2026.107280</w:t>
      </w:r>
    </w:p>
    <w:p w14:paraId="26313252" w14:textId="77777777" w:rsidR="007D7BB8" w:rsidRDefault="00334B8E">
      <w:pPr>
        <w:spacing w:after="120" w:line="276" w:lineRule="auto"/>
        <w:jc w:val="both"/>
      </w:pPr>
      <w:r>
        <w:rPr>
          <w:lang w:val="en-US"/>
        </w:rPr>
        <w:t xml:space="preserve">Zhivov, A., &amp; Lohse, R. (2020). What Is Deep Energy Retrofit? In Deep Energy Retrofit: A Guide to Achieving Significant Energy Use Reduction with Major Renovation Projects (pp. 5–7). </w:t>
      </w:r>
      <w:r>
        <w:t>Springer International Publishing. https://doi.org/10.1007/978-3-030-30679-3_2</w:t>
      </w:r>
    </w:p>
    <w:sectPr w:rsidR="007D7BB8">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E0763"/>
    <w:multiLevelType w:val="hybridMultilevel"/>
    <w:tmpl w:val="0338FA7C"/>
    <w:lvl w:ilvl="0" w:tplc="1778ABD6">
      <w:start w:val="1"/>
      <w:numFmt w:val="bullet"/>
      <w:lvlText w:val="●"/>
      <w:lvlJc w:val="left"/>
      <w:pPr>
        <w:ind w:left="720" w:hanging="360"/>
      </w:pPr>
    </w:lvl>
    <w:lvl w:ilvl="1" w:tplc="B74453D4">
      <w:start w:val="1"/>
      <w:numFmt w:val="bullet"/>
      <w:lvlText w:val="○"/>
      <w:lvlJc w:val="left"/>
      <w:pPr>
        <w:ind w:left="1440" w:hanging="360"/>
      </w:pPr>
    </w:lvl>
    <w:lvl w:ilvl="2" w:tplc="5DBA0E42">
      <w:start w:val="1"/>
      <w:numFmt w:val="bullet"/>
      <w:lvlText w:val="■"/>
      <w:lvlJc w:val="left"/>
      <w:pPr>
        <w:ind w:left="2160" w:hanging="360"/>
      </w:pPr>
    </w:lvl>
    <w:lvl w:ilvl="3" w:tplc="35B0F97E">
      <w:start w:val="1"/>
      <w:numFmt w:val="bullet"/>
      <w:lvlText w:val="●"/>
      <w:lvlJc w:val="left"/>
      <w:pPr>
        <w:ind w:left="2880" w:hanging="360"/>
      </w:pPr>
    </w:lvl>
    <w:lvl w:ilvl="4" w:tplc="E8C8F5CA">
      <w:start w:val="1"/>
      <w:numFmt w:val="bullet"/>
      <w:lvlText w:val="○"/>
      <w:lvlJc w:val="left"/>
      <w:pPr>
        <w:ind w:left="3600" w:hanging="360"/>
      </w:pPr>
    </w:lvl>
    <w:lvl w:ilvl="5" w:tplc="F12E3238">
      <w:start w:val="1"/>
      <w:numFmt w:val="bullet"/>
      <w:lvlText w:val="■"/>
      <w:lvlJc w:val="left"/>
      <w:pPr>
        <w:ind w:left="4320" w:hanging="360"/>
      </w:pPr>
    </w:lvl>
    <w:lvl w:ilvl="6" w:tplc="DC08E2E2">
      <w:start w:val="1"/>
      <w:numFmt w:val="bullet"/>
      <w:lvlText w:val="●"/>
      <w:lvlJc w:val="left"/>
      <w:pPr>
        <w:ind w:left="5040" w:hanging="360"/>
      </w:pPr>
    </w:lvl>
    <w:lvl w:ilvl="7" w:tplc="AC1E970E">
      <w:start w:val="1"/>
      <w:numFmt w:val="bullet"/>
      <w:lvlText w:val="●"/>
      <w:lvlJc w:val="left"/>
      <w:pPr>
        <w:ind w:left="5760" w:hanging="360"/>
      </w:pPr>
    </w:lvl>
    <w:lvl w:ilvl="8" w:tplc="864EE9E0">
      <w:start w:val="1"/>
      <w:numFmt w:val="bullet"/>
      <w:lvlText w:val="●"/>
      <w:lvlJc w:val="left"/>
      <w:pPr>
        <w:ind w:left="6480" w:hanging="360"/>
      </w:pPr>
    </w:lvl>
  </w:abstractNum>
  <w:num w:numId="1" w16cid:durableId="19497016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B8"/>
    <w:rsid w:val="0017573F"/>
    <w:rsid w:val="001A0189"/>
    <w:rsid w:val="001A1B48"/>
    <w:rsid w:val="001C65EF"/>
    <w:rsid w:val="00235A97"/>
    <w:rsid w:val="003268DD"/>
    <w:rsid w:val="00334B8E"/>
    <w:rsid w:val="00364A66"/>
    <w:rsid w:val="003973FC"/>
    <w:rsid w:val="00404A2F"/>
    <w:rsid w:val="00407717"/>
    <w:rsid w:val="004B5516"/>
    <w:rsid w:val="004E4222"/>
    <w:rsid w:val="004F5539"/>
    <w:rsid w:val="00506851"/>
    <w:rsid w:val="00507804"/>
    <w:rsid w:val="00660D81"/>
    <w:rsid w:val="00667895"/>
    <w:rsid w:val="00667A37"/>
    <w:rsid w:val="006A252C"/>
    <w:rsid w:val="006B57B4"/>
    <w:rsid w:val="006D5309"/>
    <w:rsid w:val="006D580A"/>
    <w:rsid w:val="00705442"/>
    <w:rsid w:val="00777400"/>
    <w:rsid w:val="00787339"/>
    <w:rsid w:val="007D7BB8"/>
    <w:rsid w:val="00864BAC"/>
    <w:rsid w:val="00874EDE"/>
    <w:rsid w:val="008B446D"/>
    <w:rsid w:val="008D2088"/>
    <w:rsid w:val="008D446C"/>
    <w:rsid w:val="008E33C9"/>
    <w:rsid w:val="00917780"/>
    <w:rsid w:val="0092767F"/>
    <w:rsid w:val="00972168"/>
    <w:rsid w:val="0099297E"/>
    <w:rsid w:val="009A57B5"/>
    <w:rsid w:val="00A01DC4"/>
    <w:rsid w:val="00A06B98"/>
    <w:rsid w:val="00A15B01"/>
    <w:rsid w:val="00A71067"/>
    <w:rsid w:val="00AC17A8"/>
    <w:rsid w:val="00AC4167"/>
    <w:rsid w:val="00AF5FF1"/>
    <w:rsid w:val="00B84EBB"/>
    <w:rsid w:val="00B904CC"/>
    <w:rsid w:val="00B95569"/>
    <w:rsid w:val="00BA5527"/>
    <w:rsid w:val="00BF6786"/>
    <w:rsid w:val="00C2085A"/>
    <w:rsid w:val="00C4789A"/>
    <w:rsid w:val="00C5609C"/>
    <w:rsid w:val="00C565AA"/>
    <w:rsid w:val="00C656E0"/>
    <w:rsid w:val="00D660BC"/>
    <w:rsid w:val="00DC3DEC"/>
    <w:rsid w:val="00E3756C"/>
    <w:rsid w:val="00E628BB"/>
    <w:rsid w:val="00EA0441"/>
    <w:rsid w:val="00ED1F89"/>
    <w:rsid w:val="00F006AA"/>
    <w:rsid w:val="00F10E50"/>
    <w:rsid w:val="00F853F4"/>
    <w:rsid w:val="00FD0AB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57F80"/>
  <w15:docId w15:val="{ABA4184B-454C-DD40-BA0A-0C8843D10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spacing w:before="240" w:after="120"/>
      <w:outlineLvl w:val="0"/>
    </w:pPr>
    <w:rPr>
      <w:b/>
      <w:bCs/>
      <w:color w:val="000000"/>
      <w:sz w:val="28"/>
      <w:szCs w:val="28"/>
    </w:rPr>
  </w:style>
  <w:style w:type="paragraph" w:styleId="berschrift2">
    <w:name w:val="heading 2"/>
    <w:link w:val="berschrift2Zchn"/>
    <w:uiPriority w:val="9"/>
    <w:unhideWhenUsed/>
    <w:qFormat/>
    <w:pPr>
      <w:spacing w:before="200" w:after="100"/>
      <w:outlineLvl w:val="1"/>
    </w:pPr>
    <w:rPr>
      <w:b/>
      <w:bCs/>
      <w:color w:val="000000"/>
      <w:sz w:val="26"/>
      <w:szCs w:val="26"/>
    </w:rPr>
  </w:style>
  <w:style w:type="paragraph" w:styleId="berschrift3">
    <w:name w:val="heading 3"/>
    <w:uiPriority w:val="9"/>
    <w:unhideWhenUsed/>
    <w:qFormat/>
    <w:pPr>
      <w:spacing w:before="160" w:after="80"/>
      <w:outlineLvl w:val="2"/>
    </w:pPr>
    <w:rPr>
      <w:b/>
      <w:bCs/>
      <w:color w:val="000000"/>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rPr>
      <w:sz w:val="20"/>
      <w:szCs w:val="20"/>
    </w:rPr>
  </w:style>
  <w:style w:type="character" w:customStyle="1" w:styleId="EndnotentextZchn">
    <w:name w:val="Endnotentext Zchn"/>
    <w:link w:val="Endnotentext"/>
    <w:uiPriority w:val="99"/>
    <w:semiHidden/>
    <w:unhideWhenUsed/>
    <w:rPr>
      <w:sz w:val="20"/>
      <w:szCs w:val="20"/>
    </w:rPr>
  </w:style>
  <w:style w:type="paragraph" w:styleId="berarbeitung">
    <w:name w:val="Revision"/>
    <w:hidden/>
    <w:uiPriority w:val="99"/>
    <w:semiHidden/>
    <w:rsid w:val="00407717"/>
  </w:style>
  <w:style w:type="character" w:customStyle="1" w:styleId="berschrift2Zchn">
    <w:name w:val="Überschrift 2 Zchn"/>
    <w:basedOn w:val="Absatz-Standardschriftart"/>
    <w:link w:val="berschrift2"/>
    <w:uiPriority w:val="9"/>
    <w:rsid w:val="00667A37"/>
    <w:rPr>
      <w:b/>
      <w:b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image" Target="media/image2.png"/><Relationship Id="rId5" Type="http://schemas.openxmlformats.org/officeDocument/2006/relationships/chart" Target="charts/chart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ibau01\User\aioannou\Doktorat\Paper%202\Diagramm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ibau01\User\aioannou\Doktorat\Paper%202\Diagramm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ibau01\User\aioannou\Doktorat\Paper%202\Diagramm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ibau01\User\aioannou\Doktorat\Paper%202\Diagramm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ibau01\User\aioannou\Doktorat\Paper%202\Diagramme.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de-AT" sz="1000" b="0"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Fig. 3: GWPtotal per m² GFA/a</a:t>
            </a:r>
          </a:p>
        </c:rich>
      </c:tx>
      <c:layout>
        <c:manualLayout>
          <c:xMode val="edge"/>
          <c:yMode val="edge"/>
          <c:x val="0.13752449260674099"/>
          <c:y val="0.82437275985663083"/>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de-DE"/>
        </a:p>
      </c:txPr>
    </c:title>
    <c:autoTitleDeleted val="0"/>
    <c:plotArea>
      <c:layout>
        <c:manualLayout>
          <c:layoutTarget val="inner"/>
          <c:xMode val="edge"/>
          <c:yMode val="edge"/>
          <c:x val="0.2585255060939165"/>
          <c:y val="5.1971326164874543E-2"/>
          <c:w val="0.66886723318001096"/>
          <c:h val="0.62149892553753361"/>
        </c:manualLayout>
      </c:layout>
      <c:barChart>
        <c:barDir val="col"/>
        <c:grouping val="clustered"/>
        <c:varyColors val="0"/>
        <c:ser>
          <c:idx val="0"/>
          <c:order val="0"/>
          <c:tx>
            <c:strRef>
              <c:f>'CO2 total m² (2)'!$C$9</c:f>
              <c:strCache>
                <c:ptCount val="1"/>
                <c:pt idx="0">
                  <c:v>As built</c:v>
                </c:pt>
              </c:strCache>
            </c:strRef>
          </c:tx>
          <c:spPr>
            <a:solidFill>
              <a:schemeClr val="bg1">
                <a:lumMod val="8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de-D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'CO2 total m² (2)'!$L$8</c:f>
              <c:numCache>
                <c:formatCode>General</c:formatCode>
                <c:ptCount val="1"/>
                <c:pt idx="0">
                  <c:v>1957</c:v>
                </c:pt>
              </c:numCache>
              <c:extLst/>
            </c:numRef>
          </c:cat>
          <c:val>
            <c:numRef>
              <c:f>'CO2 total m² (2)'!$L$9</c:f>
              <c:numCache>
                <c:formatCode>#,##0.00</c:formatCode>
                <c:ptCount val="1"/>
                <c:pt idx="0">
                  <c:v>21.009999999999998</c:v>
                </c:pt>
              </c:numCache>
              <c:extLst/>
            </c:numRef>
          </c:val>
          <c:extLst>
            <c:ext xmlns:c16="http://schemas.microsoft.com/office/drawing/2014/chart" uri="{C3380CC4-5D6E-409C-BE32-E72D297353CC}">
              <c16:uniqueId val="{00000000-E514-8842-B129-C5A8BAA6AADB}"/>
            </c:ext>
          </c:extLst>
        </c:ser>
        <c:ser>
          <c:idx val="1"/>
          <c:order val="1"/>
          <c:tx>
            <c:strRef>
              <c:f>'CO2 total m² (2)'!$C$10</c:f>
              <c:strCache>
                <c:ptCount val="1"/>
                <c:pt idx="0">
                  <c:v>Low</c:v>
                </c:pt>
              </c:strCache>
            </c:strRef>
          </c:tx>
          <c:spPr>
            <a:solidFill>
              <a:schemeClr val="accent6">
                <a:lumMod val="20000"/>
                <a:lumOff val="8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de-D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'CO2 total m² (2)'!$L$8</c:f>
              <c:numCache>
                <c:formatCode>General</c:formatCode>
                <c:ptCount val="1"/>
                <c:pt idx="0">
                  <c:v>1957</c:v>
                </c:pt>
              </c:numCache>
              <c:extLst/>
            </c:numRef>
          </c:cat>
          <c:val>
            <c:numRef>
              <c:f>'CO2 total m² (2)'!$L$10</c:f>
              <c:numCache>
                <c:formatCode>#,##0.00</c:formatCode>
                <c:ptCount val="1"/>
                <c:pt idx="0">
                  <c:v>18.079999999999998</c:v>
                </c:pt>
              </c:numCache>
              <c:extLst/>
            </c:numRef>
          </c:val>
          <c:extLst>
            <c:ext xmlns:c16="http://schemas.microsoft.com/office/drawing/2014/chart" uri="{C3380CC4-5D6E-409C-BE32-E72D297353CC}">
              <c16:uniqueId val="{00000001-E514-8842-B129-C5A8BAA6AADB}"/>
            </c:ext>
          </c:extLst>
        </c:ser>
        <c:ser>
          <c:idx val="2"/>
          <c:order val="2"/>
          <c:tx>
            <c:strRef>
              <c:f>'CO2 total m² (2)'!$C$11</c:f>
              <c:strCache>
                <c:ptCount val="1"/>
                <c:pt idx="0">
                  <c:v>Medium</c:v>
                </c:pt>
              </c:strCache>
            </c:strRef>
          </c:tx>
          <c:spPr>
            <a:solidFill>
              <a:srgbClr val="4EA72F"/>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de-D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'CO2 total m² (2)'!$L$8</c:f>
              <c:numCache>
                <c:formatCode>General</c:formatCode>
                <c:ptCount val="1"/>
                <c:pt idx="0">
                  <c:v>1957</c:v>
                </c:pt>
              </c:numCache>
              <c:extLst/>
            </c:numRef>
          </c:cat>
          <c:val>
            <c:numRef>
              <c:f>'CO2 total m² (2)'!$L$11</c:f>
              <c:numCache>
                <c:formatCode>#,##0.00</c:formatCode>
                <c:ptCount val="1"/>
                <c:pt idx="0">
                  <c:v>12.15</c:v>
                </c:pt>
              </c:numCache>
              <c:extLst/>
            </c:numRef>
          </c:val>
          <c:extLst>
            <c:ext xmlns:c16="http://schemas.microsoft.com/office/drawing/2014/chart" uri="{C3380CC4-5D6E-409C-BE32-E72D297353CC}">
              <c16:uniqueId val="{00000002-E514-8842-B129-C5A8BAA6AADB}"/>
            </c:ext>
          </c:extLst>
        </c:ser>
        <c:ser>
          <c:idx val="3"/>
          <c:order val="3"/>
          <c:tx>
            <c:strRef>
              <c:f>'CO2 total m² (2)'!$C$12</c:f>
              <c:strCache>
                <c:ptCount val="1"/>
                <c:pt idx="0">
                  <c:v>High</c:v>
                </c:pt>
              </c:strCache>
            </c:strRef>
          </c:tx>
          <c:spPr>
            <a:solidFill>
              <a:schemeClr val="accent6">
                <a:lumMod val="5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de-D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'CO2 total m² (2)'!$L$8</c:f>
              <c:numCache>
                <c:formatCode>General</c:formatCode>
                <c:ptCount val="1"/>
                <c:pt idx="0">
                  <c:v>1957</c:v>
                </c:pt>
              </c:numCache>
              <c:extLst/>
            </c:numRef>
          </c:cat>
          <c:val>
            <c:numRef>
              <c:f>'CO2 total m² (2)'!$L$12</c:f>
              <c:numCache>
                <c:formatCode>#,##0.00</c:formatCode>
                <c:ptCount val="1"/>
                <c:pt idx="0">
                  <c:v>13.75</c:v>
                </c:pt>
              </c:numCache>
              <c:extLst/>
            </c:numRef>
          </c:val>
          <c:extLst>
            <c:ext xmlns:c16="http://schemas.microsoft.com/office/drawing/2014/chart" uri="{C3380CC4-5D6E-409C-BE32-E72D297353CC}">
              <c16:uniqueId val="{00000003-E514-8842-B129-C5A8BAA6AADB}"/>
            </c:ext>
          </c:extLst>
        </c:ser>
        <c:dLbls>
          <c:dLblPos val="outEnd"/>
          <c:showLegendKey val="0"/>
          <c:showVal val="1"/>
          <c:showCatName val="0"/>
          <c:showSerName val="0"/>
          <c:showPercent val="0"/>
          <c:showBubbleSize val="0"/>
        </c:dLbls>
        <c:gapWidth val="219"/>
        <c:overlap val="-27"/>
        <c:axId val="1893337616"/>
        <c:axId val="1746172848"/>
      </c:barChart>
      <c:catAx>
        <c:axId val="1893337616"/>
        <c:scaling>
          <c:orientation val="minMax"/>
        </c:scaling>
        <c:delete val="1"/>
        <c:axPos val="b"/>
        <c:numFmt formatCode="General" sourceLinked="1"/>
        <c:majorTickMark val="none"/>
        <c:minorTickMark val="none"/>
        <c:tickLblPos val="nextTo"/>
        <c:crossAx val="1746172848"/>
        <c:crosses val="autoZero"/>
        <c:auto val="1"/>
        <c:lblAlgn val="ctr"/>
        <c:lblOffset val="100"/>
        <c:noMultiLvlLbl val="0"/>
      </c:catAx>
      <c:valAx>
        <c:axId val="17461728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de-AT"/>
                  <a:t>[kgCO2]/m²a</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de-DE"/>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de-DE"/>
          </a:p>
        </c:txPr>
        <c:crossAx val="1893337616"/>
        <c:crosses val="autoZero"/>
        <c:crossBetween val="between"/>
      </c:valAx>
      <c:spPr>
        <a:noFill/>
        <a:ln>
          <a:noFill/>
        </a:ln>
        <a:effectLst/>
      </c:spPr>
    </c:plotArea>
    <c:legend>
      <c:legendPos val="b"/>
      <c:layout>
        <c:manualLayout>
          <c:xMode val="edge"/>
          <c:yMode val="edge"/>
          <c:x val="4.9999740131493463E-2"/>
          <c:y val="0.74515483951602812"/>
          <c:w val="0.9"/>
          <c:h val="7.5633690949921589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de-D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de-D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de-AT" sz="1000"/>
              <a:t>Fig. 2: </a:t>
            </a:r>
            <a:r>
              <a:rPr lang="de-AT" sz="1000" b="0"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GWPoperational per m² GFA/a</a:t>
            </a:r>
          </a:p>
        </c:rich>
      </c:tx>
      <c:layout>
        <c:manualLayout>
          <c:xMode val="edge"/>
          <c:yMode val="edge"/>
          <c:x val="8.812104176255868E-2"/>
          <c:y val="0.814132104454685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de-DE"/>
        </a:p>
      </c:txPr>
    </c:title>
    <c:autoTitleDeleted val="0"/>
    <c:plotArea>
      <c:layout>
        <c:manualLayout>
          <c:layoutTarget val="inner"/>
          <c:xMode val="edge"/>
          <c:yMode val="edge"/>
          <c:x val="0.23236395231777643"/>
          <c:y val="6.2596207732098008E-2"/>
          <c:w val="0.68636064912017292"/>
          <c:h val="0.56479109466155442"/>
        </c:manualLayout>
      </c:layout>
      <c:barChart>
        <c:barDir val="col"/>
        <c:grouping val="clustered"/>
        <c:varyColors val="0"/>
        <c:ser>
          <c:idx val="0"/>
          <c:order val="0"/>
          <c:tx>
            <c:strRef>
              <c:f>'(ok) CO2 op m²'!$C$9</c:f>
              <c:strCache>
                <c:ptCount val="1"/>
                <c:pt idx="0">
                  <c:v>As built</c:v>
                </c:pt>
              </c:strCache>
            </c:strRef>
          </c:tx>
          <c:spPr>
            <a:solidFill>
              <a:schemeClr val="bg1">
                <a:lumMod val="8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de-D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'(ok) CO2 op m²'!$L$8</c:f>
              <c:numCache>
                <c:formatCode>General</c:formatCode>
                <c:ptCount val="1"/>
                <c:pt idx="0">
                  <c:v>1957</c:v>
                </c:pt>
              </c:numCache>
              <c:extLst/>
            </c:numRef>
          </c:cat>
          <c:val>
            <c:numRef>
              <c:f>'(ok) CO2 op m²'!$L$9</c:f>
              <c:numCache>
                <c:formatCode>#,##0.00</c:formatCode>
                <c:ptCount val="1"/>
                <c:pt idx="0">
                  <c:v>17.100000000000001</c:v>
                </c:pt>
              </c:numCache>
              <c:extLst/>
            </c:numRef>
          </c:val>
          <c:extLst>
            <c:ext xmlns:c16="http://schemas.microsoft.com/office/drawing/2014/chart" uri="{C3380CC4-5D6E-409C-BE32-E72D297353CC}">
              <c16:uniqueId val="{00000000-57D8-1E42-8014-8E5BB10FB81B}"/>
            </c:ext>
          </c:extLst>
        </c:ser>
        <c:ser>
          <c:idx val="1"/>
          <c:order val="1"/>
          <c:tx>
            <c:strRef>
              <c:f>'(ok) CO2 op m²'!$C$10</c:f>
              <c:strCache>
                <c:ptCount val="1"/>
                <c:pt idx="0">
                  <c:v>Low</c:v>
                </c:pt>
              </c:strCache>
            </c:strRef>
          </c:tx>
          <c:spPr>
            <a:solidFill>
              <a:schemeClr val="accent6">
                <a:lumMod val="20000"/>
                <a:lumOff val="8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de-D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'(ok) CO2 op m²'!$L$8</c:f>
              <c:numCache>
                <c:formatCode>General</c:formatCode>
                <c:ptCount val="1"/>
                <c:pt idx="0">
                  <c:v>1957</c:v>
                </c:pt>
              </c:numCache>
              <c:extLst/>
            </c:numRef>
          </c:cat>
          <c:val>
            <c:numRef>
              <c:f>'(ok) CO2 op m²'!$L$10</c:f>
              <c:numCache>
                <c:formatCode>#,##0.00</c:formatCode>
                <c:ptCount val="1"/>
                <c:pt idx="0">
                  <c:v>13.5</c:v>
                </c:pt>
              </c:numCache>
              <c:extLst/>
            </c:numRef>
          </c:val>
          <c:extLst>
            <c:ext xmlns:c16="http://schemas.microsoft.com/office/drawing/2014/chart" uri="{C3380CC4-5D6E-409C-BE32-E72D297353CC}">
              <c16:uniqueId val="{00000001-57D8-1E42-8014-8E5BB10FB81B}"/>
            </c:ext>
          </c:extLst>
        </c:ser>
        <c:ser>
          <c:idx val="2"/>
          <c:order val="2"/>
          <c:tx>
            <c:strRef>
              <c:f>'(ok) CO2 op m²'!$C$11</c:f>
              <c:strCache>
                <c:ptCount val="1"/>
                <c:pt idx="0">
                  <c:v>Medium</c:v>
                </c:pt>
              </c:strCache>
            </c:strRef>
          </c:tx>
          <c:spPr>
            <a:solidFill>
              <a:srgbClr val="4EA72F"/>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de-D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'(ok) CO2 op m²'!$L$8</c:f>
              <c:numCache>
                <c:formatCode>General</c:formatCode>
                <c:ptCount val="1"/>
                <c:pt idx="0">
                  <c:v>1957</c:v>
                </c:pt>
              </c:numCache>
              <c:extLst/>
            </c:numRef>
          </c:cat>
          <c:val>
            <c:numRef>
              <c:f>'(ok) CO2 op m²'!$L$11</c:f>
              <c:numCache>
                <c:formatCode>#,##0.00</c:formatCode>
                <c:ptCount val="1"/>
                <c:pt idx="0">
                  <c:v>7.8</c:v>
                </c:pt>
              </c:numCache>
              <c:extLst/>
            </c:numRef>
          </c:val>
          <c:extLst>
            <c:ext xmlns:c16="http://schemas.microsoft.com/office/drawing/2014/chart" uri="{C3380CC4-5D6E-409C-BE32-E72D297353CC}">
              <c16:uniqueId val="{00000002-57D8-1E42-8014-8E5BB10FB81B}"/>
            </c:ext>
          </c:extLst>
        </c:ser>
        <c:ser>
          <c:idx val="3"/>
          <c:order val="3"/>
          <c:tx>
            <c:strRef>
              <c:f>'(ok) CO2 op m²'!$C$12</c:f>
              <c:strCache>
                <c:ptCount val="1"/>
                <c:pt idx="0">
                  <c:v>High</c:v>
                </c:pt>
              </c:strCache>
            </c:strRef>
          </c:tx>
          <c:spPr>
            <a:solidFill>
              <a:schemeClr val="accent6">
                <a:lumMod val="5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de-D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'(ok) CO2 op m²'!$L$8</c:f>
              <c:numCache>
                <c:formatCode>General</c:formatCode>
                <c:ptCount val="1"/>
                <c:pt idx="0">
                  <c:v>1957</c:v>
                </c:pt>
              </c:numCache>
              <c:extLst/>
            </c:numRef>
          </c:cat>
          <c:val>
            <c:numRef>
              <c:f>'(ok) CO2 op m²'!$L$12</c:f>
              <c:numCache>
                <c:formatCode>#,##0.00</c:formatCode>
                <c:ptCount val="1"/>
                <c:pt idx="0">
                  <c:v>9.3000000000000007</c:v>
                </c:pt>
              </c:numCache>
              <c:extLst/>
            </c:numRef>
          </c:val>
          <c:extLst>
            <c:ext xmlns:c16="http://schemas.microsoft.com/office/drawing/2014/chart" uri="{C3380CC4-5D6E-409C-BE32-E72D297353CC}">
              <c16:uniqueId val="{00000003-57D8-1E42-8014-8E5BB10FB81B}"/>
            </c:ext>
          </c:extLst>
        </c:ser>
        <c:dLbls>
          <c:dLblPos val="outEnd"/>
          <c:showLegendKey val="0"/>
          <c:showVal val="1"/>
          <c:showCatName val="0"/>
          <c:showSerName val="0"/>
          <c:showPercent val="0"/>
          <c:showBubbleSize val="0"/>
        </c:dLbls>
        <c:gapWidth val="219"/>
        <c:overlap val="-27"/>
        <c:axId val="1893337616"/>
        <c:axId val="1746172848"/>
      </c:barChart>
      <c:catAx>
        <c:axId val="1893337616"/>
        <c:scaling>
          <c:orientation val="minMax"/>
        </c:scaling>
        <c:delete val="1"/>
        <c:axPos val="b"/>
        <c:numFmt formatCode="General" sourceLinked="1"/>
        <c:majorTickMark val="none"/>
        <c:minorTickMark val="none"/>
        <c:tickLblPos val="nextTo"/>
        <c:crossAx val="1746172848"/>
        <c:crosses val="autoZero"/>
        <c:auto val="1"/>
        <c:lblAlgn val="ctr"/>
        <c:lblOffset val="100"/>
        <c:noMultiLvlLbl val="0"/>
      </c:catAx>
      <c:valAx>
        <c:axId val="17461728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de-AT"/>
                  <a:t>[kgCO2]/m²a</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de-DE"/>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de-DE"/>
          </a:p>
        </c:txPr>
        <c:crossAx val="1893337616"/>
        <c:crosses val="autoZero"/>
        <c:crossBetween val="between"/>
      </c:valAx>
      <c:spPr>
        <a:noFill/>
        <a:ln>
          <a:noFill/>
        </a:ln>
        <a:effectLst/>
      </c:spPr>
    </c:plotArea>
    <c:legend>
      <c:legendPos val="b"/>
      <c:layout>
        <c:manualLayout>
          <c:xMode val="edge"/>
          <c:yMode val="edge"/>
          <c:x val="7.3980796164155635E-2"/>
          <c:y val="0.72467352871213675"/>
          <c:w val="0.86454182286295178"/>
          <c:h val="7.5633690949921589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de-D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de-D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de-AT" sz="960" b="0"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Fig. 1: GWPembodied per m² GFA/a</a:t>
            </a:r>
          </a:p>
        </c:rich>
      </c:tx>
      <c:layout>
        <c:manualLayout>
          <c:xMode val="edge"/>
          <c:yMode val="edge"/>
          <c:x val="0.11590206752709982"/>
          <c:y val="0.83568315816457317"/>
        </c:manualLayout>
      </c:layout>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de-DE"/>
        </a:p>
      </c:txPr>
    </c:title>
    <c:autoTitleDeleted val="0"/>
    <c:plotArea>
      <c:layout>
        <c:manualLayout>
          <c:layoutTarget val="inner"/>
          <c:xMode val="edge"/>
          <c:yMode val="edge"/>
          <c:x val="0.21364893179361086"/>
          <c:y val="7.3109459113047934E-2"/>
          <c:w val="0.71952239262923245"/>
          <c:h val="0.62557672472432868"/>
        </c:manualLayout>
      </c:layout>
      <c:barChart>
        <c:barDir val="col"/>
        <c:grouping val="clustered"/>
        <c:varyColors val="0"/>
        <c:ser>
          <c:idx val="0"/>
          <c:order val="0"/>
          <c:tx>
            <c:strRef>
              <c:f>'(ok) CO2 emb m²)'!$C$9</c:f>
              <c:strCache>
                <c:ptCount val="1"/>
                <c:pt idx="0">
                  <c:v>As built</c:v>
                </c:pt>
              </c:strCache>
            </c:strRef>
          </c:tx>
          <c:spPr>
            <a:solidFill>
              <a:schemeClr val="bg1">
                <a:lumMod val="8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de-D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'(ok) CO2 emb m²)'!$L$8</c:f>
              <c:numCache>
                <c:formatCode>General</c:formatCode>
                <c:ptCount val="1"/>
                <c:pt idx="0">
                  <c:v>1957</c:v>
                </c:pt>
              </c:numCache>
              <c:extLst/>
            </c:numRef>
          </c:cat>
          <c:val>
            <c:numRef>
              <c:f>'(ok) CO2 emb m²)'!$L$9</c:f>
              <c:numCache>
                <c:formatCode>#,##0.00</c:formatCode>
                <c:ptCount val="1"/>
                <c:pt idx="0">
                  <c:v>3.9099999999999984</c:v>
                </c:pt>
              </c:numCache>
              <c:extLst/>
            </c:numRef>
          </c:val>
          <c:extLst>
            <c:ext xmlns:c16="http://schemas.microsoft.com/office/drawing/2014/chart" uri="{C3380CC4-5D6E-409C-BE32-E72D297353CC}">
              <c16:uniqueId val="{00000000-8892-7D4E-AEFE-3710F76E5D9F}"/>
            </c:ext>
          </c:extLst>
        </c:ser>
        <c:ser>
          <c:idx val="1"/>
          <c:order val="1"/>
          <c:tx>
            <c:strRef>
              <c:f>'(ok) CO2 emb m²)'!$C$10</c:f>
              <c:strCache>
                <c:ptCount val="1"/>
                <c:pt idx="0">
                  <c:v>Low</c:v>
                </c:pt>
              </c:strCache>
            </c:strRef>
          </c:tx>
          <c:spPr>
            <a:solidFill>
              <a:schemeClr val="accent6">
                <a:lumMod val="20000"/>
                <a:lumOff val="8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de-D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'(ok) CO2 emb m²)'!$L$8</c:f>
              <c:numCache>
                <c:formatCode>General</c:formatCode>
                <c:ptCount val="1"/>
                <c:pt idx="0">
                  <c:v>1957</c:v>
                </c:pt>
              </c:numCache>
              <c:extLst/>
            </c:numRef>
          </c:cat>
          <c:val>
            <c:numRef>
              <c:f>'(ok) CO2 emb m²)'!$L$10</c:f>
              <c:numCache>
                <c:formatCode>#,##0.00</c:formatCode>
                <c:ptCount val="1"/>
                <c:pt idx="0">
                  <c:v>4.58</c:v>
                </c:pt>
              </c:numCache>
              <c:extLst/>
            </c:numRef>
          </c:val>
          <c:extLst>
            <c:ext xmlns:c16="http://schemas.microsoft.com/office/drawing/2014/chart" uri="{C3380CC4-5D6E-409C-BE32-E72D297353CC}">
              <c16:uniqueId val="{00000001-8892-7D4E-AEFE-3710F76E5D9F}"/>
            </c:ext>
          </c:extLst>
        </c:ser>
        <c:ser>
          <c:idx val="2"/>
          <c:order val="2"/>
          <c:tx>
            <c:strRef>
              <c:f>'(ok) CO2 emb m²)'!$C$11</c:f>
              <c:strCache>
                <c:ptCount val="1"/>
                <c:pt idx="0">
                  <c:v>Medium</c:v>
                </c:pt>
              </c:strCache>
            </c:strRef>
          </c:tx>
          <c:spPr>
            <a:solidFill>
              <a:srgbClr val="4EA72F"/>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de-D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'(ok) CO2 emb m²)'!$L$8</c:f>
              <c:numCache>
                <c:formatCode>General</c:formatCode>
                <c:ptCount val="1"/>
                <c:pt idx="0">
                  <c:v>1957</c:v>
                </c:pt>
              </c:numCache>
              <c:extLst/>
            </c:numRef>
          </c:cat>
          <c:val>
            <c:numRef>
              <c:f>'(ok) CO2 emb m²)'!$L$11</c:f>
              <c:numCache>
                <c:formatCode>#,##0.00</c:formatCode>
                <c:ptCount val="1"/>
                <c:pt idx="0">
                  <c:v>4.3500000000000005</c:v>
                </c:pt>
              </c:numCache>
              <c:extLst/>
            </c:numRef>
          </c:val>
          <c:extLst>
            <c:ext xmlns:c16="http://schemas.microsoft.com/office/drawing/2014/chart" uri="{C3380CC4-5D6E-409C-BE32-E72D297353CC}">
              <c16:uniqueId val="{00000002-8892-7D4E-AEFE-3710F76E5D9F}"/>
            </c:ext>
          </c:extLst>
        </c:ser>
        <c:ser>
          <c:idx val="3"/>
          <c:order val="3"/>
          <c:tx>
            <c:strRef>
              <c:f>'(ok) CO2 emb m²)'!$C$12</c:f>
              <c:strCache>
                <c:ptCount val="1"/>
                <c:pt idx="0">
                  <c:v>High</c:v>
                </c:pt>
              </c:strCache>
            </c:strRef>
          </c:tx>
          <c:spPr>
            <a:solidFill>
              <a:schemeClr val="accent6">
                <a:lumMod val="5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de-D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'(ok) CO2 emb m²)'!$L$8</c:f>
              <c:numCache>
                <c:formatCode>General</c:formatCode>
                <c:ptCount val="1"/>
                <c:pt idx="0">
                  <c:v>1957</c:v>
                </c:pt>
              </c:numCache>
              <c:extLst/>
            </c:numRef>
          </c:cat>
          <c:val>
            <c:numRef>
              <c:f>'(ok) CO2 emb m²)'!$L$12</c:f>
              <c:numCache>
                <c:formatCode>#,##0.00</c:formatCode>
                <c:ptCount val="1"/>
                <c:pt idx="0">
                  <c:v>4.45</c:v>
                </c:pt>
              </c:numCache>
              <c:extLst/>
            </c:numRef>
          </c:val>
          <c:extLst>
            <c:ext xmlns:c16="http://schemas.microsoft.com/office/drawing/2014/chart" uri="{C3380CC4-5D6E-409C-BE32-E72D297353CC}">
              <c16:uniqueId val="{00000003-8892-7D4E-AEFE-3710F76E5D9F}"/>
            </c:ext>
          </c:extLst>
        </c:ser>
        <c:dLbls>
          <c:dLblPos val="outEnd"/>
          <c:showLegendKey val="0"/>
          <c:showVal val="1"/>
          <c:showCatName val="0"/>
          <c:showSerName val="0"/>
          <c:showPercent val="0"/>
          <c:showBubbleSize val="0"/>
        </c:dLbls>
        <c:gapWidth val="219"/>
        <c:overlap val="-27"/>
        <c:axId val="1893337616"/>
        <c:axId val="1746172848"/>
      </c:barChart>
      <c:catAx>
        <c:axId val="1893337616"/>
        <c:scaling>
          <c:orientation val="minMax"/>
        </c:scaling>
        <c:delete val="1"/>
        <c:axPos val="b"/>
        <c:numFmt formatCode="General" sourceLinked="1"/>
        <c:majorTickMark val="none"/>
        <c:minorTickMark val="none"/>
        <c:tickLblPos val="nextTo"/>
        <c:crossAx val="1746172848"/>
        <c:crosses val="autoZero"/>
        <c:auto val="1"/>
        <c:lblAlgn val="ctr"/>
        <c:lblOffset val="100"/>
        <c:noMultiLvlLbl val="0"/>
      </c:catAx>
      <c:valAx>
        <c:axId val="17461728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de-AT"/>
                  <a:t>[kgCO2]/m²a</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de-DE"/>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de-DE"/>
          </a:p>
        </c:txPr>
        <c:crossAx val="1893337616"/>
        <c:crosses val="autoZero"/>
        <c:crossBetween val="between"/>
      </c:valAx>
      <c:spPr>
        <a:noFill/>
        <a:ln>
          <a:noFill/>
        </a:ln>
        <a:effectLst/>
      </c:spPr>
    </c:plotArea>
    <c:legend>
      <c:legendPos val="b"/>
      <c:layout>
        <c:manualLayout>
          <c:xMode val="edge"/>
          <c:yMode val="edge"/>
          <c:x val="7.9940873125974685E-2"/>
          <c:y val="0.73457441762358533"/>
          <c:w val="0.8401182537480506"/>
          <c:h val="7.5730632363597464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de-D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de-D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de-AT" sz="1000"/>
              <a:t>Fig. 4: Comparison of Energy Performance Indicators</a:t>
            </a:r>
          </a:p>
        </c:rich>
      </c:tx>
      <c:layout>
        <c:manualLayout>
          <c:xMode val="edge"/>
          <c:yMode val="edge"/>
          <c:x val="0.17891926970667127"/>
          <c:y val="0.88169868554095043"/>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de-DE"/>
        </a:p>
      </c:txPr>
    </c:title>
    <c:autoTitleDeleted val="0"/>
    <c:plotArea>
      <c:layout>
        <c:manualLayout>
          <c:layoutTarget val="inner"/>
          <c:xMode val="edge"/>
          <c:yMode val="edge"/>
          <c:x val="0.15445646217299761"/>
          <c:y val="7.3407482305358943E-2"/>
          <c:w val="0.8015874938709584"/>
          <c:h val="0.66416789407896304"/>
        </c:manualLayout>
      </c:layout>
      <c:barChart>
        <c:barDir val="col"/>
        <c:grouping val="clustered"/>
        <c:varyColors val="0"/>
        <c:ser>
          <c:idx val="0"/>
          <c:order val="0"/>
          <c:tx>
            <c:strRef>
              <c:f>HWB!$E$9</c:f>
              <c:strCache>
                <c:ptCount val="1"/>
                <c:pt idx="0">
                  <c:v>As built</c:v>
                </c:pt>
              </c:strCache>
            </c:strRef>
          </c:tx>
          <c:spPr>
            <a:solidFill>
              <a:schemeClr val="bg1">
                <a:lumMod val="75000"/>
              </a:schemeClr>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de-D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(HWB!$R$8,HWB!$T$8)</c:f>
              <c:strCache>
                <c:ptCount val="2"/>
                <c:pt idx="0">
                  <c:v>1957   HD</c:v>
                </c:pt>
                <c:pt idx="1">
                  <c:v>1957   FED</c:v>
                </c:pt>
              </c:strCache>
              <c:extLst/>
            </c:strRef>
          </c:cat>
          <c:val>
            <c:numRef>
              <c:f>(HWB!$R$9,HWB!$T$9)</c:f>
              <c:numCache>
                <c:formatCode>#,##0.00</c:formatCode>
                <c:ptCount val="2"/>
                <c:pt idx="0">
                  <c:v>134.9</c:v>
                </c:pt>
                <c:pt idx="1">
                  <c:v>192.2</c:v>
                </c:pt>
              </c:numCache>
              <c:extLst/>
            </c:numRef>
          </c:val>
          <c:extLst>
            <c:ext xmlns:c16="http://schemas.microsoft.com/office/drawing/2014/chart" uri="{C3380CC4-5D6E-409C-BE32-E72D297353CC}">
              <c16:uniqueId val="{00000000-894F-DA41-9304-1614048B1B86}"/>
            </c:ext>
          </c:extLst>
        </c:ser>
        <c:ser>
          <c:idx val="1"/>
          <c:order val="1"/>
          <c:tx>
            <c:strRef>
              <c:f>HWB!$E$10</c:f>
              <c:strCache>
                <c:ptCount val="1"/>
                <c:pt idx="0">
                  <c:v>Low</c:v>
                </c:pt>
              </c:strCache>
            </c:strRef>
          </c:tx>
          <c:spPr>
            <a:solidFill>
              <a:schemeClr val="accent6">
                <a:lumMod val="20000"/>
                <a:lumOff val="80000"/>
              </a:schemeClr>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de-D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(HWB!$R$8,HWB!$T$8)</c:f>
              <c:strCache>
                <c:ptCount val="2"/>
                <c:pt idx="0">
                  <c:v>1957   HD</c:v>
                </c:pt>
                <c:pt idx="1">
                  <c:v>1957   FED</c:v>
                </c:pt>
              </c:strCache>
              <c:extLst/>
            </c:strRef>
          </c:cat>
          <c:val>
            <c:numRef>
              <c:f>(HWB!$R$10,HWB!$T$10)</c:f>
              <c:numCache>
                <c:formatCode>#,##0.00</c:formatCode>
                <c:ptCount val="2"/>
                <c:pt idx="0">
                  <c:v>75.900000000000006</c:v>
                </c:pt>
                <c:pt idx="1">
                  <c:v>131.5</c:v>
                </c:pt>
              </c:numCache>
              <c:extLst/>
            </c:numRef>
          </c:val>
          <c:extLst>
            <c:ext xmlns:c16="http://schemas.microsoft.com/office/drawing/2014/chart" uri="{C3380CC4-5D6E-409C-BE32-E72D297353CC}">
              <c16:uniqueId val="{00000001-894F-DA41-9304-1614048B1B86}"/>
            </c:ext>
          </c:extLst>
        </c:ser>
        <c:ser>
          <c:idx val="2"/>
          <c:order val="2"/>
          <c:tx>
            <c:strRef>
              <c:f>HWB!$E$11</c:f>
              <c:strCache>
                <c:ptCount val="1"/>
                <c:pt idx="0">
                  <c:v>Medium</c:v>
                </c:pt>
              </c:strCache>
            </c:strRef>
          </c:tx>
          <c:spPr>
            <a:solidFill>
              <a:srgbClr val="4EA72F"/>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de-D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(HWB!$R$8,HWB!$T$8)</c:f>
              <c:strCache>
                <c:ptCount val="2"/>
                <c:pt idx="0">
                  <c:v>1957   HD</c:v>
                </c:pt>
                <c:pt idx="1">
                  <c:v>1957   FED</c:v>
                </c:pt>
              </c:strCache>
              <c:extLst/>
            </c:strRef>
          </c:cat>
          <c:val>
            <c:numRef>
              <c:f>(HWB!$R$11,HWB!$T$11)</c:f>
              <c:numCache>
                <c:formatCode>#,##0.00</c:formatCode>
                <c:ptCount val="2"/>
                <c:pt idx="0">
                  <c:v>29.8</c:v>
                </c:pt>
                <c:pt idx="1">
                  <c:v>66.599999999999994</c:v>
                </c:pt>
              </c:numCache>
              <c:extLst/>
            </c:numRef>
          </c:val>
          <c:extLst>
            <c:ext xmlns:c16="http://schemas.microsoft.com/office/drawing/2014/chart" uri="{C3380CC4-5D6E-409C-BE32-E72D297353CC}">
              <c16:uniqueId val="{00000002-894F-DA41-9304-1614048B1B86}"/>
            </c:ext>
          </c:extLst>
        </c:ser>
        <c:ser>
          <c:idx val="3"/>
          <c:order val="3"/>
          <c:tx>
            <c:strRef>
              <c:f>HWB!$E$12</c:f>
              <c:strCache>
                <c:ptCount val="1"/>
                <c:pt idx="0">
                  <c:v>High</c:v>
                </c:pt>
              </c:strCache>
            </c:strRef>
          </c:tx>
          <c:spPr>
            <a:solidFill>
              <a:schemeClr val="accent6">
                <a:lumMod val="50000"/>
              </a:schemeClr>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de-D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(HWB!$R$8,HWB!$T$8)</c:f>
              <c:strCache>
                <c:ptCount val="2"/>
                <c:pt idx="0">
                  <c:v>1957   HD</c:v>
                </c:pt>
                <c:pt idx="1">
                  <c:v>1957   FED</c:v>
                </c:pt>
              </c:strCache>
              <c:extLst/>
            </c:strRef>
          </c:cat>
          <c:val>
            <c:numRef>
              <c:f>(HWB!$R$12,HWB!$T$12)</c:f>
              <c:numCache>
                <c:formatCode>#,##0.00</c:formatCode>
                <c:ptCount val="2"/>
                <c:pt idx="0">
                  <c:v>21.3</c:v>
                </c:pt>
                <c:pt idx="1">
                  <c:v>52.4</c:v>
                </c:pt>
              </c:numCache>
              <c:extLst/>
            </c:numRef>
          </c:val>
          <c:extLst>
            <c:ext xmlns:c16="http://schemas.microsoft.com/office/drawing/2014/chart" uri="{C3380CC4-5D6E-409C-BE32-E72D297353CC}">
              <c16:uniqueId val="{00000003-894F-DA41-9304-1614048B1B86}"/>
            </c:ext>
          </c:extLst>
        </c:ser>
        <c:dLbls>
          <c:dLblPos val="outEnd"/>
          <c:showLegendKey val="0"/>
          <c:showVal val="1"/>
          <c:showCatName val="0"/>
          <c:showSerName val="0"/>
          <c:showPercent val="0"/>
          <c:showBubbleSize val="0"/>
        </c:dLbls>
        <c:gapWidth val="219"/>
        <c:overlap val="-27"/>
        <c:axId val="1704377376"/>
        <c:axId val="1704376416"/>
      </c:barChart>
      <c:catAx>
        <c:axId val="1704377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de-DE"/>
          </a:p>
        </c:txPr>
        <c:crossAx val="1704376416"/>
        <c:crosses val="autoZero"/>
        <c:auto val="1"/>
        <c:lblAlgn val="ctr"/>
        <c:lblOffset val="100"/>
        <c:noMultiLvlLbl val="0"/>
      </c:catAx>
      <c:valAx>
        <c:axId val="17043764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de-AT"/>
                  <a:t>kWh/m²a</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de-DE"/>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de-DE"/>
          </a:p>
        </c:txPr>
        <c:crossAx val="1704377376"/>
        <c:crosses val="autoZero"/>
        <c:crossBetween val="between"/>
      </c:valAx>
      <c:spPr>
        <a:noFill/>
        <a:ln>
          <a:noFill/>
        </a:ln>
        <a:effectLst/>
      </c:spPr>
    </c:plotArea>
    <c:legend>
      <c:legendPos val="b"/>
      <c:layout>
        <c:manualLayout>
          <c:xMode val="edge"/>
          <c:yMode val="edge"/>
          <c:x val="0.25039658504225437"/>
          <c:y val="0.81083413612732169"/>
          <c:w val="0.50653283724149867"/>
          <c:h val="5.9742203609786389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de-D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de-D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000" b="0" i="0" u="none" strike="noStrike" baseline="0">
                <a:effectLst/>
              </a:rPr>
              <a:t>Figure 5. Circularity Indicators: Total Mass, Percentage of Waste vs. Recycling Material </a:t>
            </a:r>
            <a:endParaRPr lang="de-AT" sz="1000"/>
          </a:p>
        </c:rich>
      </c:tx>
      <c:layout>
        <c:manualLayout>
          <c:xMode val="edge"/>
          <c:yMode val="edge"/>
          <c:x val="0.13233082706766916"/>
          <c:y val="0.89564174330267898"/>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de-AT"/>
        </a:p>
      </c:txPr>
    </c:title>
    <c:autoTitleDeleted val="0"/>
    <c:plotArea>
      <c:layout>
        <c:manualLayout>
          <c:layoutTarget val="inner"/>
          <c:xMode val="edge"/>
          <c:yMode val="edge"/>
          <c:x val="0.20795209987087318"/>
          <c:y val="6.857257097161136E-2"/>
          <c:w val="0.73921311045223193"/>
          <c:h val="0.6679948493043727"/>
        </c:manualLayout>
      </c:layout>
      <c:barChart>
        <c:barDir val="col"/>
        <c:grouping val="stacked"/>
        <c:varyColors val="0"/>
        <c:ser>
          <c:idx val="0"/>
          <c:order val="0"/>
          <c:tx>
            <c:strRef>
              <c:f>Zirkularität!$T$8</c:f>
              <c:strCache>
                <c:ptCount val="1"/>
                <c:pt idx="0">
                  <c:v>Waste</c:v>
                </c:pt>
              </c:strCache>
            </c:strRef>
          </c:tx>
          <c:spPr>
            <a:solidFill>
              <a:schemeClr val="accent2">
                <a:lumMod val="20000"/>
                <a:lumOff val="80000"/>
              </a:schemeClr>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de-D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Zirkularität!$F$9:$F$12</c:f>
              <c:strCache>
                <c:ptCount val="4"/>
                <c:pt idx="0">
                  <c:v>As built</c:v>
                </c:pt>
                <c:pt idx="1">
                  <c:v>Low</c:v>
                </c:pt>
                <c:pt idx="2">
                  <c:v>Medium</c:v>
                </c:pt>
                <c:pt idx="3">
                  <c:v>High</c:v>
                </c:pt>
              </c:strCache>
            </c:strRef>
          </c:cat>
          <c:val>
            <c:numRef>
              <c:f>Zirkularität!$T$9:$T$12</c:f>
              <c:numCache>
                <c:formatCode>#,##0.00</c:formatCode>
                <c:ptCount val="4"/>
                <c:pt idx="0">
                  <c:v>11081.16</c:v>
                </c:pt>
                <c:pt idx="1">
                  <c:v>11211.67</c:v>
                </c:pt>
                <c:pt idx="2">
                  <c:v>11241.71</c:v>
                </c:pt>
                <c:pt idx="3">
                  <c:v>11364.76</c:v>
                </c:pt>
              </c:numCache>
            </c:numRef>
          </c:val>
          <c:extLst>
            <c:ext xmlns:c16="http://schemas.microsoft.com/office/drawing/2014/chart" uri="{C3380CC4-5D6E-409C-BE32-E72D297353CC}">
              <c16:uniqueId val="{00000000-4EB8-3441-B421-FD5D60FCC2B3}"/>
            </c:ext>
          </c:extLst>
        </c:ser>
        <c:ser>
          <c:idx val="1"/>
          <c:order val="1"/>
          <c:tx>
            <c:strRef>
              <c:f>Zirkularität!$U$8</c:f>
              <c:strCache>
                <c:ptCount val="1"/>
                <c:pt idx="0">
                  <c:v>Recycling</c:v>
                </c:pt>
              </c:strCache>
            </c:strRef>
          </c:tx>
          <c:spPr>
            <a:solidFill>
              <a:schemeClr val="accent6">
                <a:lumMod val="20000"/>
                <a:lumOff val="80000"/>
              </a:schemeClr>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de-D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Zirkularität!$F$9:$F$12</c:f>
              <c:strCache>
                <c:ptCount val="4"/>
                <c:pt idx="0">
                  <c:v>As built</c:v>
                </c:pt>
                <c:pt idx="1">
                  <c:v>Low</c:v>
                </c:pt>
                <c:pt idx="2">
                  <c:v>Medium</c:v>
                </c:pt>
                <c:pt idx="3">
                  <c:v>High</c:v>
                </c:pt>
              </c:strCache>
            </c:strRef>
          </c:cat>
          <c:val>
            <c:numRef>
              <c:f>Zirkularität!$U$9:$U$12</c:f>
              <c:numCache>
                <c:formatCode>#,##0.00</c:formatCode>
                <c:ptCount val="4"/>
                <c:pt idx="0">
                  <c:v>8959.7999999999993</c:v>
                </c:pt>
                <c:pt idx="1">
                  <c:v>9050.65</c:v>
                </c:pt>
                <c:pt idx="2">
                  <c:v>9080.11</c:v>
                </c:pt>
                <c:pt idx="3">
                  <c:v>9344.74</c:v>
                </c:pt>
              </c:numCache>
            </c:numRef>
          </c:val>
          <c:extLst>
            <c:ext xmlns:c16="http://schemas.microsoft.com/office/drawing/2014/chart" uri="{C3380CC4-5D6E-409C-BE32-E72D297353CC}">
              <c16:uniqueId val="{00000001-4EB8-3441-B421-FD5D60FCC2B3}"/>
            </c:ext>
          </c:extLst>
        </c:ser>
        <c:dLbls>
          <c:dLblPos val="ctr"/>
          <c:showLegendKey val="0"/>
          <c:showVal val="1"/>
          <c:showCatName val="0"/>
          <c:showSerName val="0"/>
          <c:showPercent val="0"/>
          <c:showBubbleSize val="0"/>
        </c:dLbls>
        <c:gapWidth val="150"/>
        <c:overlap val="100"/>
        <c:axId val="1743580704"/>
        <c:axId val="1743579744"/>
      </c:barChart>
      <c:catAx>
        <c:axId val="1743580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de-DE"/>
          </a:p>
        </c:txPr>
        <c:crossAx val="1743579744"/>
        <c:crosses val="autoZero"/>
        <c:auto val="1"/>
        <c:lblAlgn val="ctr"/>
        <c:lblOffset val="100"/>
        <c:noMultiLvlLbl val="0"/>
      </c:catAx>
      <c:valAx>
        <c:axId val="1743579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de-AT"/>
                  <a:t>[t]</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de-DE"/>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de-DE"/>
          </a:p>
        </c:txPr>
        <c:crossAx val="1743580704"/>
        <c:crosses val="autoZero"/>
        <c:crossBetween val="between"/>
      </c:valAx>
      <c:spPr>
        <a:noFill/>
        <a:ln>
          <a:noFill/>
        </a:ln>
        <a:effectLst/>
      </c:spPr>
    </c:plotArea>
    <c:legend>
      <c:legendPos val="b"/>
      <c:layout>
        <c:manualLayout>
          <c:xMode val="edge"/>
          <c:yMode val="edge"/>
          <c:x val="0.34139864189574171"/>
          <c:y val="0.80257702967541433"/>
          <c:w val="0.3334592066461109"/>
          <c:h val="5.9061414804157081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de-D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8113</Words>
  <Characters>51113</Characters>
  <Application>Microsoft Office Word</Application>
  <DocSecurity>4</DocSecurity>
  <Lines>425</Lines>
  <Paragraphs>118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Ioannou-Naoum, Alexandros Vassileios Emilios</cp:lastModifiedBy>
  <cp:revision>2</cp:revision>
  <dcterms:created xsi:type="dcterms:W3CDTF">2026-05-31T10:00:00Z</dcterms:created>
  <dcterms:modified xsi:type="dcterms:W3CDTF">2026-05-31T10:00:00Z</dcterms:modified>
</cp:coreProperties>
</file>