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52E1" w14:textId="69D2FD74" w:rsidR="000351C3" w:rsidRPr="004D6307" w:rsidRDefault="003255AF" w:rsidP="007E6975">
      <w:pPr>
        <w:jc w:val="center"/>
      </w:pPr>
      <w:r w:rsidRPr="004D6307">
        <w:rPr>
          <w:b/>
          <w:bCs/>
        </w:rPr>
        <w:t xml:space="preserve">When </w:t>
      </w:r>
      <w:r w:rsidR="00F83D8D">
        <w:rPr>
          <w:b/>
          <w:bCs/>
        </w:rPr>
        <w:t xml:space="preserve">Resilience Replaces </w:t>
      </w:r>
      <w:r w:rsidRPr="004D6307">
        <w:rPr>
          <w:b/>
          <w:bCs/>
        </w:rPr>
        <w:t>Reliability</w:t>
      </w:r>
      <w:r w:rsidR="00F83D8D">
        <w:rPr>
          <w:b/>
          <w:bCs/>
        </w:rPr>
        <w:t>: Resilience Organizing in Extreme Arctic I</w:t>
      </w:r>
      <w:r w:rsidRPr="004D6307">
        <w:rPr>
          <w:b/>
          <w:bCs/>
        </w:rPr>
        <w:t>nfrastructure Environments</w:t>
      </w:r>
    </w:p>
    <w:p w14:paraId="03344F98" w14:textId="77777777" w:rsidR="007E6975" w:rsidRDefault="007E6975" w:rsidP="007E6975">
      <w:pPr>
        <w:pStyle w:val="Heading2"/>
        <w:spacing w:before="0" w:after="0"/>
        <w:jc w:val="center"/>
        <w:rPr>
          <w:b w:val="0"/>
          <w:bCs w:val="0"/>
        </w:rPr>
      </w:pPr>
    </w:p>
    <w:p w14:paraId="184F32A9" w14:textId="3FFE79D6" w:rsidR="00016570" w:rsidRDefault="005B2592" w:rsidP="00016570">
      <w:pPr>
        <w:pStyle w:val="Heading2"/>
        <w:spacing w:before="0" w:after="0"/>
        <w:jc w:val="center"/>
        <w:rPr>
          <w:b w:val="0"/>
          <w:bCs w:val="0"/>
        </w:rPr>
      </w:pPr>
      <w:r w:rsidRPr="007E6975">
        <w:rPr>
          <w:b w:val="0"/>
          <w:bCs w:val="0"/>
        </w:rPr>
        <w:t>Keri K. Stephens</w:t>
      </w:r>
      <w:r w:rsidR="00016570">
        <w:rPr>
          <w:b w:val="0"/>
          <w:bCs w:val="0"/>
        </w:rPr>
        <w:t>,</w:t>
      </w:r>
      <w:r w:rsidR="00016570" w:rsidRPr="00016570">
        <w:rPr>
          <w:b w:val="0"/>
          <w:bCs w:val="0"/>
          <w:vertAlign w:val="superscript"/>
        </w:rPr>
        <w:t>1</w:t>
      </w:r>
      <w:r w:rsidR="00016570">
        <w:rPr>
          <w:b w:val="0"/>
          <w:bCs w:val="0"/>
        </w:rPr>
        <w:t xml:space="preserve"> </w:t>
      </w:r>
      <w:r w:rsidRPr="007E6975">
        <w:rPr>
          <w:b w:val="0"/>
          <w:bCs w:val="0"/>
        </w:rPr>
        <w:t>Haniye Safarpour</w:t>
      </w:r>
      <w:r w:rsidR="00016570">
        <w:rPr>
          <w:b w:val="0"/>
          <w:bCs w:val="0"/>
        </w:rPr>
        <w:t>,</w:t>
      </w:r>
      <w:r w:rsidR="00016570" w:rsidRPr="00016570">
        <w:rPr>
          <w:b w:val="0"/>
          <w:bCs w:val="0"/>
          <w:vertAlign w:val="superscript"/>
        </w:rPr>
        <w:t>2</w:t>
      </w:r>
      <w:r w:rsidR="00016570">
        <w:rPr>
          <w:b w:val="0"/>
          <w:bCs w:val="0"/>
        </w:rPr>
        <w:t xml:space="preserve"> </w:t>
      </w:r>
      <w:r w:rsidRPr="007E6975">
        <w:rPr>
          <w:b w:val="0"/>
          <w:bCs w:val="0"/>
        </w:rPr>
        <w:t>Ana Lacau</w:t>
      </w:r>
      <w:r w:rsidR="00016570">
        <w:rPr>
          <w:b w:val="0"/>
          <w:bCs w:val="0"/>
        </w:rPr>
        <w:t>,</w:t>
      </w:r>
      <w:r w:rsidR="00016570" w:rsidRPr="00016570">
        <w:rPr>
          <w:b w:val="0"/>
          <w:bCs w:val="0"/>
          <w:vertAlign w:val="superscript"/>
        </w:rPr>
        <w:t>3</w:t>
      </w:r>
      <w:r w:rsidR="00016570">
        <w:rPr>
          <w:b w:val="0"/>
          <w:bCs w:val="0"/>
        </w:rPr>
        <w:t xml:space="preserve"> L</w:t>
      </w:r>
      <w:r w:rsidRPr="007E6975">
        <w:rPr>
          <w:b w:val="0"/>
          <w:bCs w:val="0"/>
        </w:rPr>
        <w:t>auryn A. Spearing</w:t>
      </w:r>
      <w:r w:rsidR="00016570">
        <w:rPr>
          <w:b w:val="0"/>
          <w:bCs w:val="0"/>
        </w:rPr>
        <w:t>,</w:t>
      </w:r>
      <w:r w:rsidR="00016570" w:rsidRPr="00016570">
        <w:rPr>
          <w:b w:val="0"/>
          <w:bCs w:val="0"/>
          <w:vertAlign w:val="superscript"/>
        </w:rPr>
        <w:t>4</w:t>
      </w:r>
    </w:p>
    <w:p w14:paraId="7E90F859" w14:textId="1C7E9A9F" w:rsidR="005B2592" w:rsidRPr="007E6975" w:rsidRDefault="005B2592" w:rsidP="00016570">
      <w:pPr>
        <w:pStyle w:val="Heading2"/>
        <w:spacing w:before="0" w:after="0"/>
        <w:jc w:val="center"/>
        <w:rPr>
          <w:b w:val="0"/>
          <w:bCs w:val="0"/>
        </w:rPr>
      </w:pPr>
      <w:r>
        <w:rPr>
          <w:b w:val="0"/>
          <w:bCs w:val="0"/>
        </w:rPr>
        <w:t>Leif Albertson</w:t>
      </w:r>
      <w:r w:rsidR="00016570">
        <w:rPr>
          <w:b w:val="0"/>
          <w:bCs w:val="0"/>
        </w:rPr>
        <w:t>,</w:t>
      </w:r>
      <w:r w:rsidR="00016570" w:rsidRPr="00016570">
        <w:rPr>
          <w:b w:val="0"/>
          <w:bCs w:val="0"/>
          <w:vertAlign w:val="superscript"/>
        </w:rPr>
        <w:t>5</w:t>
      </w:r>
      <w:r>
        <w:rPr>
          <w:b w:val="0"/>
          <w:bCs w:val="0"/>
        </w:rPr>
        <w:t xml:space="preserve"> </w:t>
      </w:r>
      <w:r w:rsidR="00016570">
        <w:rPr>
          <w:b w:val="0"/>
          <w:bCs w:val="0"/>
        </w:rPr>
        <w:t>&amp;</w:t>
      </w:r>
      <w:r>
        <w:rPr>
          <w:b w:val="0"/>
          <w:bCs w:val="0"/>
        </w:rPr>
        <w:t xml:space="preserve"> </w:t>
      </w:r>
      <w:r w:rsidRPr="007E6975">
        <w:rPr>
          <w:b w:val="0"/>
          <w:bCs w:val="0"/>
        </w:rPr>
        <w:t>Kasey M. Faust</w:t>
      </w:r>
      <w:r w:rsidR="00016570" w:rsidRPr="00016570">
        <w:rPr>
          <w:b w:val="0"/>
          <w:bCs w:val="0"/>
          <w:vertAlign w:val="superscript"/>
        </w:rPr>
        <w:t>6</w:t>
      </w:r>
    </w:p>
    <w:p w14:paraId="0BDA15E6" w14:textId="77777777" w:rsidR="00016570" w:rsidRDefault="00016570" w:rsidP="00016570">
      <w:pPr>
        <w:pStyle w:val="paragraph"/>
        <w:spacing w:before="0" w:beforeAutospacing="0" w:after="0" w:afterAutospacing="0"/>
        <w:jc w:val="center"/>
        <w:textAlignment w:val="baseline"/>
        <w:rPr>
          <w:rFonts w:asciiTheme="majorBidi" w:hAnsiTheme="majorBidi" w:cstheme="majorBidi"/>
          <w:kern w:val="2"/>
          <w:sz w:val="20"/>
          <w:szCs w:val="20"/>
          <w:vertAlign w:val="superscript"/>
          <w14:ligatures w14:val="standardContextual"/>
        </w:rPr>
      </w:pPr>
    </w:p>
    <w:p w14:paraId="24AD48E7" w14:textId="2094E9CD" w:rsidR="00016570" w:rsidRPr="00FB5C6D" w:rsidRDefault="00016570" w:rsidP="00016570">
      <w:pPr>
        <w:pStyle w:val="paragraph"/>
        <w:spacing w:before="0" w:beforeAutospacing="0" w:after="0" w:afterAutospacing="0"/>
        <w:jc w:val="center"/>
        <w:textAlignment w:val="baseline"/>
        <w:rPr>
          <w:rFonts w:asciiTheme="majorBidi" w:hAnsiTheme="majorBidi" w:cstheme="majorBidi"/>
          <w:kern w:val="2"/>
          <w:sz w:val="20"/>
          <w:szCs w:val="20"/>
          <w14:ligatures w14:val="standardContextual"/>
        </w:rPr>
      </w:pPr>
      <w:r>
        <w:rPr>
          <w:rFonts w:asciiTheme="majorBidi" w:hAnsiTheme="majorBidi" w:cstheme="majorBidi"/>
          <w:kern w:val="2"/>
          <w:sz w:val="20"/>
          <w:szCs w:val="20"/>
          <w:vertAlign w:val="superscript"/>
          <w14:ligatures w14:val="standardContextual"/>
        </w:rPr>
        <w:t>1</w:t>
      </w:r>
      <w:r w:rsidRPr="00FB5C6D">
        <w:rPr>
          <w:rFonts w:asciiTheme="majorBidi" w:hAnsiTheme="majorBidi" w:cstheme="majorBidi"/>
          <w:kern w:val="2"/>
          <w:sz w:val="20"/>
          <w:szCs w:val="20"/>
          <w14:ligatures w14:val="standardContextual"/>
        </w:rPr>
        <w:t xml:space="preserve">Professor, Department of Communication Studies, University of Texas at Austin, Email: </w:t>
      </w:r>
      <w:hyperlink r:id="rId7" w:history="1">
        <w:r w:rsidRPr="00FB5C6D">
          <w:rPr>
            <w:rStyle w:val="Hyperlink"/>
            <w:rFonts w:asciiTheme="majorBidi" w:hAnsiTheme="majorBidi" w:cstheme="majorBidi"/>
            <w:kern w:val="2"/>
            <w:sz w:val="20"/>
            <w:szCs w:val="20"/>
            <w14:ligatures w14:val="standardContextual"/>
          </w:rPr>
          <w:t>keristephens@austin.utexas.edu</w:t>
        </w:r>
      </w:hyperlink>
      <w:r w:rsidRPr="00FB5C6D">
        <w:rPr>
          <w:rFonts w:asciiTheme="majorBidi" w:hAnsiTheme="majorBidi" w:cstheme="majorBidi"/>
          <w:kern w:val="2"/>
          <w:sz w:val="20"/>
          <w:szCs w:val="20"/>
          <w14:ligatures w14:val="standardContextual"/>
        </w:rPr>
        <w:t xml:space="preserve"> </w:t>
      </w:r>
    </w:p>
    <w:p w14:paraId="736D39CB" w14:textId="76FA5C37" w:rsidR="00016570" w:rsidRPr="00FB5C6D" w:rsidRDefault="00016570" w:rsidP="00016570">
      <w:pPr>
        <w:jc w:val="center"/>
        <w:rPr>
          <w:rFonts w:asciiTheme="majorBidi" w:hAnsiTheme="majorBidi" w:cstheme="majorBidi"/>
          <w:sz w:val="20"/>
          <w:szCs w:val="20"/>
        </w:rPr>
      </w:pPr>
      <w:r>
        <w:rPr>
          <w:rFonts w:asciiTheme="majorBidi" w:hAnsiTheme="majorBidi" w:cstheme="majorBidi"/>
          <w:sz w:val="20"/>
          <w:szCs w:val="20"/>
          <w:vertAlign w:val="superscript"/>
        </w:rPr>
        <w:t>2</w:t>
      </w:r>
      <w:r w:rsidRPr="00FB5C6D">
        <w:rPr>
          <w:rFonts w:asciiTheme="majorBidi" w:hAnsiTheme="majorBidi" w:cstheme="majorBidi"/>
          <w:sz w:val="20"/>
          <w:szCs w:val="20"/>
        </w:rPr>
        <w:t xml:space="preserve">PhD. Candidate, Department of Civil and Environmental Engineering, Tufts University, Email: </w:t>
      </w:r>
      <w:hyperlink r:id="rId8" w:history="1">
        <w:r w:rsidRPr="00FB5C6D">
          <w:rPr>
            <w:rStyle w:val="Hyperlink"/>
            <w:rFonts w:asciiTheme="majorBidi" w:hAnsiTheme="majorBidi" w:cstheme="majorBidi"/>
            <w:sz w:val="20"/>
            <w:szCs w:val="20"/>
          </w:rPr>
          <w:t>haniye.safarpour@tufts.edu</w:t>
        </w:r>
      </w:hyperlink>
      <w:r w:rsidRPr="00FB5C6D">
        <w:rPr>
          <w:rFonts w:asciiTheme="majorBidi" w:hAnsiTheme="majorBidi" w:cstheme="majorBidi"/>
          <w:sz w:val="20"/>
          <w:szCs w:val="20"/>
        </w:rPr>
        <w:t xml:space="preserve"> </w:t>
      </w:r>
    </w:p>
    <w:p w14:paraId="359628B3" w14:textId="35C46D08" w:rsidR="00016570" w:rsidRDefault="00016570" w:rsidP="00016570">
      <w:pPr>
        <w:jc w:val="center"/>
        <w:rPr>
          <w:rFonts w:asciiTheme="majorBidi" w:hAnsiTheme="majorBidi" w:cstheme="majorBidi"/>
          <w:sz w:val="20"/>
          <w:szCs w:val="20"/>
        </w:rPr>
      </w:pPr>
      <w:r>
        <w:rPr>
          <w:rFonts w:asciiTheme="majorBidi" w:hAnsiTheme="majorBidi" w:cstheme="majorBidi"/>
          <w:sz w:val="20"/>
          <w:szCs w:val="20"/>
          <w:vertAlign w:val="superscript"/>
        </w:rPr>
        <w:t>3</w:t>
      </w:r>
      <w:r w:rsidRPr="00FB5C6D">
        <w:rPr>
          <w:rFonts w:asciiTheme="majorBidi" w:hAnsiTheme="majorBidi" w:cstheme="majorBidi"/>
          <w:sz w:val="20"/>
          <w:szCs w:val="20"/>
        </w:rPr>
        <w:t xml:space="preserve">Graduate Student, Fariborz Maseeh Department of Civil, Architectural and Environmental Engineering, The University of Texas at Austin, Email: </w:t>
      </w:r>
      <w:hyperlink r:id="rId9" w:history="1">
        <w:r w:rsidRPr="00FB5C6D">
          <w:rPr>
            <w:rStyle w:val="Hyperlink"/>
            <w:rFonts w:asciiTheme="majorBidi" w:hAnsiTheme="majorBidi" w:cstheme="majorBidi"/>
            <w:sz w:val="20"/>
            <w:szCs w:val="20"/>
          </w:rPr>
          <w:t>ana.lacau@utexas.edu</w:t>
        </w:r>
      </w:hyperlink>
      <w:r w:rsidRPr="00FB5C6D">
        <w:rPr>
          <w:rFonts w:asciiTheme="majorBidi" w:hAnsiTheme="majorBidi" w:cstheme="majorBidi"/>
          <w:sz w:val="20"/>
          <w:szCs w:val="20"/>
        </w:rPr>
        <w:t xml:space="preserve"> </w:t>
      </w:r>
    </w:p>
    <w:p w14:paraId="3952A7FF" w14:textId="77777777" w:rsidR="00016570" w:rsidRPr="00FB5C6D" w:rsidRDefault="00016570" w:rsidP="00016570">
      <w:pPr>
        <w:jc w:val="center"/>
        <w:rPr>
          <w:rFonts w:asciiTheme="majorBidi" w:hAnsiTheme="majorBidi" w:cstheme="majorBidi"/>
          <w:sz w:val="20"/>
          <w:szCs w:val="20"/>
        </w:rPr>
      </w:pPr>
      <w:r>
        <w:rPr>
          <w:rFonts w:asciiTheme="majorBidi" w:hAnsiTheme="majorBidi" w:cstheme="majorBidi"/>
          <w:sz w:val="20"/>
          <w:szCs w:val="20"/>
          <w:vertAlign w:val="superscript"/>
        </w:rPr>
        <w:t>4</w:t>
      </w:r>
      <w:r w:rsidRPr="00FB5C6D">
        <w:rPr>
          <w:rFonts w:asciiTheme="majorBidi" w:hAnsiTheme="majorBidi" w:cstheme="majorBidi"/>
          <w:sz w:val="20"/>
          <w:szCs w:val="20"/>
        </w:rPr>
        <w:t xml:space="preserve">Assistant Professor, Department of Civil and Environmental Engineering, Tufts University, Email: </w:t>
      </w:r>
      <w:hyperlink r:id="rId10" w:history="1">
        <w:r w:rsidRPr="00FB5C6D">
          <w:rPr>
            <w:rStyle w:val="Hyperlink"/>
            <w:rFonts w:asciiTheme="majorBidi" w:hAnsiTheme="majorBidi" w:cstheme="majorBidi"/>
            <w:sz w:val="20"/>
            <w:szCs w:val="20"/>
          </w:rPr>
          <w:t>Lauryn.Spearing@tufts.edu</w:t>
        </w:r>
      </w:hyperlink>
    </w:p>
    <w:p w14:paraId="5CA42940" w14:textId="721A8AFB" w:rsidR="00016570" w:rsidRPr="00FB5C6D" w:rsidRDefault="00016570" w:rsidP="00016570">
      <w:pPr>
        <w:jc w:val="center"/>
        <w:rPr>
          <w:rFonts w:asciiTheme="majorBidi" w:hAnsiTheme="majorBidi" w:cstheme="majorBidi"/>
          <w:sz w:val="20"/>
          <w:szCs w:val="20"/>
        </w:rPr>
      </w:pPr>
      <w:r>
        <w:rPr>
          <w:rFonts w:asciiTheme="majorBidi" w:hAnsiTheme="majorBidi" w:cstheme="majorBidi"/>
          <w:sz w:val="20"/>
          <w:szCs w:val="20"/>
          <w:vertAlign w:val="superscript"/>
        </w:rPr>
        <w:t>5</w:t>
      </w:r>
      <w:r w:rsidRPr="00FB5C6D">
        <w:rPr>
          <w:rFonts w:asciiTheme="majorBidi" w:hAnsiTheme="majorBidi" w:cstheme="majorBidi"/>
          <w:sz w:val="20"/>
          <w:szCs w:val="20"/>
        </w:rPr>
        <w:t xml:space="preserve">Cooperative Extension Service, University of Alaska Fairbanks, Anchorage, Alaska, Email: </w:t>
      </w:r>
      <w:hyperlink r:id="rId11" w:history="1">
        <w:r w:rsidRPr="00FB5C6D">
          <w:rPr>
            <w:rStyle w:val="Hyperlink"/>
            <w:rFonts w:asciiTheme="majorBidi" w:hAnsiTheme="majorBidi" w:cstheme="majorBidi"/>
            <w:sz w:val="20"/>
            <w:szCs w:val="20"/>
          </w:rPr>
          <w:t>leifalbertson@gmail.com</w:t>
        </w:r>
      </w:hyperlink>
      <w:r w:rsidRPr="00FB5C6D">
        <w:rPr>
          <w:rFonts w:asciiTheme="majorBidi" w:hAnsiTheme="majorBidi" w:cstheme="majorBidi"/>
          <w:sz w:val="20"/>
          <w:szCs w:val="20"/>
        </w:rPr>
        <w:t xml:space="preserve">   </w:t>
      </w:r>
    </w:p>
    <w:p w14:paraId="50C9D820" w14:textId="2A39A2FE" w:rsidR="00016570" w:rsidRPr="00FB5C6D" w:rsidRDefault="00016570" w:rsidP="00016570">
      <w:pPr>
        <w:jc w:val="center"/>
        <w:rPr>
          <w:rFonts w:asciiTheme="majorBidi" w:hAnsiTheme="majorBidi" w:cstheme="majorBidi"/>
          <w:sz w:val="20"/>
          <w:szCs w:val="20"/>
        </w:rPr>
      </w:pPr>
      <w:r w:rsidRPr="00FB5C6D">
        <w:rPr>
          <w:rFonts w:asciiTheme="majorBidi" w:hAnsiTheme="majorBidi" w:cstheme="majorBidi"/>
          <w:sz w:val="20"/>
          <w:szCs w:val="20"/>
          <w:vertAlign w:val="superscript"/>
        </w:rPr>
        <w:t>6</w:t>
      </w:r>
      <w:r w:rsidRPr="00FB5C6D">
        <w:rPr>
          <w:rFonts w:asciiTheme="majorBidi" w:hAnsiTheme="majorBidi" w:cstheme="majorBidi"/>
          <w:sz w:val="20"/>
          <w:szCs w:val="20"/>
        </w:rPr>
        <w:t xml:space="preserve">Associate Professor, Fariborz Maseeh Department of Civil, Architectural and Environmental Engineering, The University of Texas at Austin, Email: </w:t>
      </w:r>
      <w:hyperlink r:id="rId12" w:history="1">
        <w:r w:rsidRPr="00E57780">
          <w:rPr>
            <w:rStyle w:val="Hyperlink"/>
            <w:rFonts w:asciiTheme="majorBidi" w:hAnsiTheme="majorBidi" w:cstheme="majorBidi"/>
            <w:sz w:val="20"/>
            <w:szCs w:val="20"/>
          </w:rPr>
          <w:t>faustk@utexas.edu</w:t>
        </w:r>
      </w:hyperlink>
      <w:r>
        <w:rPr>
          <w:rFonts w:asciiTheme="majorBidi" w:hAnsiTheme="majorBidi" w:cstheme="majorBidi"/>
          <w:sz w:val="20"/>
          <w:szCs w:val="20"/>
        </w:rPr>
        <w:t xml:space="preserve"> </w:t>
      </w:r>
      <w:r w:rsidRPr="00FB5C6D">
        <w:rPr>
          <w:rFonts w:asciiTheme="majorBidi" w:hAnsiTheme="majorBidi" w:cstheme="majorBidi"/>
          <w:sz w:val="20"/>
          <w:szCs w:val="20"/>
        </w:rPr>
        <w:t xml:space="preserve"> </w:t>
      </w:r>
    </w:p>
    <w:p w14:paraId="75038F73" w14:textId="77777777" w:rsidR="00016570" w:rsidRDefault="00016570" w:rsidP="007E6975">
      <w:pPr>
        <w:pStyle w:val="Heading2"/>
        <w:spacing w:before="0" w:after="0"/>
      </w:pPr>
    </w:p>
    <w:p w14:paraId="31B84CD1" w14:textId="4886C36A" w:rsidR="000351C3" w:rsidRDefault="003255AF" w:rsidP="007E6975">
      <w:pPr>
        <w:pStyle w:val="Heading2"/>
        <w:spacing w:before="0" w:after="0"/>
      </w:pPr>
      <w:r>
        <w:t>Introduction</w:t>
      </w:r>
    </w:p>
    <w:p w14:paraId="3B20E51B" w14:textId="77777777" w:rsidR="007E6975" w:rsidRDefault="007E6975" w:rsidP="007E6975"/>
    <w:p w14:paraId="4F67B8EE" w14:textId="2EA3E83A" w:rsidR="00135F23" w:rsidRDefault="003255AF" w:rsidP="007E6975">
      <w:r>
        <w:t xml:space="preserve">Infrastructure management in extreme environments demands a fundamental reconceptualization of how organizations plan for and respond to disruptions. Traditional High Reliability Organization (HRO) theory, developed through studies of nuclear power plants, aircraft carriers, and air traffic control systems, focuses on preventing catastrophic failures through collective mindfulness and systematic attention to potential errors. </w:t>
      </w:r>
      <w:r w:rsidR="005A1886">
        <w:t xml:space="preserve">From an organization perspective, </w:t>
      </w:r>
      <w:r w:rsidRPr="00F83D8D">
        <w:t>HRO theory has become the dominant framework for managing critical infrastructure systems, with researchers and practitioners applying its principles to water treatment facilities, electrical grids, transportation networks, and other essential services where failure prevention is paramount</w:t>
      </w:r>
      <w:r w:rsidR="00135F23">
        <w:t xml:space="preserve"> (e.g., Weick &amp; Sutcliff, 2015)</w:t>
      </w:r>
      <w:r w:rsidRPr="00F83D8D">
        <w:t>.</w:t>
      </w:r>
      <w:r>
        <w:t xml:space="preserve">  However, in contexts where environmental conditions make failure inevitable rather than exceptional, the pursuit of reliability may itself become a vulnerability. When infrastructure operates on melting permafrost, depends on seasonal barge access for supplies, </w:t>
      </w:r>
      <w:r w:rsidR="00AF1ED1">
        <w:t xml:space="preserve">or </w:t>
      </w:r>
      <w:r>
        <w:t xml:space="preserve">serves communities accessible only by small aircraft, </w:t>
      </w:r>
      <w:r w:rsidR="00AF1ED1">
        <w:t xml:space="preserve">for instance, </w:t>
      </w:r>
      <w:r>
        <w:t xml:space="preserve">the question shifts from how to prevent failure to how to adapt when failure occurs. In such environments, what would constitute a failure elsewhere </w:t>
      </w:r>
      <w:r w:rsidR="00AF1ED1">
        <w:t>is normal operation. In these circumstances, adaptability, rather than reliability,</w:t>
      </w:r>
      <w:r>
        <w:t xml:space="preserve"> becomes the operational norm. </w:t>
      </w:r>
    </w:p>
    <w:p w14:paraId="17A0AEA7" w14:textId="77777777" w:rsidR="00135F23" w:rsidRDefault="00135F23" w:rsidP="007E6975"/>
    <w:p w14:paraId="0667C7EB" w14:textId="2CE0D2A3" w:rsidR="000351C3" w:rsidRDefault="00941554" w:rsidP="007E6975">
      <w:r w:rsidRPr="00941554">
        <w:t>R</w:t>
      </w:r>
      <w:r w:rsidR="00135F23">
        <w:t>emote</w:t>
      </w:r>
      <w:r w:rsidRPr="00941554">
        <w:t xml:space="preserve"> Arctic Alaska exemplifies these </w:t>
      </w:r>
      <w:r w:rsidR="00135F23">
        <w:t xml:space="preserve">extreme </w:t>
      </w:r>
      <w:r w:rsidRPr="00941554">
        <w:t>conditions, where geographic isolation, climate, and limited redundancy make disruption a persistent operational reality.</w:t>
      </w:r>
      <w:r>
        <w:t xml:space="preserve"> </w:t>
      </w:r>
      <w:r w:rsidR="003255AF">
        <w:t>This study examines how r</w:t>
      </w:r>
      <w:r w:rsidR="006F72A7">
        <w:t>emote</w:t>
      </w:r>
      <w:r w:rsidR="003255AF">
        <w:t xml:space="preserve"> Arctic communities in Alaska operate water, sanitation, energy, and transportation infrastructure under conditions that challenge the foundational assumptions of HRO theory. Drawing on qualitative interview data from infrastructure professionals and community leaders across Western Alaska, this research argues that High Resilience Organizing (</w:t>
      </w:r>
      <w:proofErr w:type="spellStart"/>
      <w:r w:rsidR="003255AF">
        <w:t>HiResO</w:t>
      </w:r>
      <w:proofErr w:type="spellEnd"/>
      <w:r w:rsidR="003255AF">
        <w:t xml:space="preserve">) provides a more appropriate theoretical framework for understanding how communities build adaptive capacity when consistent service delivery proves impossible. The findings </w:t>
      </w:r>
      <w:r w:rsidR="00AF1ED1">
        <w:t xml:space="preserve">have significant implications for infrastructure management, engineering practice, and organizational theory in contexts characterized by chronic disruption, offering lessons that are </w:t>
      </w:r>
      <w:r w:rsidR="003255AF">
        <w:t>increasingly relevant as climate change intensifies infrastructure challenges globally.</w:t>
      </w:r>
    </w:p>
    <w:p w14:paraId="4CA32D53" w14:textId="77777777" w:rsidR="007E6975" w:rsidRDefault="007E6975" w:rsidP="007E6975">
      <w:pPr>
        <w:pStyle w:val="Heading2"/>
        <w:spacing w:before="0" w:after="0"/>
      </w:pPr>
    </w:p>
    <w:p w14:paraId="566D3B9E" w14:textId="08DE20F6" w:rsidR="000351C3" w:rsidRDefault="003255AF" w:rsidP="007E6975">
      <w:pPr>
        <w:pStyle w:val="Heading2"/>
        <w:spacing w:before="0" w:after="0"/>
      </w:pPr>
      <w:r>
        <w:lastRenderedPageBreak/>
        <w:t>Background Literature</w:t>
      </w:r>
    </w:p>
    <w:p w14:paraId="3794ED8C" w14:textId="6267FE7B" w:rsidR="000351C3" w:rsidRDefault="003255AF" w:rsidP="007E6975">
      <w:r>
        <w:t xml:space="preserve">High Reliability Organization theory emerged from research studying organizations operating complex, hazardous systems with remarkably few accidents (Roberts, 1990). </w:t>
      </w:r>
      <w:r w:rsidR="00135F23">
        <w:t xml:space="preserve">Roberts’ (1990) </w:t>
      </w:r>
      <w:r>
        <w:t>work established that certain organizations achieve exceptional safety records through specific organizational practices rather than luck or simple risk avoidance. Weick and Sutcliffe (</w:t>
      </w:r>
      <w:r w:rsidR="00135F23">
        <w:t>2015</w:t>
      </w:r>
      <w:r>
        <w:t xml:space="preserve">) subsequently identified five core principles underlying high reliability: preoccupation with failure, reluctance to simplify, sensitivity to operations, commitment to resilience, and deference to expertise. These principles create what </w:t>
      </w:r>
      <w:r w:rsidR="005A1886">
        <w:t>Weick and Sutcliffe</w:t>
      </w:r>
      <w:r w:rsidR="00135F23">
        <w:t xml:space="preserve"> (2015)</w:t>
      </w:r>
      <w:r>
        <w:t xml:space="preserve"> term collective mindfulness, enabling organizations to anticipate, detect, and respond to potential failures before they escalate into catastrophic events.</w:t>
      </w:r>
    </w:p>
    <w:p w14:paraId="6AB209E4" w14:textId="77777777" w:rsidR="007E6975" w:rsidRDefault="007E6975" w:rsidP="007E6975"/>
    <w:p w14:paraId="6769E2D5" w14:textId="4FE0F568" w:rsidR="000351C3" w:rsidRDefault="003255AF" w:rsidP="007E6975">
      <w:r>
        <w:t xml:space="preserve">HRO theory contrasts with Normal Accident Theory (Perrow, 1984), which posits that accidents in tightly coupled, interactively complex systems are inevitable regardless of management effectiveness. While HRO proponents argue that organizational practices can </w:t>
      </w:r>
      <w:r w:rsidR="00AF1ED1">
        <w:t>mitigate systemic risks, both perspectives assume that crisis events punctuate</w:t>
      </w:r>
      <w:r>
        <w:t xml:space="preserve"> otherwise stable operations. Neither framework adequately addresses contexts where disruption constitutes the baseline condition rather than an aberration.</w:t>
      </w:r>
    </w:p>
    <w:p w14:paraId="7DF14420" w14:textId="77777777" w:rsidR="00F83D8D" w:rsidRDefault="00F83D8D" w:rsidP="007E6975"/>
    <w:p w14:paraId="642FF073" w14:textId="0E9CAFF4" w:rsidR="000351C3" w:rsidRDefault="007E6975" w:rsidP="007E6975">
      <w:r>
        <w:t>The concept of High Resilience Organizing has recently been introduced to shift focus from preventing failures in inherently high-risk environments to building adaptive capacity across organizations facing chronic, cascading crises (</w:t>
      </w:r>
      <w:r w:rsidR="004D6307">
        <w:t>Chewning et al., 2024</w:t>
      </w:r>
      <w:r>
        <w:t>; Doerfel &amp; Chewning, 2026). Where HROs aim to prevent failures, High Resilience Organizations (</w:t>
      </w:r>
      <w:proofErr w:type="spellStart"/>
      <w:r>
        <w:t>HiResOs</w:t>
      </w:r>
      <w:proofErr w:type="spellEnd"/>
      <w:r>
        <w:t xml:space="preserve">) acknowledge that many contemporary challenges cannot be controlled or prevented, only navigated and adapted to. The framework emphasizes multi-level organizing spanning individual, team, organizational, and interorganizational levels, recognizing that resilience often </w:t>
      </w:r>
      <w:r w:rsidR="00AF1ED1">
        <w:t>functions as a public good that requires</w:t>
      </w:r>
      <w:r>
        <w:t xml:space="preserve"> collective action across organizational boundaries. </w:t>
      </w:r>
      <w:r w:rsidR="00B75EE4">
        <w:t xml:space="preserve">Therefore, </w:t>
      </w:r>
      <w:proofErr w:type="spellStart"/>
      <w:r w:rsidR="00B75EE4">
        <w:t>HiResO’s</w:t>
      </w:r>
      <w:proofErr w:type="spellEnd"/>
      <w:r w:rsidR="00B75EE4">
        <w:t xml:space="preserve"> conceptualization of resilience addre</w:t>
      </w:r>
      <w:r>
        <w:t>sses temporal dynamics absent from traditional HRO frameworks, acknowledging that sequential crises may not allow recovery time and that bouncing forward rather than bouncing back may constitute the appropriate organizational response.</w:t>
      </w:r>
      <w:r w:rsidR="00F83D8D">
        <w:t xml:space="preserve"> Thus far </w:t>
      </w:r>
      <w:proofErr w:type="spellStart"/>
      <w:r w:rsidR="00F83D8D">
        <w:t>HiResO</w:t>
      </w:r>
      <w:proofErr w:type="spellEnd"/>
      <w:r w:rsidR="00F83D8D">
        <w:t xml:space="preserve"> has not been applied to infrastructure systems</w:t>
      </w:r>
      <w:r w:rsidR="00356800">
        <w:t xml:space="preserve"> or construction contexts</w:t>
      </w:r>
      <w:r w:rsidR="00F83D8D">
        <w:t xml:space="preserve">, so this study represents a novel application of this emerging theory. </w:t>
      </w:r>
    </w:p>
    <w:p w14:paraId="39547E81" w14:textId="77777777" w:rsidR="007E6975" w:rsidRDefault="007E6975" w:rsidP="007E6975">
      <w:pPr>
        <w:pStyle w:val="Heading2"/>
        <w:spacing w:before="0" w:after="0"/>
      </w:pPr>
    </w:p>
    <w:p w14:paraId="1E285B46" w14:textId="64B61BC7" w:rsidR="000351C3" w:rsidRDefault="003255AF" w:rsidP="007E6975">
      <w:pPr>
        <w:pStyle w:val="Heading2"/>
        <w:spacing w:before="0" w:after="0"/>
      </w:pPr>
      <w:r>
        <w:t>Method</w:t>
      </w:r>
    </w:p>
    <w:p w14:paraId="0D424AB3" w14:textId="45D49921" w:rsidR="000351C3" w:rsidRDefault="003255AF" w:rsidP="007E6975">
      <w:r>
        <w:t>This study employ</w:t>
      </w:r>
      <w:r w:rsidR="007E6975">
        <w:t>ed</w:t>
      </w:r>
      <w:r>
        <w:t xml:space="preserve"> semi-structured interviews with infrastructure professionals, community leaders, and subject matter experts operating in r</w:t>
      </w:r>
      <w:r w:rsidR="006F72A7">
        <w:t>emote</w:t>
      </w:r>
      <w:r>
        <w:t xml:space="preserve"> Alaska. Thirteen interviews were conducted </w:t>
      </w:r>
      <w:r w:rsidR="00AF1ED1">
        <w:t>in two r</w:t>
      </w:r>
      <w:r w:rsidR="006F72A7">
        <w:t>emote</w:t>
      </w:r>
      <w:r w:rsidR="00AF1ED1">
        <w:t xml:space="preserve"> towns of approximately 4,500 people, located in different regions of Western Alaska, each serving as a service</w:t>
      </w:r>
      <w:r>
        <w:t xml:space="preserve"> hub for </w:t>
      </w:r>
      <w:r w:rsidR="00AF1ED1">
        <w:t xml:space="preserve">up to ~60 </w:t>
      </w:r>
      <w:r w:rsidR="000B16F8">
        <w:t>smaller</w:t>
      </w:r>
      <w:r>
        <w:t xml:space="preserve"> villages. Participants included utility operators, tribal representatives, state regulators, and employees of nonprofit organizations supporting Arctic infrastructure. Interviewees were selected through convenience and snowball sampling until theoretical saturation was reached. Interviews ranged from 45 to 90 minutes and addressed infrastructure challenges, service disruptions, workforce issues, supply chain constraints, and organizational coordination patterns. The interview protocol focused on characterizing the nature of operations, management, and maintenance challenges in r</w:t>
      </w:r>
      <w:r w:rsidR="006F72A7">
        <w:t>emote</w:t>
      </w:r>
      <w:r>
        <w:t xml:space="preserve"> Alaska systems, examining both piped and decentralized water systems</w:t>
      </w:r>
      <w:r w:rsidR="00AF1ED1">
        <w:t>, as well as</w:t>
      </w:r>
      <w:r>
        <w:t xml:space="preserve"> related energy and transportation infrastructure.</w:t>
      </w:r>
    </w:p>
    <w:p w14:paraId="64A1820D" w14:textId="77777777" w:rsidR="007E6975" w:rsidRDefault="007E6975" w:rsidP="007E6975"/>
    <w:p w14:paraId="43386655" w14:textId="1820142F" w:rsidR="000351C3" w:rsidRDefault="00135F23" w:rsidP="007E6975">
      <w:r w:rsidRPr="00135F23">
        <w:lastRenderedPageBreak/>
        <w:t xml:space="preserve">Following the comparative analytical approach developed by Spearing et al. (2022), this study treated HRO and </w:t>
      </w:r>
      <w:proofErr w:type="spellStart"/>
      <w:r w:rsidRPr="00135F23">
        <w:t>HiResO</w:t>
      </w:r>
      <w:proofErr w:type="spellEnd"/>
      <w:r w:rsidRPr="00135F23">
        <w:t xml:space="preserve"> not as competing hypotheses, but as interpretive lenses applied to the same qualitative data. This approach enabled systematic comparison of what each framework reveals about infrastructure organizing under chronic disruption. To operationalize this comparison, interview transcripts were analyzed using constant comparative methods</w:t>
      </w:r>
      <w:r w:rsidR="000B16F8">
        <w:t xml:space="preserve"> (Corbin &amp; Strauss, 1990)</w:t>
      </w:r>
      <w:r w:rsidRPr="00135F23">
        <w:t xml:space="preserve">, combining deductive coding informed by HRO and </w:t>
      </w:r>
      <w:proofErr w:type="spellStart"/>
      <w:r w:rsidRPr="00135F23">
        <w:t>HiResO</w:t>
      </w:r>
      <w:proofErr w:type="spellEnd"/>
      <w:r w:rsidRPr="00135F23">
        <w:t xml:space="preserve"> principles with inductive coding to capture emergent themes from the data. </w:t>
      </w:r>
      <w:r w:rsidR="000B16F8">
        <w:t>The analysis</w:t>
      </w:r>
      <w:r w:rsidR="00AF1ED1">
        <w:t xml:space="preserve"> identified relationships among</w:t>
      </w:r>
      <w:r w:rsidR="003255AF">
        <w:t xml:space="preserve"> emergent categories, revealing how environmental conditions, funding structures, workforce limitations, and organizational practices interact to shape infrastructure outcomes.</w:t>
      </w:r>
    </w:p>
    <w:p w14:paraId="61E0D979" w14:textId="77777777" w:rsidR="007E6975" w:rsidRDefault="007E6975" w:rsidP="007E6975">
      <w:pPr>
        <w:pStyle w:val="Heading2"/>
        <w:spacing w:before="0" w:after="0"/>
      </w:pPr>
    </w:p>
    <w:p w14:paraId="65BA9249" w14:textId="230715ED" w:rsidR="000351C3" w:rsidRDefault="003255AF" w:rsidP="007E6975">
      <w:pPr>
        <w:pStyle w:val="Heading2"/>
        <w:spacing w:before="0" w:after="0"/>
      </w:pPr>
      <w:r>
        <w:t>Early Findings</w:t>
      </w:r>
    </w:p>
    <w:p w14:paraId="418AD854" w14:textId="55CB9DCF" w:rsidR="000351C3" w:rsidRDefault="003255AF" w:rsidP="007E6975">
      <w:r>
        <w:t>Preliminary analysis reveals that HRO principles map poorly onto r</w:t>
      </w:r>
      <w:r w:rsidR="006F72A7">
        <w:t>emote</w:t>
      </w:r>
      <w:r>
        <w:t xml:space="preserve"> Arctic infrastructure contexts. A central finding concerns the normalization of conditions that would elsewhere constitute failure: what </w:t>
      </w:r>
      <w:r w:rsidR="00AF1ED1">
        <w:t>constitutes a reliability failure in the contiguous United States is normal operation</w:t>
      </w:r>
      <w:r>
        <w:t xml:space="preserve"> in r</w:t>
      </w:r>
      <w:r w:rsidR="006F72A7">
        <w:t>emote</w:t>
      </w:r>
      <w:r>
        <w:t xml:space="preserve"> Alaska. Service interruptions that would </w:t>
      </w:r>
      <w:r w:rsidR="007E6975">
        <w:t>invoke</w:t>
      </w:r>
      <w:r>
        <w:t xml:space="preserve"> emergency response elsewhere occur seasonally or more frequently in Arctic communities.</w:t>
      </w:r>
      <w:r w:rsidR="005A1886">
        <w:t xml:space="preserve"> For example, villages regularly experience periods of time without piped water in the winter due to system </w:t>
      </w:r>
      <w:proofErr w:type="gramStart"/>
      <w:r w:rsidR="005A1886">
        <w:t>freeze</w:t>
      </w:r>
      <w:proofErr w:type="gramEnd"/>
      <w:r w:rsidR="005A1886">
        <w:t xml:space="preserve"> ups that cannot be fixed until a part is delivered on the next barge</w:t>
      </w:r>
      <w:r w:rsidR="000B16F8">
        <w:t xml:space="preserve"> that might </w:t>
      </w:r>
      <w:proofErr w:type="gramStart"/>
      <w:r w:rsidR="000B16F8">
        <w:t>arrives</w:t>
      </w:r>
      <w:proofErr w:type="gramEnd"/>
      <w:r w:rsidR="000B16F8">
        <w:t xml:space="preserve"> weeks or months later</w:t>
      </w:r>
      <w:r w:rsidR="005A1886">
        <w:t>.</w:t>
      </w:r>
      <w:r>
        <w:t xml:space="preserve"> Inconsistent service delivery is not a one-off disruption </w:t>
      </w:r>
      <w:r w:rsidR="00AF1ED1">
        <w:t>that can be eliminated; it is a daily operational reality that requires</w:t>
      </w:r>
      <w:r>
        <w:t xml:space="preserve"> continuous adaptation. Infrastructure built on assumptions of stable permafrost now experiences foundation failures as frozen ground thaws. Transportation networks </w:t>
      </w:r>
      <w:r w:rsidR="00AF1ED1">
        <w:t xml:space="preserve">can </w:t>
      </w:r>
      <w:r>
        <w:t>depend entirely on seasonal barge access and weather-dependent aviation, meaning supply chain disruptions constitute a permanent operational reality rather than an exceptional circumstance requiring prevention. Reliability, in the traditional HRO sense, is simply not achievable in these environments.</w:t>
      </w:r>
    </w:p>
    <w:p w14:paraId="3308FAA4" w14:textId="77777777" w:rsidR="00B75EE4" w:rsidRDefault="00B75EE4" w:rsidP="007E6975"/>
    <w:p w14:paraId="0D97AC78" w14:textId="512FD4F1" w:rsidR="007E6975" w:rsidRDefault="000B16F8" w:rsidP="007E6975">
      <w:r>
        <w:t>Communities demonstrate sophisticated adaptive practices</w:t>
      </w:r>
      <w:r w:rsidR="00B75EE4">
        <w:t xml:space="preserve"> (e.g., local innovations and inter-organizational collaboration)</w:t>
      </w:r>
      <w:r>
        <w:t xml:space="preserve"> that align with </w:t>
      </w:r>
      <w:proofErr w:type="spellStart"/>
      <w:r>
        <w:t>HiResO</w:t>
      </w:r>
      <w:proofErr w:type="spellEnd"/>
      <w:r>
        <w:t xml:space="preserve"> principles rather than traditional HRO frameworks. </w:t>
      </w:r>
      <w:r w:rsidR="003255AF">
        <w:t xml:space="preserve">Local operators stockpile critical parts knowing that replacements may require weeks to arrive, as approximately 160 communities lack road access and depend entirely on barge or air freight for supplies. Water treatment personnel develop contingency protocols </w:t>
      </w:r>
      <w:r w:rsidR="00AF1ED1">
        <w:t>that assume system failures will occur, planning for when, rather than if, disruptions occur</w:t>
      </w:r>
      <w:r w:rsidR="003255AF">
        <w:t xml:space="preserve">. Regional coordination mechanisms, exemplified by joint utility systems and tribal </w:t>
      </w:r>
      <w:r w:rsidR="00AF1ED1">
        <w:t>consortia</w:t>
      </w:r>
      <w:r w:rsidR="003255AF">
        <w:t xml:space="preserve">, facilitate resource sharing and collective problem-solving across organizational boundaries. Regional tribal health organizations provide backup support, including bottled water, chlorine, and emergency funding during crises. </w:t>
      </w:r>
    </w:p>
    <w:p w14:paraId="09580F22" w14:textId="77777777" w:rsidR="00135F23" w:rsidRDefault="00135F23" w:rsidP="00135F23"/>
    <w:p w14:paraId="0699F83E" w14:textId="5B67FA5A" w:rsidR="000351C3" w:rsidRDefault="005A1886" w:rsidP="007E6975">
      <w:r>
        <w:t>C</w:t>
      </w:r>
      <w:r w:rsidR="007E6975">
        <w:t>ommunities’</w:t>
      </w:r>
      <w:r w:rsidR="003255AF">
        <w:t xml:space="preserve"> responses to </w:t>
      </w:r>
      <w:r>
        <w:t xml:space="preserve">the </w:t>
      </w:r>
      <w:r w:rsidR="003255AF">
        <w:t xml:space="preserve">COVID-19 </w:t>
      </w:r>
      <w:r>
        <w:t xml:space="preserve">pandemic </w:t>
      </w:r>
      <w:r w:rsidR="003255AF">
        <w:t>demonstrated their adaptive capacities</w:t>
      </w:r>
      <w:r w:rsidR="007E6975">
        <w:t xml:space="preserve">. </w:t>
      </w:r>
      <w:r w:rsidR="00C76968">
        <w:t xml:space="preserve">One of these communities moved beyond just COVID-19 response and </w:t>
      </w:r>
      <w:r w:rsidR="003255AF">
        <w:t>activated pandemic preparedness plans developed in anticipation of avian flu outbreaks</w:t>
      </w:r>
      <w:r w:rsidR="00C76968">
        <w:t xml:space="preserve">. Interviewees described how their geographic location necessitated concern beyond </w:t>
      </w:r>
      <w:r w:rsidR="003255AF">
        <w:t xml:space="preserve">COVID-19; thus, they demonstrated that their chronic crisis-preparation practices generalize across hazard types. Similarly, </w:t>
      </w:r>
      <w:r w:rsidR="00F83D8D">
        <w:t xml:space="preserve">they discussed how </w:t>
      </w:r>
      <w:r w:rsidR="003255AF">
        <w:t xml:space="preserve">a major typhoon </w:t>
      </w:r>
      <w:r w:rsidR="00F83D8D">
        <w:t xml:space="preserve">that hit </w:t>
      </w:r>
      <w:r w:rsidR="003255AF">
        <w:t xml:space="preserve">in </w:t>
      </w:r>
      <w:r w:rsidR="00C76968">
        <w:t xml:space="preserve">late September of </w:t>
      </w:r>
      <w:r w:rsidR="003255AF">
        <w:t>2022 devastated coastal infrastructure</w:t>
      </w:r>
      <w:r w:rsidR="00C76968">
        <w:t xml:space="preserve"> in Western Alaska. The last barge carrying building supplies had already left port</w:t>
      </w:r>
      <w:r w:rsidR="003255AF">
        <w:t>,</w:t>
      </w:r>
      <w:r w:rsidR="00C76968">
        <w:t xml:space="preserve"> so the community knew they had to rely on their own</w:t>
      </w:r>
      <w:r w:rsidR="003255AF">
        <w:t xml:space="preserve"> interorganizational</w:t>
      </w:r>
      <w:r w:rsidR="00C76968">
        <w:t>, local</w:t>
      </w:r>
      <w:r w:rsidR="003255AF">
        <w:t xml:space="preserve"> resilience networks</w:t>
      </w:r>
      <w:r w:rsidR="00C76968">
        <w:t xml:space="preserve"> to provide shelter until the oceans thawed the following spring</w:t>
      </w:r>
      <w:r w:rsidR="003255AF">
        <w:t>.</w:t>
      </w:r>
      <w:r w:rsidR="00F83D8D">
        <w:t xml:space="preserve"> While not a part of this </w:t>
      </w:r>
      <w:r w:rsidR="00F83D8D">
        <w:lastRenderedPageBreak/>
        <w:t xml:space="preserve">data collection, it is likely that Typhoon Halong, that hit Western Alaska in September of 2025 will experience similar resilience needs. </w:t>
      </w:r>
    </w:p>
    <w:p w14:paraId="7665084B" w14:textId="77777777" w:rsidR="00C76968" w:rsidRDefault="00C76968" w:rsidP="007E6975"/>
    <w:p w14:paraId="1A6BDC25" w14:textId="77777777" w:rsidR="000351C3" w:rsidRDefault="003255AF" w:rsidP="007E6975">
      <w:pPr>
        <w:pStyle w:val="Heading2"/>
        <w:spacing w:before="0" w:after="0"/>
      </w:pPr>
      <w:r>
        <w:t>Implications for Engineering and Infrastructure</w:t>
      </w:r>
    </w:p>
    <w:p w14:paraId="36E9485D" w14:textId="72D6B64D" w:rsidR="000351C3" w:rsidRDefault="003255AF" w:rsidP="007E6975">
      <w:r>
        <w:t xml:space="preserve">These findings carry substantial implications for how engineers, policymakers, and external organizations approach infrastructure development in extreme environments. Designing for reliability in contexts where failure is inevitable may create vulnerability by diverting resources from adaptive capacity building. </w:t>
      </w:r>
      <w:r w:rsidR="00356800">
        <w:t>Specifically, i</w:t>
      </w:r>
      <w:r>
        <w:t>nfrastructure investments that assume stable environmental conditions will underperform as climate change accelerates permafrost degradation, alters precipitation patterns, and increases storm intensity across Arctic regions.</w:t>
      </w:r>
    </w:p>
    <w:p w14:paraId="498AA6F3" w14:textId="77777777" w:rsidR="00C76968" w:rsidRDefault="00C76968" w:rsidP="007E6975"/>
    <w:p w14:paraId="2E89F838" w14:textId="07BAD4BF" w:rsidR="000351C3" w:rsidRDefault="003255AF" w:rsidP="007E6975">
      <w:r>
        <w:t>The research suggests that external support organizations often operate with reliability-oriented assumptions that conflict with local adaptive practices. Technical assistance programs emphasizing prevention may be less valuable than resources that support rapid response and recovery. Funding structures</w:t>
      </w:r>
      <w:r w:rsidR="005A1886">
        <w:t xml:space="preserve"> </w:t>
      </w:r>
      <w:r>
        <w:t xml:space="preserve">that penalize utilities unable to maintain continuous service </w:t>
      </w:r>
      <w:r w:rsidR="005A1886">
        <w:t xml:space="preserve">(e.g., State Revolving Loan Funds available to water utilities) </w:t>
      </w:r>
      <w:r>
        <w:t>may disadvantage communities that have developed sophisticated resilience practices precisely because consistent service proves impossible. Communities repeatedly expressed a preference for receiving resources to build local capacity rather than for external intervention, reflecting an asset-based orientation that recognizes local expertise and knowledge as foundations of resilience.</w:t>
      </w:r>
    </w:p>
    <w:p w14:paraId="10051CC1" w14:textId="77777777" w:rsidR="00356800" w:rsidRDefault="00356800" w:rsidP="007E6975"/>
    <w:p w14:paraId="7E044D6A" w14:textId="078E73E1" w:rsidR="000351C3" w:rsidRDefault="003255AF" w:rsidP="007E6975">
      <w:r>
        <w:t xml:space="preserve">The </w:t>
      </w:r>
      <w:proofErr w:type="spellStart"/>
      <w:r>
        <w:t>HiResO</w:t>
      </w:r>
      <w:proofErr w:type="spellEnd"/>
      <w:r>
        <w:t xml:space="preserve"> framework </w:t>
      </w:r>
      <w:r w:rsidR="00B75EE4">
        <w:t>provides broad theoretical applicability for chronic disruption management across various complex systems. U</w:t>
      </w:r>
      <w:r>
        <w:t xml:space="preserve">nderstanding infrastructure management </w:t>
      </w:r>
      <w:r w:rsidR="00356800">
        <w:t xml:space="preserve">and construction processes </w:t>
      </w:r>
      <w:r>
        <w:t>under chronic disruption may become increasingly relevant as climate change, supply chain vulnerabilities, and cascading crises affect infrastructure systems worldwide. Lessons from Arctic communities, developed through necessity in extreme conditions, provide models for building adaptive capacity that engineering</w:t>
      </w:r>
      <w:r w:rsidR="00356800">
        <w:t>, construction,</w:t>
      </w:r>
      <w:r>
        <w:t xml:space="preserve"> and infrastructure management disciplines can adapt for broader application. </w:t>
      </w:r>
    </w:p>
    <w:p w14:paraId="52509CFB" w14:textId="77777777" w:rsidR="00C76968" w:rsidRDefault="00C76968" w:rsidP="007E6975"/>
    <w:p w14:paraId="061AC9E2" w14:textId="77777777" w:rsidR="000351C3" w:rsidRDefault="003255AF" w:rsidP="007E6975">
      <w:pPr>
        <w:pStyle w:val="Heading2"/>
        <w:spacing w:before="0" w:after="0"/>
      </w:pPr>
      <w:r>
        <w:t>References</w:t>
      </w:r>
    </w:p>
    <w:p w14:paraId="5AA0B820" w14:textId="2E306F4A" w:rsidR="00286AC3" w:rsidRDefault="003255AF" w:rsidP="00286AC3">
      <w:pPr>
        <w:ind w:left="720" w:hanging="720"/>
      </w:pPr>
      <w:r>
        <w:t xml:space="preserve">Chewning, L. V., Doerfel, M. L., Ballard, D. I., </w:t>
      </w:r>
      <w:r w:rsidR="005B17F2">
        <w:t>&amp;</w:t>
      </w:r>
      <w:r>
        <w:t xml:space="preserve"> Harrison, T. R. (2024). From crisis response to high resilience organizing. In </w:t>
      </w:r>
      <w:r w:rsidR="00286AC3">
        <w:t xml:space="preserve">V. D. Miller &amp; M. S. Poole (Eds.), </w:t>
      </w:r>
      <w:proofErr w:type="spellStart"/>
      <w:r w:rsidR="00286AC3">
        <w:t>DeGruyter’s</w:t>
      </w:r>
      <w:proofErr w:type="spellEnd"/>
      <w:r w:rsidR="00286AC3">
        <w:t xml:space="preserve"> handbook of organizational communication theory and research (pp. 605-624), </w:t>
      </w:r>
      <w:proofErr w:type="spellStart"/>
      <w:r w:rsidR="00286AC3">
        <w:t>DeGruyter</w:t>
      </w:r>
      <w:proofErr w:type="spellEnd"/>
      <w:r w:rsidR="00286AC3">
        <w:t xml:space="preserve"> Press. </w:t>
      </w:r>
      <w:hyperlink r:id="rId13" w:history="1">
        <w:r w:rsidR="005B17F2" w:rsidRPr="009319F0">
          <w:rPr>
            <w:rStyle w:val="Hyperlink"/>
          </w:rPr>
          <w:t>https://doi.org/10.1515/9783110718508-031</w:t>
        </w:r>
      </w:hyperlink>
      <w:r w:rsidR="005B17F2">
        <w:t xml:space="preserve"> </w:t>
      </w:r>
    </w:p>
    <w:p w14:paraId="14D74DCD" w14:textId="6C058F9D" w:rsidR="00863621" w:rsidRDefault="00863621" w:rsidP="007E6975">
      <w:pPr>
        <w:ind w:left="720" w:hanging="720"/>
      </w:pPr>
      <w:r w:rsidRPr="00863621">
        <w:t xml:space="preserve">Corbin, J. M., &amp; Strauss, A. (1990). Grounded theory research: Procedures, canons, and evaluative criteria. </w:t>
      </w:r>
      <w:r w:rsidRPr="00863621">
        <w:rPr>
          <w:i/>
          <w:iCs/>
        </w:rPr>
        <w:t>Qualitative Sociology, 13,</w:t>
      </w:r>
      <w:r w:rsidRPr="00863621">
        <w:t xml:space="preserve"> 3-–21. https://doi.org/10.1515/zfsoz-1990-0602</w:t>
      </w:r>
    </w:p>
    <w:p w14:paraId="753C7F58" w14:textId="76F44A67" w:rsidR="005B17F2" w:rsidRDefault="003255AF" w:rsidP="007E6975">
      <w:pPr>
        <w:ind w:left="720" w:hanging="720"/>
      </w:pPr>
      <w:r>
        <w:t xml:space="preserve">Doerfel, M. L., </w:t>
      </w:r>
      <w:r w:rsidR="005B17F2">
        <w:t>&amp;</w:t>
      </w:r>
      <w:r>
        <w:t xml:space="preserve"> Chewning, L. V. (2026). High resilience organizations and communication. </w:t>
      </w:r>
      <w:r w:rsidR="005B17F2" w:rsidRPr="005B17F2">
        <w:t xml:space="preserve">In M. L. Doerfel, J. A. Theiss, M. K. Venetis, &amp; K. M. Scharp (Eds.), </w:t>
      </w:r>
      <w:r w:rsidR="005B17F2" w:rsidRPr="005B17F2">
        <w:rPr>
          <w:i/>
          <w:iCs/>
        </w:rPr>
        <w:t>The Routledge handbook of communication and resilience</w:t>
      </w:r>
      <w:r w:rsidR="005B17F2" w:rsidRPr="005B17F2">
        <w:t xml:space="preserve">. Routledge. </w:t>
      </w:r>
      <w:hyperlink r:id="rId14" w:history="1">
        <w:r w:rsidR="005B17F2" w:rsidRPr="005B17F2">
          <w:rPr>
            <w:color w:val="0000FF"/>
            <w:u w:val="single"/>
          </w:rPr>
          <w:t>https://doi.org/10.4324/9781003495697</w:t>
        </w:r>
      </w:hyperlink>
    </w:p>
    <w:p w14:paraId="262BFEAB" w14:textId="49C3BD28" w:rsidR="000351C3" w:rsidRDefault="003255AF" w:rsidP="007E6975">
      <w:pPr>
        <w:ind w:left="720" w:hanging="720"/>
      </w:pPr>
      <w:r>
        <w:t xml:space="preserve">Perrow, C. (1984). </w:t>
      </w:r>
      <w:r w:rsidRPr="005B17F2">
        <w:rPr>
          <w:i/>
          <w:iCs/>
        </w:rPr>
        <w:t>Normal accidents: Living with high-risk technologies.</w:t>
      </w:r>
      <w:r>
        <w:t xml:space="preserve"> Basic Books.</w:t>
      </w:r>
    </w:p>
    <w:p w14:paraId="0F261708" w14:textId="10667666" w:rsidR="00286AC3" w:rsidRDefault="00286AC3" w:rsidP="00286AC3">
      <w:pPr>
        <w:ind w:left="720" w:hanging="720"/>
      </w:pPr>
      <w:r>
        <w:t xml:space="preserve">Roberts, K. H. (1990). Some characteristics of one type of high reliability organization. </w:t>
      </w:r>
      <w:r w:rsidRPr="005B17F2">
        <w:rPr>
          <w:i/>
          <w:iCs/>
        </w:rPr>
        <w:t>Organization Science, 1</w:t>
      </w:r>
      <w:r>
        <w:t xml:space="preserve">(2), 160–176. </w:t>
      </w:r>
      <w:hyperlink r:id="rId15" w:history="1">
        <w:r w:rsidR="005B17F2" w:rsidRPr="009319F0">
          <w:rPr>
            <w:rStyle w:val="Hyperlink"/>
          </w:rPr>
          <w:t>https://doi.org/10.1287/orsc.1.2.160</w:t>
        </w:r>
      </w:hyperlink>
      <w:r w:rsidR="005B17F2">
        <w:t xml:space="preserve"> </w:t>
      </w:r>
    </w:p>
    <w:p w14:paraId="3AA70E50" w14:textId="22C9C586" w:rsidR="00286AC3" w:rsidRDefault="00286AC3" w:rsidP="00286AC3">
      <w:pPr>
        <w:ind w:left="720" w:hanging="720"/>
      </w:pPr>
      <w:r>
        <w:lastRenderedPageBreak/>
        <w:t xml:space="preserve">Scott, A. L., Howe, W. T., &amp; Bisel, R. S. (2023). Reviewing high reliability team (HRT) scholarship: A 21st century approach to safety. </w:t>
      </w:r>
      <w:r w:rsidRPr="005B17F2">
        <w:rPr>
          <w:i/>
          <w:iCs/>
        </w:rPr>
        <w:t>Small Group Research, 54</w:t>
      </w:r>
      <w:r>
        <w:t xml:space="preserve">(1), 3–40. </w:t>
      </w:r>
      <w:hyperlink r:id="rId16" w:history="1">
        <w:r w:rsidRPr="009319F0">
          <w:rPr>
            <w:rStyle w:val="Hyperlink"/>
          </w:rPr>
          <w:t>https://doi.org/10.1177/10464964221116349</w:t>
        </w:r>
      </w:hyperlink>
    </w:p>
    <w:p w14:paraId="315CD9AE" w14:textId="52054312" w:rsidR="00286AC3" w:rsidRDefault="003255AF" w:rsidP="00286AC3">
      <w:pPr>
        <w:ind w:left="720" w:hanging="720"/>
      </w:pPr>
      <w:r>
        <w:t xml:space="preserve">Spearing, L. A., Bakchan, A., Hamlet, L. C., Stephens, K. K., Kaminsky, J. A., and Faust, K. M. (2022). </w:t>
      </w:r>
      <w:r w:rsidR="00286AC3">
        <w:t xml:space="preserve">Comparing qualitative analysis techniques for construction engineering and management research: The case of Arctic water infrastructure, </w:t>
      </w:r>
      <w:r w:rsidR="00286AC3" w:rsidRPr="00286AC3">
        <w:rPr>
          <w:i/>
          <w:iCs/>
        </w:rPr>
        <w:t>Journal of Construction Engineering and Management, 148</w:t>
      </w:r>
      <w:r w:rsidR="00286AC3">
        <w:t xml:space="preserve">(7): 04022058. </w:t>
      </w:r>
      <w:hyperlink r:id="rId17" w:history="1">
        <w:r w:rsidR="005B17F2" w:rsidRPr="009319F0">
          <w:rPr>
            <w:rStyle w:val="Hyperlink"/>
          </w:rPr>
          <w:t>https://doi.org/10.1061/(ASCE)CO.1943-7862.0002313</w:t>
        </w:r>
      </w:hyperlink>
      <w:r w:rsidR="005B17F2">
        <w:t xml:space="preserve"> </w:t>
      </w:r>
      <w:r w:rsidR="00286AC3">
        <w:t xml:space="preserve"> </w:t>
      </w:r>
    </w:p>
    <w:p w14:paraId="05E136D6" w14:textId="60689D60" w:rsidR="000351C3" w:rsidRDefault="003255AF" w:rsidP="00286AC3">
      <w:pPr>
        <w:ind w:left="720" w:hanging="720"/>
      </w:pPr>
      <w:r>
        <w:t xml:space="preserve">Weick, K. E., </w:t>
      </w:r>
      <w:r w:rsidR="00286AC3">
        <w:t>&amp;</w:t>
      </w:r>
      <w:r>
        <w:t xml:space="preserve"> Sutcliffe, K. M. (20</w:t>
      </w:r>
      <w:r w:rsidR="005B17F2">
        <w:t>15</w:t>
      </w:r>
      <w:r>
        <w:t xml:space="preserve">). </w:t>
      </w:r>
      <w:r w:rsidRPr="005B17F2">
        <w:rPr>
          <w:i/>
          <w:iCs/>
        </w:rPr>
        <w:t xml:space="preserve">Managing the unexpected: </w:t>
      </w:r>
      <w:r w:rsidR="005B17F2">
        <w:rPr>
          <w:i/>
          <w:iCs/>
        </w:rPr>
        <w:t>Sustained performance in a complex world</w:t>
      </w:r>
      <w:r>
        <w:t xml:space="preserve">. </w:t>
      </w:r>
      <w:r w:rsidR="005B17F2">
        <w:t>Wiley</w:t>
      </w:r>
      <w:r>
        <w:t>.</w:t>
      </w:r>
    </w:p>
    <w:sectPr w:rsidR="000351C3">
      <w:head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2EB2" w14:textId="77777777" w:rsidR="006E4FA6" w:rsidRDefault="006E4FA6" w:rsidP="00013A62">
      <w:r>
        <w:separator/>
      </w:r>
    </w:p>
  </w:endnote>
  <w:endnote w:type="continuationSeparator" w:id="0">
    <w:p w14:paraId="039D36E1" w14:textId="77777777" w:rsidR="006E4FA6" w:rsidRDefault="006E4FA6" w:rsidP="0001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CEB3" w14:textId="77777777" w:rsidR="006E4FA6" w:rsidRDefault="006E4FA6" w:rsidP="00013A62">
      <w:r>
        <w:separator/>
      </w:r>
    </w:p>
  </w:footnote>
  <w:footnote w:type="continuationSeparator" w:id="0">
    <w:p w14:paraId="76528320" w14:textId="77777777" w:rsidR="006E4FA6" w:rsidRDefault="006E4FA6" w:rsidP="0001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8285" w14:textId="3FE12F1A" w:rsidR="00013A62" w:rsidRDefault="00013A62">
    <w:pPr>
      <w:pStyle w:val="Header"/>
    </w:pPr>
    <w:r>
      <w:t xml:space="preserve">Stephens et al. | From Reliability to Resilience in Extreme Arctic Infrastructure | EPOC2026 </w:t>
    </w:r>
    <w:r>
      <w:tab/>
      <w:t xml:space="preserve">p.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4FF"/>
    <w:multiLevelType w:val="hybridMultilevel"/>
    <w:tmpl w:val="9C2CF57E"/>
    <w:lvl w:ilvl="0" w:tplc="9C806370">
      <w:start w:val="1"/>
      <w:numFmt w:val="bullet"/>
      <w:lvlText w:val="●"/>
      <w:lvlJc w:val="left"/>
      <w:pPr>
        <w:ind w:left="720" w:hanging="360"/>
      </w:pPr>
    </w:lvl>
    <w:lvl w:ilvl="1" w:tplc="46BE6EB4">
      <w:start w:val="1"/>
      <w:numFmt w:val="bullet"/>
      <w:lvlText w:val="○"/>
      <w:lvlJc w:val="left"/>
      <w:pPr>
        <w:ind w:left="1440" w:hanging="360"/>
      </w:pPr>
    </w:lvl>
    <w:lvl w:ilvl="2" w:tplc="5688F576">
      <w:start w:val="1"/>
      <w:numFmt w:val="bullet"/>
      <w:lvlText w:val="■"/>
      <w:lvlJc w:val="left"/>
      <w:pPr>
        <w:ind w:left="2160" w:hanging="360"/>
      </w:pPr>
    </w:lvl>
    <w:lvl w:ilvl="3" w:tplc="41C0D0A4">
      <w:start w:val="1"/>
      <w:numFmt w:val="bullet"/>
      <w:lvlText w:val="●"/>
      <w:lvlJc w:val="left"/>
      <w:pPr>
        <w:ind w:left="2880" w:hanging="360"/>
      </w:pPr>
    </w:lvl>
    <w:lvl w:ilvl="4" w:tplc="CC0221E2">
      <w:start w:val="1"/>
      <w:numFmt w:val="bullet"/>
      <w:lvlText w:val="○"/>
      <w:lvlJc w:val="left"/>
      <w:pPr>
        <w:ind w:left="3600" w:hanging="360"/>
      </w:pPr>
    </w:lvl>
    <w:lvl w:ilvl="5" w:tplc="639CD5B2">
      <w:start w:val="1"/>
      <w:numFmt w:val="bullet"/>
      <w:lvlText w:val="■"/>
      <w:lvlJc w:val="left"/>
      <w:pPr>
        <w:ind w:left="4320" w:hanging="360"/>
      </w:pPr>
    </w:lvl>
    <w:lvl w:ilvl="6" w:tplc="BC4E7696">
      <w:start w:val="1"/>
      <w:numFmt w:val="bullet"/>
      <w:lvlText w:val="●"/>
      <w:lvlJc w:val="left"/>
      <w:pPr>
        <w:ind w:left="5040" w:hanging="360"/>
      </w:pPr>
    </w:lvl>
    <w:lvl w:ilvl="7" w:tplc="CDC6C166">
      <w:start w:val="1"/>
      <w:numFmt w:val="bullet"/>
      <w:lvlText w:val="●"/>
      <w:lvlJc w:val="left"/>
      <w:pPr>
        <w:ind w:left="5760" w:hanging="360"/>
      </w:pPr>
    </w:lvl>
    <w:lvl w:ilvl="8" w:tplc="DA5C912C">
      <w:start w:val="1"/>
      <w:numFmt w:val="bullet"/>
      <w:lvlText w:val="●"/>
      <w:lvlJc w:val="left"/>
      <w:pPr>
        <w:ind w:left="6480" w:hanging="360"/>
      </w:pPr>
    </w:lvl>
  </w:abstractNum>
  <w:abstractNum w:abstractNumId="1" w15:restartNumberingAfterBreak="0">
    <w:nsid w:val="2B370DC8"/>
    <w:multiLevelType w:val="multilevel"/>
    <w:tmpl w:val="D74C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086360">
    <w:abstractNumId w:val="0"/>
    <w:lvlOverride w:ilvl="0">
      <w:startOverride w:val="1"/>
    </w:lvlOverride>
  </w:num>
  <w:num w:numId="2" w16cid:durableId="211158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C3"/>
    <w:rsid w:val="00013A62"/>
    <w:rsid w:val="00016570"/>
    <w:rsid w:val="000351C3"/>
    <w:rsid w:val="00044C74"/>
    <w:rsid w:val="000B16F8"/>
    <w:rsid w:val="00135F23"/>
    <w:rsid w:val="002154C9"/>
    <w:rsid w:val="00286AC3"/>
    <w:rsid w:val="003255AF"/>
    <w:rsid w:val="00356800"/>
    <w:rsid w:val="003D2E1F"/>
    <w:rsid w:val="004A7BBF"/>
    <w:rsid w:val="004D6307"/>
    <w:rsid w:val="00562B30"/>
    <w:rsid w:val="005A1886"/>
    <w:rsid w:val="005B17F2"/>
    <w:rsid w:val="005B2592"/>
    <w:rsid w:val="006219F3"/>
    <w:rsid w:val="006E4FA6"/>
    <w:rsid w:val="006E5DA0"/>
    <w:rsid w:val="006F72A7"/>
    <w:rsid w:val="007E6975"/>
    <w:rsid w:val="00854C08"/>
    <w:rsid w:val="00863621"/>
    <w:rsid w:val="0091727A"/>
    <w:rsid w:val="00941554"/>
    <w:rsid w:val="00A961D4"/>
    <w:rsid w:val="00AF1ED1"/>
    <w:rsid w:val="00B75EE4"/>
    <w:rsid w:val="00C27F35"/>
    <w:rsid w:val="00C76968"/>
    <w:rsid w:val="00CA25EF"/>
    <w:rsid w:val="00DA3E7E"/>
    <w:rsid w:val="00E6569C"/>
    <w:rsid w:val="00EA77F9"/>
    <w:rsid w:val="00F83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8611"/>
  <w15:docId w15:val="{8EA02B42-DF1D-417C-A44F-BB59E075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sz w:val="28"/>
      <w:szCs w:val="28"/>
    </w:rPr>
  </w:style>
  <w:style w:type="paragraph" w:styleId="Heading2">
    <w:name w:val="heading 2"/>
    <w:link w:val="Heading2Char"/>
    <w:uiPriority w:val="9"/>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6AC3"/>
    <w:rPr>
      <w:color w:val="605E5C"/>
      <w:shd w:val="clear" w:color="auto" w:fill="E1DFDD"/>
    </w:rPr>
  </w:style>
  <w:style w:type="character" w:styleId="CommentReference">
    <w:name w:val="annotation reference"/>
    <w:basedOn w:val="DefaultParagraphFont"/>
    <w:uiPriority w:val="99"/>
    <w:semiHidden/>
    <w:unhideWhenUsed/>
    <w:rsid w:val="00AF1ED1"/>
    <w:rPr>
      <w:sz w:val="16"/>
      <w:szCs w:val="16"/>
    </w:rPr>
  </w:style>
  <w:style w:type="paragraph" w:styleId="CommentText">
    <w:name w:val="annotation text"/>
    <w:basedOn w:val="Normal"/>
    <w:link w:val="CommentTextChar"/>
    <w:uiPriority w:val="99"/>
    <w:unhideWhenUsed/>
    <w:rsid w:val="00AF1ED1"/>
    <w:rPr>
      <w:sz w:val="20"/>
      <w:szCs w:val="20"/>
    </w:rPr>
  </w:style>
  <w:style w:type="character" w:customStyle="1" w:styleId="CommentTextChar">
    <w:name w:val="Comment Text Char"/>
    <w:basedOn w:val="DefaultParagraphFont"/>
    <w:link w:val="CommentText"/>
    <w:uiPriority w:val="99"/>
    <w:rsid w:val="00AF1ED1"/>
    <w:rPr>
      <w:sz w:val="20"/>
      <w:szCs w:val="20"/>
    </w:rPr>
  </w:style>
  <w:style w:type="paragraph" w:styleId="CommentSubject">
    <w:name w:val="annotation subject"/>
    <w:basedOn w:val="CommentText"/>
    <w:next w:val="CommentText"/>
    <w:link w:val="CommentSubjectChar"/>
    <w:uiPriority w:val="99"/>
    <w:semiHidden/>
    <w:unhideWhenUsed/>
    <w:rsid w:val="00AF1ED1"/>
    <w:rPr>
      <w:b/>
      <w:bCs/>
    </w:rPr>
  </w:style>
  <w:style w:type="character" w:customStyle="1" w:styleId="CommentSubjectChar">
    <w:name w:val="Comment Subject Char"/>
    <w:basedOn w:val="CommentTextChar"/>
    <w:link w:val="CommentSubject"/>
    <w:uiPriority w:val="99"/>
    <w:semiHidden/>
    <w:rsid w:val="00AF1ED1"/>
    <w:rPr>
      <w:b/>
      <w:bCs/>
      <w:sz w:val="20"/>
      <w:szCs w:val="20"/>
    </w:rPr>
  </w:style>
  <w:style w:type="paragraph" w:customStyle="1" w:styleId="font-claude-response-body">
    <w:name w:val="font-claude-response-body"/>
    <w:basedOn w:val="Normal"/>
    <w:rsid w:val="00AF1ED1"/>
    <w:pPr>
      <w:spacing w:before="100" w:beforeAutospacing="1" w:after="100" w:afterAutospacing="1"/>
    </w:pPr>
  </w:style>
  <w:style w:type="character" w:styleId="Emphasis">
    <w:name w:val="Emphasis"/>
    <w:basedOn w:val="DefaultParagraphFont"/>
    <w:uiPriority w:val="20"/>
    <w:qFormat/>
    <w:rsid w:val="00AF1ED1"/>
    <w:rPr>
      <w:i/>
      <w:iCs/>
    </w:rPr>
  </w:style>
  <w:style w:type="character" w:styleId="Strong">
    <w:name w:val="Strong"/>
    <w:basedOn w:val="DefaultParagraphFont"/>
    <w:uiPriority w:val="22"/>
    <w:qFormat/>
    <w:rsid w:val="00AF1ED1"/>
    <w:rPr>
      <w:b/>
      <w:bCs/>
    </w:rPr>
  </w:style>
  <w:style w:type="paragraph" w:customStyle="1" w:styleId="whitespace-normal">
    <w:name w:val="whitespace-normal"/>
    <w:basedOn w:val="Normal"/>
    <w:rsid w:val="00AF1ED1"/>
    <w:pPr>
      <w:spacing w:before="100" w:beforeAutospacing="1" w:after="100" w:afterAutospacing="1"/>
    </w:pPr>
  </w:style>
  <w:style w:type="paragraph" w:styleId="Revision">
    <w:name w:val="Revision"/>
    <w:hidden/>
    <w:uiPriority w:val="99"/>
    <w:semiHidden/>
    <w:rsid w:val="00F83D8D"/>
  </w:style>
  <w:style w:type="character" w:customStyle="1" w:styleId="Heading2Char">
    <w:name w:val="Heading 2 Char"/>
    <w:basedOn w:val="DefaultParagraphFont"/>
    <w:link w:val="Heading2"/>
    <w:uiPriority w:val="9"/>
    <w:rsid w:val="005B2592"/>
    <w:rPr>
      <w:b/>
      <w:bCs/>
    </w:rPr>
  </w:style>
  <w:style w:type="paragraph" w:customStyle="1" w:styleId="paragraph">
    <w:name w:val="paragraph"/>
    <w:basedOn w:val="Normal"/>
    <w:rsid w:val="00016570"/>
    <w:pPr>
      <w:spacing w:before="100" w:beforeAutospacing="1" w:after="100" w:afterAutospacing="1"/>
    </w:pPr>
  </w:style>
  <w:style w:type="paragraph" w:styleId="Header">
    <w:name w:val="header"/>
    <w:basedOn w:val="Normal"/>
    <w:link w:val="HeaderChar"/>
    <w:uiPriority w:val="99"/>
    <w:unhideWhenUsed/>
    <w:rsid w:val="00013A62"/>
    <w:pPr>
      <w:tabs>
        <w:tab w:val="center" w:pos="4680"/>
        <w:tab w:val="right" w:pos="9360"/>
      </w:tabs>
    </w:pPr>
  </w:style>
  <w:style w:type="character" w:customStyle="1" w:styleId="HeaderChar">
    <w:name w:val="Header Char"/>
    <w:basedOn w:val="DefaultParagraphFont"/>
    <w:link w:val="Header"/>
    <w:uiPriority w:val="99"/>
    <w:rsid w:val="00013A62"/>
  </w:style>
  <w:style w:type="paragraph" w:styleId="Footer">
    <w:name w:val="footer"/>
    <w:basedOn w:val="Normal"/>
    <w:link w:val="FooterChar"/>
    <w:uiPriority w:val="99"/>
    <w:unhideWhenUsed/>
    <w:rsid w:val="00013A62"/>
    <w:pPr>
      <w:tabs>
        <w:tab w:val="center" w:pos="4680"/>
        <w:tab w:val="right" w:pos="9360"/>
      </w:tabs>
    </w:pPr>
  </w:style>
  <w:style w:type="character" w:customStyle="1" w:styleId="FooterChar">
    <w:name w:val="Footer Char"/>
    <w:basedOn w:val="DefaultParagraphFont"/>
    <w:link w:val="Footer"/>
    <w:uiPriority w:val="99"/>
    <w:rsid w:val="0001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78633">
      <w:bodyDiv w:val="1"/>
      <w:marLeft w:val="0"/>
      <w:marRight w:val="0"/>
      <w:marTop w:val="0"/>
      <w:marBottom w:val="0"/>
      <w:divBdr>
        <w:top w:val="none" w:sz="0" w:space="0" w:color="auto"/>
        <w:left w:val="none" w:sz="0" w:space="0" w:color="auto"/>
        <w:bottom w:val="none" w:sz="0" w:space="0" w:color="auto"/>
        <w:right w:val="none" w:sz="0" w:space="0" w:color="auto"/>
      </w:divBdr>
      <w:divsChild>
        <w:div w:id="464199632">
          <w:marLeft w:val="0"/>
          <w:marRight w:val="0"/>
          <w:marTop w:val="0"/>
          <w:marBottom w:val="0"/>
          <w:divBdr>
            <w:top w:val="none" w:sz="0" w:space="0" w:color="auto"/>
            <w:left w:val="none" w:sz="0" w:space="0" w:color="auto"/>
            <w:bottom w:val="none" w:sz="0" w:space="0" w:color="auto"/>
            <w:right w:val="none" w:sz="0" w:space="0" w:color="auto"/>
          </w:divBdr>
          <w:divsChild>
            <w:div w:id="931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iye.safarpour@tufts.edu" TargetMode="External"/><Relationship Id="rId13" Type="http://schemas.openxmlformats.org/officeDocument/2006/relationships/hyperlink" Target="https://doi.org/10.1515/9783110718508-03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ristephens@austin.utexas.edu" TargetMode="External"/><Relationship Id="rId12" Type="http://schemas.openxmlformats.org/officeDocument/2006/relationships/hyperlink" Target="mailto:faustk@utexas.edu" TargetMode="External"/><Relationship Id="rId17" Type="http://schemas.openxmlformats.org/officeDocument/2006/relationships/hyperlink" Target="https://doi.org/10.1061/(ASCE)CO.1943-7862.0002313" TargetMode="External"/><Relationship Id="rId2" Type="http://schemas.openxmlformats.org/officeDocument/2006/relationships/styles" Target="styles.xml"/><Relationship Id="rId16" Type="http://schemas.openxmlformats.org/officeDocument/2006/relationships/hyperlink" Target="https://doi.org/10.1177/104649642211163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falbertson@gmail.com" TargetMode="External"/><Relationship Id="rId5" Type="http://schemas.openxmlformats.org/officeDocument/2006/relationships/footnotes" Target="footnotes.xml"/><Relationship Id="rId15" Type="http://schemas.openxmlformats.org/officeDocument/2006/relationships/hyperlink" Target="https://doi.org/10.1287/orsc.1.2.160" TargetMode="External"/><Relationship Id="rId10" Type="http://schemas.openxmlformats.org/officeDocument/2006/relationships/hyperlink" Target="mailto:Lauryn.Spearing@tuft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lacau@utexas.edu" TargetMode="External"/><Relationship Id="rId14" Type="http://schemas.openxmlformats.org/officeDocument/2006/relationships/hyperlink" Target="https://doi.org/10.4324/9781003495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Stephens, Keri K</cp:lastModifiedBy>
  <cp:revision>3</cp:revision>
  <dcterms:created xsi:type="dcterms:W3CDTF">2026-05-30T17:35:00Z</dcterms:created>
  <dcterms:modified xsi:type="dcterms:W3CDTF">2026-05-30T17:41:00Z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d7dadc49-177c-43f7-8207-02e911a2fff3</vt:lpwstr>
  </property>
</Properties>
</file>