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tabs>
          <w:tab w:val="clear" w:pos="720"/>
          <w:tab w:val="left" w:pos="1860" w:leader="none"/>
          <w:tab w:val="center" w:pos="5400" w:leader="none"/>
        </w:tabs>
        <w:rPr/>
      </w:pPr>
      <w:r>
        <w:rPr>
          <w:rFonts w:ascii="Cambria" w:hAnsi="Cambria"/>
        </w:rPr>
        <w:tab/>
        <w:tab/>
        <w:t>[INSERT SCHOOL LOGO]</w:t>
      </w:r>
    </w:p>
    <w:p>
      <w:pPr>
        <w:pStyle w:val="NoSpacing"/>
        <w:rPr>
          <w:rFonts w:ascii="Cambria" w:hAnsi="Cambria"/>
        </w:rPr>
      </w:pPr>
      <w:r>
        <w:rPr>
          <w:rFonts w:ascii="Cambria" w:hAnsi="Cambria"/>
        </w:rPr>
        <mc:AlternateContent>
          <mc:Choice Requires="wps">
            <w:drawing>
              <wp:anchor behindDoc="0" distT="0" distB="0" distL="0" distR="0" simplePos="0" locked="0" layoutInCell="1" allowOverlap="1" relativeHeight="2" wp14:anchorId="04576DBF">
                <wp:simplePos x="0" y="0"/>
                <wp:positionH relativeFrom="column">
                  <wp:posOffset>3933825</wp:posOffset>
                </wp:positionH>
                <wp:positionV relativeFrom="paragraph">
                  <wp:posOffset>97790</wp:posOffset>
                </wp:positionV>
                <wp:extent cx="3148330" cy="1003935"/>
                <wp:effectExtent l="0" t="0" r="0" b="0"/>
                <wp:wrapNone/>
                <wp:docPr id="1" name="Text Box 2"/>
                <a:graphic xmlns:a="http://schemas.openxmlformats.org/drawingml/2006/main">
                  <a:graphicData uri="http://schemas.microsoft.com/office/word/2010/wordprocessingShape">
                    <wps:wsp>
                      <wps:cNvSpPr/>
                      <wps:spPr>
                        <a:xfrm>
                          <a:off x="0" y="0"/>
                          <a:ext cx="3147840" cy="1003320"/>
                        </a:xfrm>
                        <a:prstGeom prst="rect">
                          <a:avLst/>
                        </a:prstGeom>
                        <a:noFill/>
                        <a:ln w="9360">
                          <a:noFill/>
                        </a:ln>
                      </wps:spPr>
                      <wps:style>
                        <a:lnRef idx="0"/>
                        <a:fillRef idx="0"/>
                        <a:effectRef idx="0"/>
                        <a:fontRef idx="minor"/>
                      </wps:style>
                      <wps:txbx>
                        <w:txbxContent>
                          <w:p>
                            <w:pPr>
                              <w:pStyle w:val="FrameContents"/>
                              <w:rPr/>
                            </w:pPr>
                            <w:bookmarkStart w:id="0" w:name="__DdeLink__14478_3378694564"/>
                            <w:r>
                              <w:rPr>
                                <w:rFonts w:cs="CIDFont+F4" w:ascii="Cambria" w:hAnsi="Cambria"/>
                                <w:i/>
                                <w:color w:val="000000"/>
                                <w:sz w:val="23"/>
                                <w:szCs w:val="23"/>
                              </w:rPr>
                              <w:t>The mission of Redeemer Christian School is to assist parents in the process of educating mature Christian young people whose character and conduct reflect Jesus Christ and bring glory to God.</w:t>
                            </w:r>
                            <w:bookmarkEnd w:id="0"/>
                          </w:p>
                        </w:txbxContent>
                      </wps:txbx>
                      <wps:bodyPr>
                        <a:noAutofit/>
                      </wps:bodyPr>
                    </wps:wsp>
                  </a:graphicData>
                </a:graphic>
              </wp:anchor>
            </w:drawing>
          </mc:Choice>
          <mc:Fallback>
            <w:pict>
              <v:rect id="shape_0" ID="Text Box 2" stroked="f" style="position:absolute;margin-left:309.75pt;margin-top:7.7pt;width:247.8pt;height:78.95pt" wp14:anchorId="04576DBF">
                <w10:wrap type="square"/>
                <v:fill o:detectmouseclick="t" on="false"/>
                <v:stroke color="#3465a4" weight="9360" joinstyle="round" endcap="flat"/>
                <v:textbox>
                  <w:txbxContent>
                    <w:p>
                      <w:pPr>
                        <w:pStyle w:val="FrameContents"/>
                        <w:rPr/>
                      </w:pPr>
                      <w:bookmarkStart w:id="1" w:name="__DdeLink__14478_3378694564"/>
                      <w:r>
                        <w:rPr>
                          <w:rFonts w:cs="CIDFont+F4" w:ascii="Cambria" w:hAnsi="Cambria"/>
                          <w:i/>
                          <w:color w:val="000000"/>
                          <w:sz w:val="23"/>
                          <w:szCs w:val="23"/>
                        </w:rPr>
                        <w:t>The mission of Redeemer Christian School is to assist parents in the process of educating mature Christian young people whose character and conduct reflect Jesus Christ and bring glory to God.</w:t>
                      </w:r>
                      <w:bookmarkEnd w:id="1"/>
                    </w:p>
                  </w:txbxContent>
                </v:textbox>
              </v:rect>
            </w:pict>
          </mc:Fallback>
        </mc:AlternateContent>
      </w:r>
    </w:p>
    <w:p>
      <w:pPr>
        <w:pStyle w:val="NoSpacing"/>
        <w:jc w:val="both"/>
        <w:rPr>
          <w:rFonts w:ascii="Cambria" w:hAnsi="Cambria"/>
          <w:b/>
          <w:b/>
          <w:bCs/>
          <w:sz w:val="32"/>
          <w:szCs w:val="32"/>
        </w:rPr>
      </w:pPr>
      <w:r>
        <w:rPr>
          <w:rFonts w:ascii="Cambria" w:hAnsi="Cambria"/>
          <w:b/>
          <w:bCs/>
          <w:sz w:val="32"/>
          <w:szCs w:val="32"/>
        </w:rPr>
        <w:t>CURRICULUM SCOPE AND SEQUENCE</w:t>
      </w:r>
    </w:p>
    <w:p>
      <w:pPr>
        <w:pStyle w:val="NoSpacing"/>
        <w:jc w:val="center"/>
        <w:rPr>
          <w:rFonts w:ascii="Cambria" w:hAnsi="Cambria"/>
        </w:rPr>
      </w:pPr>
      <w:r>
        <w:rPr>
          <w:rFonts w:ascii="Cambria" w:hAnsi="Cambria"/>
        </w:rPr>
      </w:r>
    </w:p>
    <w:p>
      <w:pPr>
        <w:pStyle w:val="NoSpacing"/>
        <w:rPr>
          <w:rFonts w:ascii="Cambria" w:hAnsi="Cambria"/>
          <w:b/>
          <w:b/>
        </w:rPr>
      </w:pPr>
      <w:r>
        <w:rPr>
          <w:rFonts w:ascii="Cambria" w:hAnsi="Cambria"/>
          <w:b/>
        </w:rPr>
      </w:r>
    </w:p>
    <w:p>
      <w:pPr>
        <w:pStyle w:val="NoSpacing"/>
        <w:rPr/>
      </w:pPr>
      <w:r>
        <w:rPr>
          <w:rFonts w:ascii="Cambria" w:hAnsi="Cambria"/>
          <w:b/>
        </w:rPr>
        <w:t>Curricular Area:</w:t>
      </w:r>
      <w:r>
        <w:rPr>
          <w:rFonts w:ascii="Cambria" w:hAnsi="Cambria"/>
          <w:b w:val="false"/>
          <w:bCs w:val="false"/>
        </w:rPr>
        <w:t xml:space="preserve"> </w:t>
      </w:r>
      <w:r>
        <w:rPr>
          <w:rFonts w:ascii="Cambria" w:hAnsi="Cambria"/>
          <w:b w:val="false"/>
          <w:bCs w:val="false"/>
        </w:rPr>
        <w:t>Word Building &amp; Etymology</w:t>
      </w:r>
    </w:p>
    <w:p>
      <w:pPr>
        <w:pStyle w:val="NoSpacing"/>
        <w:rPr>
          <w:rFonts w:ascii="Cambria" w:hAnsi="Cambria"/>
          <w:bCs/>
        </w:rPr>
      </w:pPr>
      <w:r>
        <w:rPr>
          <w:rFonts w:ascii="Cambria" w:hAnsi="Cambria"/>
          <w:bCs/>
        </w:rPr>
      </w:r>
    </w:p>
    <w:p>
      <w:pPr>
        <w:pStyle w:val="NoSpacing"/>
        <w:rPr>
          <w:rFonts w:ascii="Cambria" w:hAnsi="Cambria"/>
          <w:bCs/>
        </w:rPr>
      </w:pPr>
      <w:r>
        <w:rPr>
          <w:rFonts w:ascii="Cambria" w:hAnsi="Cambria"/>
          <w:bCs/>
        </w:rPr>
      </w:r>
    </w:p>
    <w:p>
      <w:pPr>
        <w:pStyle w:val="NoSpacing"/>
        <w:rPr/>
      </w:pPr>
      <w:r>
        <w:rPr>
          <w:rFonts w:ascii="Cambria" w:hAnsi="Cambria"/>
          <w:b/>
        </w:rPr>
        <w:t xml:space="preserve">Application of School Mission Statement: </w:t>
      </w:r>
      <w:r>
        <w:rPr>
          <w:rFonts w:ascii="Cambria" w:hAnsi="Cambria"/>
        </w:rPr>
        <w:t>Gaining proficiency in one’s own mother tongue is an absolute necessity for bringing glory to God. It determines the quality of one’s communication, the number of media one may use for communication, and the breadth at which one can learn greater amounts of information from various sources. Thus, learning English in a formal and concentrated setting  fulfills the RCS mission statement by ensures its students are excellent and faithful readers of not only God’s word but of a wide array of sources.</w:t>
      </w:r>
    </w:p>
    <w:p>
      <w:pPr>
        <w:pStyle w:val="NoSpacing"/>
        <w:rPr>
          <w:rFonts w:ascii="Cambria" w:hAnsi="Cambria"/>
          <w:bCs/>
        </w:rPr>
      </w:pPr>
      <w:r>
        <w:rPr>
          <w:rFonts w:ascii="Cambria" w:hAnsi="Cambria"/>
          <w:bCs/>
        </w:rPr>
      </w:r>
    </w:p>
    <w:p>
      <w:pPr>
        <w:pStyle w:val="NoSpacing"/>
        <w:rPr/>
      </w:pPr>
      <w:r>
        <w:rPr>
          <w:rFonts w:ascii="Cambria" w:hAnsi="Cambria"/>
          <w:b/>
        </w:rPr>
        <w:t xml:space="preserve">Application of School Vision Statement: </w:t>
      </w:r>
      <w:r>
        <w:rPr>
          <w:rFonts w:ascii="Cambria" w:hAnsi="Cambria"/>
        </w:rPr>
        <w:t>Learning English from a biblical worldview accomplishes the RCS vision statement because it is established upon a redeeming faith, redeems time by providing Christian education, and redeems culture by providing productive Christian members of society.</w:t>
      </w:r>
    </w:p>
    <w:p>
      <w:pPr>
        <w:pStyle w:val="NoSpacing"/>
        <w:rPr>
          <w:rFonts w:ascii="Cambria" w:hAnsi="Cambria"/>
          <w:bCs/>
        </w:rPr>
      </w:pPr>
      <w:r>
        <w:rPr>
          <w:rFonts w:ascii="Cambria" w:hAnsi="Cambria"/>
          <w:bCs/>
        </w:rPr>
      </w:r>
    </w:p>
    <w:p>
      <w:pPr>
        <w:pStyle w:val="NoSpacing"/>
        <w:rPr/>
      </w:pPr>
      <w:r>
        <w:rPr>
          <w:rFonts w:ascii="Cambria" w:hAnsi="Cambria"/>
          <w:b/>
        </w:rPr>
        <w:t xml:space="preserve">Purpose of English at Redeemer Christian School: </w:t>
      </w:r>
      <w:r>
        <w:rPr>
          <w:rFonts w:ascii="Cambria" w:hAnsi="Cambria"/>
        </w:rPr>
        <w:t>is to assist parents in the process of educating mature Christian young people whose character and conduct reflect Jesus Christ and bring glory to God.</w:t>
      </w:r>
    </w:p>
    <w:p>
      <w:pPr>
        <w:pStyle w:val="NoSpacing"/>
        <w:rPr>
          <w:rFonts w:ascii="Cambria" w:hAnsi="Cambria"/>
          <w:bCs/>
        </w:rPr>
      </w:pPr>
      <w:r>
        <w:rPr>
          <w:rFonts w:ascii="Cambria" w:hAnsi="Cambria"/>
          <w:bCs/>
        </w:rPr>
      </w:r>
    </w:p>
    <w:p>
      <w:pPr>
        <w:pStyle w:val="NoSpacing"/>
        <w:rPr/>
      </w:pPr>
      <w:r>
        <w:rPr>
          <w:rFonts w:ascii="Cambria" w:hAnsi="Cambria"/>
          <w:b/>
        </w:rPr>
        <w:t>Biblical Truths Related to English:</w:t>
      </w:r>
    </w:p>
    <w:p>
      <w:pPr>
        <w:pStyle w:val="NoSpacing"/>
        <w:numPr>
          <w:ilvl w:val="0"/>
          <w:numId w:val="1"/>
        </w:numPr>
        <w:rPr/>
      </w:pPr>
      <w:r>
        <w:rPr>
          <w:rFonts w:ascii="Cambria" w:hAnsi="Cambria"/>
        </w:rPr>
        <w:t>Reading the Bible one’s mother tongue of English enabled the reader to know God and his will: “</w:t>
      </w:r>
      <w:r>
        <w:rPr>
          <w:i/>
        </w:rPr>
        <w:t>All Scripture is inspired by God and profitable for teaching, for reproof, for correction, for training in righteousness; so that the man of God may be adequate, equipped for every good work</w:t>
      </w:r>
      <w:r>
        <w:rPr/>
        <w:t>” (2 Tim. 3:16–17).</w:t>
      </w:r>
    </w:p>
    <w:p>
      <w:pPr>
        <w:pStyle w:val="NoSpacing"/>
        <w:numPr>
          <w:ilvl w:val="0"/>
          <w:numId w:val="1"/>
        </w:numPr>
        <w:rPr/>
      </w:pPr>
      <w:r>
        <w:rPr/>
        <w:t>Proficiency in English makes one more capable for converting the lost: “</w:t>
      </w:r>
      <w:r>
        <w:rPr>
          <w:i/>
        </w:rPr>
        <w:t>however, in the church I desire to speak five words with my mind so that I may instruct others also, rather than ten thousand words in a tongue</w:t>
      </w:r>
      <w:r>
        <w:rPr/>
        <w:t>” (1 Cor. 14:19).</w:t>
      </w:r>
    </w:p>
    <w:p>
      <w:pPr>
        <w:pStyle w:val="NoSpacing"/>
        <w:numPr>
          <w:ilvl w:val="0"/>
          <w:numId w:val="1"/>
        </w:numPr>
        <w:rPr/>
      </w:pPr>
      <w:r>
        <w:rPr/>
        <w:t>Proficiency in English makes one more capable to serve as a follower of Christ in both the Church and public sphere: “</w:t>
      </w:r>
      <w:r>
        <w:rPr>
          <w:i/>
        </w:rPr>
        <w:t>When the righteous increase, the people rejoice, But when a wicked man rules, people groan</w:t>
      </w:r>
      <w:r>
        <w:rPr/>
        <w:t>” (Prov. 29:2).</w:t>
      </w:r>
    </w:p>
    <w:p>
      <w:pPr>
        <w:pStyle w:val="NoSpacing"/>
        <w:rPr>
          <w:rFonts w:ascii="Cambria" w:hAnsi="Cambria"/>
          <w:bCs/>
        </w:rPr>
      </w:pPr>
      <w:r>
        <w:rPr>
          <w:rFonts w:ascii="Cambria" w:hAnsi="Cambria"/>
          <w:bCs/>
        </w:rPr>
      </w:r>
    </w:p>
    <w:p>
      <w:pPr>
        <w:pStyle w:val="NoSpacing"/>
        <w:rPr/>
      </w:pPr>
      <w:r>
        <w:rPr>
          <w:rFonts w:ascii="Cambria" w:hAnsi="Cambria"/>
          <w:b/>
          <w:lang w:val="en-US"/>
        </w:rPr>
        <w:t>Philosophy of Teaching English at Redeemer Christian School:</w:t>
      </w:r>
      <w:r>
        <w:rPr>
          <w:rFonts w:ascii="Cambria" w:hAnsi="Cambria"/>
          <w:lang w:val="en-US"/>
        </w:rPr>
        <w:t xml:space="preserve"> As expressed more fully in the RCS Philosophy Statement, </w:t>
      </w:r>
      <w:r>
        <w:rPr>
          <w:rFonts w:ascii="Cambria" w:hAnsi="Cambria"/>
          <w:i/>
          <w:iCs/>
          <w:lang w:val="en-US"/>
        </w:rPr>
        <w:t xml:space="preserve">the earth is the Lord’s </w:t>
      </w:r>
      <w:r>
        <w:rPr>
          <w:rFonts w:ascii="Cambria" w:hAnsi="Cambria"/>
          <w:lang w:val="en-US"/>
        </w:rPr>
        <w:t>which also means our words belong to God: “</w:t>
      </w:r>
      <w:r>
        <w:rPr>
          <w:i/>
          <w:lang w:val="en-US"/>
        </w:rPr>
        <w:t>Let your speech always be with grace, as though seasoned with salt, so that you will know how you should respond to each person</w:t>
      </w:r>
      <w:r>
        <w:rPr>
          <w:lang w:val="en-US"/>
        </w:rPr>
        <w:t xml:space="preserve">” (Col. 4:6). </w:t>
      </w:r>
      <w:r>
        <w:rPr>
          <w:i/>
          <w:iCs/>
          <w:lang w:val="en-US"/>
        </w:rPr>
        <w:t>The fear of the Lord</w:t>
      </w:r>
      <w:r>
        <w:rPr>
          <w:lang w:val="en-US"/>
        </w:rPr>
        <w:t xml:space="preserve"> </w:t>
      </w:r>
      <w:r>
        <w:rPr>
          <w:i/>
          <w:iCs/>
          <w:lang w:val="en-US"/>
        </w:rPr>
        <w:t xml:space="preserve">is the beginning of knowledge </w:t>
      </w:r>
      <w:r>
        <w:rPr>
          <w:lang w:val="en-US"/>
        </w:rPr>
        <w:t>(Prov. 1:7a). A Christian philosophy of English is necessary for knowing God and using words which glorify him.</w:t>
      </w:r>
    </w:p>
    <w:p>
      <w:pPr>
        <w:pStyle w:val="NoSpacing"/>
        <w:rPr>
          <w:rFonts w:ascii="Cambria" w:hAnsi="Cambria"/>
          <w:bCs/>
        </w:rPr>
      </w:pPr>
      <w:r>
        <w:rPr>
          <w:rFonts w:ascii="Cambria" w:hAnsi="Cambria"/>
          <w:bCs/>
        </w:rPr>
      </w:r>
    </w:p>
    <w:p>
      <w:pPr>
        <w:pStyle w:val="NoSpacing"/>
        <w:rPr>
          <w:rFonts w:ascii="Cambria" w:hAnsi="Cambria"/>
          <w:bCs/>
        </w:rPr>
      </w:pPr>
      <w:r>
        <w:rPr>
          <w:rFonts w:ascii="Cambria" w:hAnsi="Cambria"/>
          <w:bCs/>
        </w:rPr>
      </w:r>
    </w:p>
    <w:p>
      <w:pPr>
        <w:pStyle w:val="NoSpacing"/>
        <w:rPr>
          <w:rFonts w:ascii="Cambria" w:hAnsi="Cambria"/>
          <w:b/>
          <w:b/>
        </w:rPr>
      </w:pPr>
      <w:r>
        <w:rPr>
          <w:rFonts w:ascii="Cambria" w:hAnsi="Cambria"/>
          <w:b/>
        </w:rPr>
        <w:t>Grade Levels, Overview, Topics/Units with Key Concepts, Standards, and Materials</w:t>
      </w:r>
    </w:p>
    <w:tbl>
      <w:tblPr>
        <w:tblStyle w:val="TableGrid"/>
        <w:tblW w:w="10790" w:type="dxa"/>
        <w:jc w:val="left"/>
        <w:tblInd w:w="0" w:type="dxa"/>
        <w:tblCellMar>
          <w:top w:w="0" w:type="dxa"/>
          <w:left w:w="108" w:type="dxa"/>
          <w:bottom w:w="0" w:type="dxa"/>
          <w:right w:w="108" w:type="dxa"/>
        </w:tblCellMar>
        <w:tblLook w:firstRow="1" w:noVBand="1" w:lastRow="0" w:firstColumn="1" w:lastColumn="0" w:noHBand="0" w:val="04a0"/>
      </w:tblPr>
      <w:tblGrid>
        <w:gridCol w:w="1442"/>
        <w:gridCol w:w="1988"/>
        <w:gridCol w:w="3940"/>
        <w:gridCol w:w="1799"/>
        <w:gridCol w:w="1621"/>
      </w:tblGrid>
      <w:tr>
        <w:trPr/>
        <w:tc>
          <w:tcPr>
            <w:tcW w:w="1442" w:type="dxa"/>
            <w:tcBorders/>
            <w:shd w:fill="auto" w:val="clear"/>
          </w:tcPr>
          <w:p>
            <w:pPr>
              <w:pStyle w:val="NoSpacing"/>
              <w:rPr>
                <w:rFonts w:ascii="Cambria" w:hAnsi="Cambria"/>
                <w:b/>
                <w:b/>
              </w:rPr>
            </w:pPr>
            <w:r>
              <w:rPr>
                <w:rFonts w:ascii="Cambria" w:hAnsi="Cambria"/>
                <w:b/>
              </w:rPr>
              <w:t>Grade Level</w:t>
            </w:r>
          </w:p>
        </w:tc>
        <w:tc>
          <w:tcPr>
            <w:tcW w:w="1988" w:type="dxa"/>
            <w:tcBorders/>
            <w:shd w:fill="auto" w:val="clear"/>
          </w:tcPr>
          <w:p>
            <w:pPr>
              <w:pStyle w:val="NoSpacing"/>
              <w:rPr>
                <w:rFonts w:ascii="Cambria" w:hAnsi="Cambria"/>
                <w:b/>
                <w:b/>
              </w:rPr>
            </w:pPr>
            <w:r>
              <w:rPr>
                <w:rFonts w:ascii="Cambria" w:hAnsi="Cambria"/>
                <w:b/>
              </w:rPr>
              <w:t>Overview</w:t>
            </w:r>
          </w:p>
        </w:tc>
        <w:tc>
          <w:tcPr>
            <w:tcW w:w="3940" w:type="dxa"/>
            <w:tcBorders/>
            <w:shd w:fill="auto" w:val="clear"/>
          </w:tcPr>
          <w:p>
            <w:pPr>
              <w:pStyle w:val="NoSpacing"/>
              <w:rPr>
                <w:rFonts w:ascii="Cambria" w:hAnsi="Cambria"/>
                <w:b/>
                <w:b/>
              </w:rPr>
            </w:pPr>
            <w:r>
              <w:rPr>
                <w:rFonts w:ascii="Cambria" w:hAnsi="Cambria"/>
                <w:b/>
              </w:rPr>
              <w:t>Topics/Units with Key Concepts</w:t>
            </w:r>
          </w:p>
        </w:tc>
        <w:tc>
          <w:tcPr>
            <w:tcW w:w="1799" w:type="dxa"/>
            <w:tcBorders/>
            <w:shd w:fill="auto" w:val="clear"/>
          </w:tcPr>
          <w:p>
            <w:pPr>
              <w:pStyle w:val="NoSpacing"/>
              <w:rPr>
                <w:rFonts w:ascii="Cambria" w:hAnsi="Cambria"/>
                <w:b/>
                <w:b/>
              </w:rPr>
            </w:pPr>
            <w:r>
              <w:rPr>
                <w:rFonts w:ascii="Cambria" w:hAnsi="Cambria"/>
                <w:b/>
              </w:rPr>
              <w:t>Standards</w:t>
            </w:r>
          </w:p>
        </w:tc>
        <w:tc>
          <w:tcPr>
            <w:tcW w:w="1621" w:type="dxa"/>
            <w:tcBorders/>
            <w:shd w:fill="auto" w:val="clear"/>
          </w:tcPr>
          <w:p>
            <w:pPr>
              <w:pStyle w:val="NoSpacing"/>
              <w:rPr>
                <w:rFonts w:ascii="Cambria" w:hAnsi="Cambria"/>
                <w:b/>
                <w:b/>
              </w:rPr>
            </w:pPr>
            <w:r>
              <w:rPr>
                <w:rFonts w:ascii="Cambria" w:hAnsi="Cambria"/>
                <w:b/>
              </w:rPr>
              <w:t>Materials</w:t>
            </w:r>
          </w:p>
        </w:tc>
      </w:tr>
      <w:tr>
        <w:trPr/>
        <w:tc>
          <w:tcPr>
            <w:tcW w:w="1442" w:type="dxa"/>
            <w:tcBorders/>
            <w:shd w:fill="auto" w:val="clear"/>
          </w:tcPr>
          <w:p>
            <w:pPr>
              <w:pStyle w:val="NoSpacing"/>
              <w:rPr>
                <w:rFonts w:ascii="Cambria" w:hAnsi="Cambria"/>
                <w:b/>
                <w:b/>
              </w:rPr>
            </w:pPr>
            <w:r>
              <w:rPr>
                <w:rFonts w:ascii="Cambria" w:hAnsi="Cambria"/>
                <w:b/>
              </w:rPr>
              <w:t>K</w:t>
            </w:r>
          </w:p>
        </w:tc>
        <w:tc>
          <w:tcPr>
            <w:tcW w:w="1988" w:type="dxa"/>
            <w:tcBorders/>
            <w:shd w:fill="auto" w:val="clear"/>
          </w:tcPr>
          <w:p>
            <w:pPr>
              <w:pStyle w:val="NoSpacing"/>
              <w:rPr>
                <w:rFonts w:ascii="Cambria" w:hAnsi="Cambria"/>
                <w:b/>
                <w:b/>
              </w:rPr>
            </w:pPr>
            <w:r>
              <w:rPr>
                <w:rFonts w:ascii="Cambria" w:hAnsi="Cambria"/>
                <w:b/>
              </w:rPr>
            </w:r>
          </w:p>
        </w:tc>
        <w:tc>
          <w:tcPr>
            <w:tcW w:w="3940" w:type="dxa"/>
            <w:tcBorders/>
            <w:shd w:fill="auto" w:val="clear"/>
          </w:tcPr>
          <w:p>
            <w:pPr>
              <w:pStyle w:val="NoSpacing"/>
              <w:rPr>
                <w:rFonts w:ascii="Cambria" w:hAnsi="Cambria"/>
                <w:b w:val="false"/>
                <w:b w:val="false"/>
                <w:bCs w:val="false"/>
              </w:rPr>
            </w:pPr>
            <w:r>
              <w:rPr>
                <w:rFonts w:ascii="Cambria" w:hAnsi="Cambria"/>
                <w:b w:val="false"/>
                <w:bCs w:val="false"/>
              </w:rPr>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r>
          </w:p>
        </w:tc>
        <w:tc>
          <w:tcPr>
            <w:tcW w:w="1621" w:type="dxa"/>
            <w:tcBorders/>
            <w:shd w:fill="auto" w:val="clear"/>
          </w:tcPr>
          <w:p>
            <w:pPr>
              <w:pStyle w:val="NoSpacing"/>
              <w:rPr>
                <w:rFonts w:ascii="Cambria" w:hAnsi="Cambria"/>
                <w:b w:val="false"/>
                <w:b w:val="false"/>
                <w:bCs w:val="false"/>
              </w:rPr>
            </w:pPr>
            <w:r>
              <w:rPr>
                <w:rFonts w:ascii="Cambria" w:hAnsi="Cambria"/>
                <w:b w:val="false"/>
                <w:bCs w:val="false"/>
              </w:rPr>
            </w:r>
          </w:p>
        </w:tc>
      </w:tr>
      <w:tr>
        <w:trPr/>
        <w:tc>
          <w:tcPr>
            <w:tcW w:w="1442" w:type="dxa"/>
            <w:tcBorders/>
            <w:shd w:fill="auto" w:val="clear"/>
          </w:tcPr>
          <w:p>
            <w:pPr>
              <w:pStyle w:val="NoSpacing"/>
              <w:rPr>
                <w:rFonts w:ascii="Cambria" w:hAnsi="Cambria"/>
                <w:b/>
                <w:b/>
              </w:rPr>
            </w:pPr>
            <w:r>
              <w:rPr>
                <w:rFonts w:ascii="Cambria" w:hAnsi="Cambria"/>
                <w:b/>
              </w:rPr>
              <w:t>1</w:t>
            </w:r>
          </w:p>
        </w:tc>
        <w:tc>
          <w:tcPr>
            <w:tcW w:w="1988" w:type="dxa"/>
            <w:tcBorders/>
            <w:shd w:fill="auto" w:val="clear"/>
          </w:tcPr>
          <w:p>
            <w:pPr>
              <w:pStyle w:val="NoSpacing"/>
              <w:rPr/>
            </w:pPr>
            <w:r>
              <w:rPr>
                <w:rFonts w:ascii="Cambria" w:hAnsi="Cambria"/>
                <w:b w:val="false"/>
                <w:bCs w:val="false"/>
              </w:rPr>
              <w:t>Phonics; Auditory &amp; Visual Letter Recognition</w:t>
            </w:r>
          </w:p>
          <w:p>
            <w:pPr>
              <w:pStyle w:val="NoSpacing"/>
              <w:rPr>
                <w:rFonts w:ascii="Cambria" w:hAnsi="Cambria"/>
                <w:b/>
                <w:b/>
              </w:rPr>
            </w:pPr>
            <w:r>
              <w:rPr>
                <w:rFonts w:ascii="Cambria" w:hAnsi="Cambria"/>
                <w:b/>
              </w:rPr>
            </w:r>
          </w:p>
        </w:tc>
        <w:tc>
          <w:tcPr>
            <w:tcW w:w="3940" w:type="dxa"/>
            <w:tcBorders/>
            <w:shd w:fill="auto" w:val="clear"/>
          </w:tcPr>
          <w:p>
            <w:pPr>
              <w:pStyle w:val="TextBody"/>
              <w:widowControl/>
              <w:tabs>
                <w:tab w:val="clear" w:pos="720"/>
                <w:tab w:val="left" w:pos="0" w:leader="none"/>
              </w:tabs>
              <w:spacing w:before="150" w:after="140"/>
              <w:ind w:left="0" w:right="0" w:hanging="0"/>
              <w:rPr/>
            </w:pPr>
            <w:r>
              <w:rPr>
                <w:rFonts w:ascii="Cambria" w:hAnsi="Cambria"/>
                <w:b w:val="false"/>
                <w:bCs w:val="false"/>
                <w:i w:val="false"/>
                <w:caps w:val="false"/>
                <w:smallCaps w:val="false"/>
                <w:color w:val="333333"/>
                <w:spacing w:val="0"/>
                <w:sz w:val="24"/>
              </w:rPr>
              <w:t xml:space="preserve">Recognizes long and short vowels and letter sounds. </w:t>
            </w:r>
            <w:r>
              <w:rPr>
                <w:rFonts w:ascii="open-sansregular" w:hAnsi="open-sansregular"/>
                <w:b w:val="false"/>
                <w:i w:val="false"/>
                <w:caps w:val="false"/>
                <w:smallCaps w:val="false"/>
                <w:color w:val="333333"/>
                <w:spacing w:val="0"/>
                <w:sz w:val="24"/>
              </w:rPr>
              <w:t>Studies auditory and visual discrimination—consonant letters and the sounds of C and G. Reads words and sentences. Learns important concepts—matching like and different shapes, color usage, rhyming pictures, directional words, and story sequence. Practices letter formation—writing words and sentences and alphabet sequence. Learns to follow instructions—using color and spatial terms</w:t>
            </w:r>
            <w:r>
              <w:rPr>
                <w:rFonts w:ascii="Cambria" w:hAnsi="Cambria"/>
                <w:b w:val="false"/>
                <w:bCs w:val="false"/>
                <w:i w:val="false"/>
                <w:caps w:val="false"/>
                <w:smallCaps w:val="false"/>
                <w:color w:val="333333"/>
                <w:spacing w:val="0"/>
                <w:sz w:val="24"/>
              </w:rPr>
              <w:t>.</w:t>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tc>
        <w:tc>
          <w:tcPr>
            <w:tcW w:w="1621" w:type="dxa"/>
            <w:tcBorders/>
            <w:shd w:fill="auto" w:val="clear"/>
          </w:tcPr>
          <w:p>
            <w:pPr>
              <w:pStyle w:val="NoSpacing"/>
              <w:rPr>
                <w:rFonts w:ascii="Cambria" w:hAnsi="Cambria"/>
                <w:b/>
                <w:b/>
              </w:rPr>
            </w:pPr>
            <w:r>
              <w:rPr>
                <w:rFonts w:ascii="Cambria" w:hAnsi="Cambria"/>
                <w:b w:val="false"/>
                <w:bCs w:val="false"/>
              </w:rPr>
              <w:t>Twelve PACE booklets; Counting Block; Abacus</w:t>
            </w:r>
            <w:r>
              <w:rPr>
                <w:rFonts w:ascii="Cambria" w:hAnsi="Cambria"/>
                <w:b/>
              </w:rPr>
              <w:t xml:space="preserve"> </w:t>
            </w:r>
          </w:p>
        </w:tc>
      </w:tr>
      <w:tr>
        <w:trPr/>
        <w:tc>
          <w:tcPr>
            <w:tcW w:w="1442" w:type="dxa"/>
            <w:tcBorders/>
            <w:shd w:fill="auto" w:val="clear"/>
          </w:tcPr>
          <w:p>
            <w:pPr>
              <w:pStyle w:val="NoSpacing"/>
              <w:rPr>
                <w:rFonts w:ascii="Cambria" w:hAnsi="Cambria"/>
                <w:b/>
                <w:b/>
              </w:rPr>
            </w:pPr>
            <w:r>
              <w:rPr>
                <w:rFonts w:ascii="Cambria" w:hAnsi="Cambria"/>
                <w:b/>
              </w:rPr>
              <w:t>2</w:t>
            </w:r>
          </w:p>
        </w:tc>
        <w:tc>
          <w:tcPr>
            <w:tcW w:w="1988" w:type="dxa"/>
            <w:tcBorders/>
            <w:shd w:fill="auto" w:val="clear"/>
          </w:tcPr>
          <w:p>
            <w:pPr>
              <w:pStyle w:val="NoSpacing"/>
              <w:rPr/>
            </w:pPr>
            <w:r>
              <w:rPr>
                <w:rFonts w:ascii="Cambria" w:hAnsi="Cambria"/>
                <w:b w:val="false"/>
                <w:bCs w:val="false"/>
              </w:rPr>
              <w:t>Continued Phonics; Practice Writing</w:t>
            </w:r>
          </w:p>
        </w:tc>
        <w:tc>
          <w:tcPr>
            <w:tcW w:w="3940" w:type="dxa"/>
            <w:tcBorders/>
            <w:shd w:fill="auto" w:val="clear"/>
          </w:tcPr>
          <w:p>
            <w:pPr>
              <w:pStyle w:val="TextBody"/>
              <w:widowControl/>
              <w:numPr>
                <w:ilvl w:val="0"/>
                <w:numId w:val="0"/>
              </w:numPr>
              <w:spacing w:before="150" w:after="140"/>
              <w:ind w:left="0" w:right="0" w:hanging="0"/>
              <w:rPr/>
            </w:pPr>
            <w:r>
              <w:rPr>
                <w:rFonts w:ascii="open-sansregular" w:hAnsi="open-sansregular"/>
                <w:b w:val="false"/>
                <w:i w:val="false"/>
                <w:caps w:val="false"/>
                <w:smallCaps w:val="false"/>
                <w:color w:val="333333"/>
                <w:spacing w:val="0"/>
                <w:sz w:val="24"/>
              </w:rPr>
              <w:t xml:space="preserve">Practices printing letters, words, and sentences. </w:t>
            </w:r>
            <w:r>
              <w:rPr>
                <w:rFonts w:ascii="open-sansregular" w:hAnsi="open-sansregular"/>
                <w:b w:val="false"/>
                <w:i w:val="false"/>
                <w:caps w:val="false"/>
                <w:smallCaps w:val="false"/>
                <w:color w:val="333333"/>
                <w:spacing w:val="0"/>
                <w:sz w:val="24"/>
              </w:rPr>
              <w:t>Reads and gains a greater understanding of vowels and consonants. Learns phonics rules—double and triple vowel sounds, blends, endings, digraphs, and diphthongs. Is encouraged in character development through examples given in each PACE. Expands vocabulary with new spelling words in each PACE.</w:t>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tc>
        <w:tc>
          <w:tcPr>
            <w:tcW w:w="1621" w:type="dxa"/>
            <w:tcBorders/>
            <w:shd w:fill="auto" w:val="clear"/>
          </w:tcPr>
          <w:p>
            <w:pPr>
              <w:pStyle w:val="NoSpacing"/>
              <w:rPr>
                <w:rFonts w:ascii="Cambria" w:hAnsi="Cambria"/>
                <w:b w:val="false"/>
                <w:b w:val="false"/>
                <w:bCs w:val="false"/>
              </w:rPr>
            </w:pPr>
            <w:r>
              <w:rPr>
                <w:rFonts w:ascii="Cambria" w:hAnsi="Cambria"/>
                <w:b w:val="false"/>
                <w:bCs w:val="false"/>
              </w:rPr>
              <w:t>Twelve PACE booklets</w:t>
            </w:r>
          </w:p>
        </w:tc>
      </w:tr>
      <w:tr>
        <w:trPr/>
        <w:tc>
          <w:tcPr>
            <w:tcW w:w="1442" w:type="dxa"/>
            <w:tcBorders/>
            <w:shd w:fill="auto" w:val="clear"/>
          </w:tcPr>
          <w:p>
            <w:pPr>
              <w:pStyle w:val="NoSpacing"/>
              <w:rPr>
                <w:rFonts w:ascii="Cambria" w:hAnsi="Cambria"/>
                <w:b/>
                <w:b/>
              </w:rPr>
            </w:pPr>
            <w:r>
              <w:rPr>
                <w:rFonts w:ascii="Cambria" w:hAnsi="Cambria"/>
                <w:b/>
              </w:rPr>
              <w:t>3</w:t>
            </w:r>
          </w:p>
        </w:tc>
        <w:tc>
          <w:tcPr>
            <w:tcW w:w="1988" w:type="dxa"/>
            <w:tcBorders/>
            <w:shd w:fill="auto" w:val="clear"/>
          </w:tcPr>
          <w:p>
            <w:pPr>
              <w:pStyle w:val="NoSpacing"/>
              <w:rPr>
                <w:rFonts w:ascii="Cambria" w:hAnsi="Cambria"/>
                <w:b w:val="false"/>
                <w:b w:val="false"/>
                <w:bCs w:val="false"/>
              </w:rPr>
            </w:pPr>
            <w:r>
              <w:rPr/>
            </w:r>
          </w:p>
          <w:p>
            <w:pPr>
              <w:pStyle w:val="NoSpacing"/>
              <w:rPr>
                <w:rFonts w:ascii="Cambria" w:hAnsi="Cambria"/>
                <w:b w:val="false"/>
                <w:b w:val="false"/>
                <w:bCs w:val="false"/>
              </w:rPr>
            </w:pPr>
            <w:r>
              <w:rPr>
                <w:rFonts w:ascii="Cambria" w:hAnsi="Cambria"/>
                <w:b w:val="false"/>
                <w:bCs w:val="false"/>
              </w:rPr>
              <w:t>New Phonetic Rules</w:t>
            </w:r>
          </w:p>
        </w:tc>
        <w:tc>
          <w:tcPr>
            <w:tcW w:w="3940" w:type="dxa"/>
            <w:tcBorders/>
            <w:shd w:fill="auto" w:val="clear"/>
          </w:tcPr>
          <w:p>
            <w:pPr>
              <w:pStyle w:val="TextBody"/>
              <w:widowControl/>
              <w:numPr>
                <w:ilvl w:val="0"/>
                <w:numId w:val="0"/>
              </w:numPr>
              <w:spacing w:before="150" w:after="140"/>
              <w:ind w:left="0" w:right="0" w:hanging="0"/>
              <w:rPr/>
            </w:pPr>
            <w:r>
              <w:rPr>
                <w:rFonts w:ascii="open-sansregular" w:hAnsi="open-sansregular"/>
                <w:b w:val="false"/>
                <w:i w:val="false"/>
                <w:caps w:val="false"/>
                <w:smallCaps w:val="false"/>
                <w:color w:val="333333"/>
                <w:spacing w:val="0"/>
                <w:sz w:val="24"/>
              </w:rPr>
              <w:t xml:space="preserve">Reviews long and short vowel sounds, blends, digraphs, and diphthongs. </w:t>
            </w:r>
            <w:r>
              <w:rPr>
                <w:rFonts w:ascii="open-sansregular" w:hAnsi="open-sansregular"/>
                <w:b w:val="false"/>
                <w:i w:val="false"/>
                <w:caps w:val="false"/>
                <w:smallCaps w:val="false"/>
                <w:color w:val="333333"/>
                <w:spacing w:val="0"/>
                <w:sz w:val="24"/>
              </w:rPr>
              <w:t>Expands vocabulary with prefixes and word endings. Learns new phonetic rules—schwa a and silent letters. Increases visual discrimination. Develops word concepts that are presented in English—antonyms, synonyms, homonyms, and confusing words (there/their).</w:t>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tc>
        <w:tc>
          <w:tcPr>
            <w:tcW w:w="1621" w:type="dxa"/>
            <w:tcBorders/>
            <w:shd w:fill="auto" w:val="clear"/>
          </w:tcPr>
          <w:p>
            <w:pPr>
              <w:pStyle w:val="NoSpacing"/>
              <w:rPr>
                <w:rFonts w:ascii="Cambria" w:hAnsi="Cambria"/>
                <w:b w:val="false"/>
                <w:b w:val="false"/>
                <w:bCs w:val="false"/>
              </w:rPr>
            </w:pPr>
            <w:r>
              <w:rPr>
                <w:rFonts w:ascii="Cambria" w:hAnsi="Cambria"/>
                <w:b w:val="false"/>
                <w:bCs w:val="false"/>
              </w:rPr>
              <w:t>Twelve PACE booklets</w:t>
            </w:r>
          </w:p>
        </w:tc>
      </w:tr>
      <w:tr>
        <w:trPr/>
        <w:tc>
          <w:tcPr>
            <w:tcW w:w="1442" w:type="dxa"/>
            <w:tcBorders/>
            <w:shd w:fill="auto" w:val="clear"/>
          </w:tcPr>
          <w:p>
            <w:pPr>
              <w:pStyle w:val="NoSpacing"/>
              <w:rPr>
                <w:rFonts w:ascii="Cambria" w:hAnsi="Cambria"/>
                <w:b/>
                <w:b/>
              </w:rPr>
            </w:pPr>
            <w:r>
              <w:rPr>
                <w:rFonts w:ascii="Cambria" w:hAnsi="Cambria"/>
                <w:b/>
              </w:rPr>
              <w:t>4</w:t>
            </w:r>
          </w:p>
        </w:tc>
        <w:tc>
          <w:tcPr>
            <w:tcW w:w="1988" w:type="dxa"/>
            <w:tcBorders/>
            <w:shd w:fill="auto" w:val="clear"/>
          </w:tcPr>
          <w:p>
            <w:pPr>
              <w:pStyle w:val="NoSpacing"/>
              <w:rPr>
                <w:rFonts w:ascii="Cambria" w:hAnsi="Cambria"/>
                <w:b w:val="false"/>
                <w:b w:val="false"/>
                <w:bCs w:val="false"/>
              </w:rPr>
            </w:pPr>
            <w:r>
              <w:rPr>
                <w:rFonts w:ascii="Cambria" w:hAnsi="Cambria"/>
                <w:b w:val="false"/>
                <w:bCs w:val="false"/>
              </w:rPr>
            </w:r>
          </w:p>
          <w:p>
            <w:pPr>
              <w:pStyle w:val="NoSpacing"/>
              <w:rPr/>
            </w:pPr>
            <w:r>
              <w:rPr>
                <w:rFonts w:ascii="Cambria" w:hAnsi="Cambria"/>
                <w:b w:val="false"/>
                <w:bCs w:val="false"/>
              </w:rPr>
              <w:t>Syllabification; Vocabulary Development</w:t>
            </w:r>
          </w:p>
        </w:tc>
        <w:tc>
          <w:tcPr>
            <w:tcW w:w="3940" w:type="dxa"/>
            <w:tcBorders/>
            <w:shd w:fill="auto" w:val="clear"/>
          </w:tcPr>
          <w:p>
            <w:pPr>
              <w:pStyle w:val="TextBody"/>
              <w:widowControl/>
              <w:numPr>
                <w:ilvl w:val="0"/>
                <w:numId w:val="0"/>
              </w:numPr>
              <w:spacing w:before="150" w:after="140"/>
              <w:ind w:left="0" w:right="0" w:hanging="0"/>
              <w:rPr/>
            </w:pPr>
            <w:r>
              <w:rPr>
                <w:rFonts w:ascii="open-sansregular" w:hAnsi="open-sansregular"/>
                <w:b w:val="false"/>
                <w:i w:val="false"/>
                <w:caps w:val="false"/>
                <w:smallCaps w:val="false"/>
                <w:color w:val="333333"/>
                <w:spacing w:val="0"/>
                <w:sz w:val="24"/>
              </w:rPr>
              <w:t xml:space="preserve"> </w:t>
            </w:r>
            <w:r>
              <w:rPr>
                <w:rFonts w:ascii="open-sansregular" w:hAnsi="open-sansregular"/>
                <w:b w:val="false"/>
                <w:i w:val="false"/>
                <w:caps w:val="false"/>
                <w:smallCaps w:val="false"/>
                <w:color w:val="333333"/>
                <w:spacing w:val="0"/>
                <w:sz w:val="24"/>
              </w:rPr>
              <w:t xml:space="preserve">Develops vocabulary by reviewing consonants and vowels, beginning and ending sounds, doubled consonants, suffixes, and prefixes. </w:t>
            </w:r>
            <w:r>
              <w:rPr>
                <w:rFonts w:ascii="open-sansregular" w:hAnsi="open-sansregular"/>
                <w:b w:val="false"/>
                <w:i w:val="false"/>
                <w:caps w:val="false"/>
                <w:smallCaps w:val="false"/>
                <w:color w:val="333333"/>
                <w:spacing w:val="0"/>
                <w:sz w:val="24"/>
              </w:rPr>
              <w:t>Is introduced to syllables, contractions, and more compound words. Learns to form plurals with es and changes y to I and f to v.</w:t>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tc>
        <w:tc>
          <w:tcPr>
            <w:tcW w:w="1621" w:type="dxa"/>
            <w:tcBorders/>
            <w:shd w:fill="auto" w:val="clear"/>
          </w:tcPr>
          <w:p>
            <w:pPr>
              <w:pStyle w:val="NoSpacing"/>
              <w:rPr>
                <w:rFonts w:ascii="Cambria" w:hAnsi="Cambria"/>
                <w:b w:val="false"/>
                <w:b w:val="false"/>
                <w:bCs w:val="false"/>
              </w:rPr>
            </w:pPr>
            <w:r>
              <w:rPr>
                <w:rFonts w:ascii="Cambria" w:hAnsi="Cambria"/>
                <w:b w:val="false"/>
                <w:bCs w:val="false"/>
              </w:rPr>
              <w:t>Twelve PACE booklets</w:t>
            </w:r>
          </w:p>
        </w:tc>
      </w:tr>
      <w:tr>
        <w:trPr/>
        <w:tc>
          <w:tcPr>
            <w:tcW w:w="1442" w:type="dxa"/>
            <w:tcBorders/>
            <w:shd w:fill="auto" w:val="clear"/>
          </w:tcPr>
          <w:p>
            <w:pPr>
              <w:pStyle w:val="NoSpacing"/>
              <w:rPr>
                <w:rFonts w:ascii="Cambria" w:hAnsi="Cambria"/>
                <w:b/>
                <w:b/>
              </w:rPr>
            </w:pPr>
            <w:r>
              <w:rPr>
                <w:rFonts w:ascii="Cambria" w:hAnsi="Cambria"/>
                <w:b/>
              </w:rPr>
              <w:t>5</w:t>
            </w:r>
          </w:p>
        </w:tc>
        <w:tc>
          <w:tcPr>
            <w:tcW w:w="1988" w:type="dxa"/>
            <w:tcBorders/>
            <w:shd w:fill="auto" w:val="clear"/>
          </w:tcPr>
          <w:p>
            <w:pPr>
              <w:pStyle w:val="NoSpacing"/>
              <w:rPr>
                <w:rFonts w:ascii="Cambria" w:hAnsi="Cambria"/>
                <w:b w:val="false"/>
                <w:b w:val="false"/>
                <w:bCs w:val="false"/>
              </w:rPr>
            </w:pPr>
            <w:r>
              <w:rPr>
                <w:rFonts w:ascii="Cambria" w:hAnsi="Cambria"/>
                <w:b w:val="false"/>
                <w:bCs w:val="false"/>
              </w:rPr>
            </w:r>
          </w:p>
          <w:p>
            <w:pPr>
              <w:pStyle w:val="NoSpacing"/>
              <w:rPr/>
            </w:pPr>
            <w:r>
              <w:rPr>
                <w:rFonts w:ascii="Cambria" w:hAnsi="Cambria"/>
                <w:b w:val="false"/>
                <w:bCs w:val="false"/>
              </w:rPr>
              <w:t>Word Roots</w:t>
            </w:r>
          </w:p>
        </w:tc>
        <w:tc>
          <w:tcPr>
            <w:tcW w:w="3940" w:type="dxa"/>
            <w:tcBorders/>
            <w:shd w:fill="auto" w:val="clear"/>
          </w:tcPr>
          <w:p>
            <w:pPr>
              <w:pStyle w:val="TextBody"/>
              <w:widowControl/>
              <w:numPr>
                <w:ilvl w:val="0"/>
                <w:numId w:val="0"/>
              </w:numPr>
              <w:spacing w:before="150" w:after="140"/>
              <w:ind w:left="0" w:right="0" w:hanging="0"/>
              <w:rPr/>
            </w:pPr>
            <w:r>
              <w:rPr>
                <w:rFonts w:ascii="open-sansregular" w:hAnsi="open-sansregular"/>
                <w:b w:val="false"/>
                <w:i w:val="false"/>
                <w:caps w:val="false"/>
                <w:smallCaps w:val="false"/>
                <w:color w:val="333333"/>
                <w:spacing w:val="0"/>
                <w:sz w:val="24"/>
              </w:rPr>
              <w:t xml:space="preserve">Identifies parts of speech—nouns, verbs, and present and past tenses. </w:t>
            </w:r>
            <w:r>
              <w:rPr>
                <w:rFonts w:ascii="open-sansregular" w:hAnsi="open-sansregular"/>
                <w:b w:val="false"/>
                <w:i w:val="false"/>
                <w:caps w:val="false"/>
                <w:smallCaps w:val="false"/>
                <w:color w:val="333333"/>
                <w:spacing w:val="0"/>
                <w:sz w:val="24"/>
              </w:rPr>
              <w:t>Recognizes syllable divisions and accents. Evaluates root words, prefixes, and suffixes. Forms plurals by changing the endings.</w:t>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tc>
        <w:tc>
          <w:tcPr>
            <w:tcW w:w="1621" w:type="dxa"/>
            <w:tcBorders/>
            <w:shd w:fill="auto" w:val="clear"/>
          </w:tcPr>
          <w:p>
            <w:pPr>
              <w:pStyle w:val="NoSpacing"/>
              <w:rPr>
                <w:rFonts w:ascii="Cambria" w:hAnsi="Cambria"/>
                <w:b w:val="false"/>
                <w:b w:val="false"/>
                <w:bCs w:val="false"/>
              </w:rPr>
            </w:pPr>
            <w:r>
              <w:rPr>
                <w:rFonts w:ascii="Cambria" w:hAnsi="Cambria"/>
                <w:b w:val="false"/>
                <w:bCs w:val="false"/>
              </w:rPr>
              <w:t>Twelve PACE booklets</w:t>
            </w:r>
          </w:p>
        </w:tc>
      </w:tr>
      <w:tr>
        <w:trPr/>
        <w:tc>
          <w:tcPr>
            <w:tcW w:w="1442" w:type="dxa"/>
            <w:tcBorders/>
            <w:shd w:fill="auto" w:val="clear"/>
          </w:tcPr>
          <w:p>
            <w:pPr>
              <w:pStyle w:val="NoSpacing"/>
              <w:rPr>
                <w:rFonts w:ascii="Cambria" w:hAnsi="Cambria"/>
                <w:b/>
                <w:b/>
              </w:rPr>
            </w:pPr>
            <w:r>
              <w:rPr>
                <w:rFonts w:ascii="Cambria" w:hAnsi="Cambria"/>
                <w:b/>
              </w:rPr>
              <w:t>6</w:t>
            </w:r>
          </w:p>
        </w:tc>
        <w:tc>
          <w:tcPr>
            <w:tcW w:w="1988" w:type="dxa"/>
            <w:tcBorders/>
            <w:shd w:fill="auto" w:val="clear"/>
          </w:tcPr>
          <w:p>
            <w:pPr>
              <w:pStyle w:val="NoSpacing"/>
              <w:rPr/>
            </w:pPr>
            <w:r>
              <w:rPr>
                <w:rFonts w:ascii="Cambria" w:hAnsi="Cambria"/>
                <w:b w:val="false"/>
                <w:bCs w:val="false"/>
              </w:rPr>
              <w:t>Word classification; history through the use of words</w:t>
            </w:r>
          </w:p>
          <w:p>
            <w:pPr>
              <w:pStyle w:val="NoSpacing"/>
              <w:rPr>
                <w:rFonts w:ascii="Cambria" w:hAnsi="Cambria"/>
                <w:b w:val="false"/>
                <w:b w:val="false"/>
                <w:bCs w:val="false"/>
              </w:rPr>
            </w:pPr>
            <w:r>
              <w:rPr>
                <w:rFonts w:ascii="Cambria" w:hAnsi="Cambria"/>
                <w:b w:val="false"/>
                <w:bCs w:val="false"/>
              </w:rPr>
            </w:r>
          </w:p>
        </w:tc>
        <w:tc>
          <w:tcPr>
            <w:tcW w:w="3940" w:type="dxa"/>
            <w:tcBorders/>
            <w:shd w:fill="auto" w:val="clear"/>
          </w:tcPr>
          <w:p>
            <w:pPr>
              <w:pStyle w:val="TextBody"/>
              <w:widowControl/>
              <w:numPr>
                <w:ilvl w:val="0"/>
                <w:numId w:val="0"/>
              </w:numPr>
              <w:pBdr/>
              <w:spacing w:before="150" w:after="140"/>
              <w:ind w:left="0" w:right="0" w:hanging="0"/>
              <w:rPr/>
            </w:pPr>
            <w:r>
              <w:rPr>
                <w:rFonts w:ascii="open-sansregular" w:hAnsi="open-sansregular"/>
                <w:b w:val="false"/>
                <w:i w:val="false"/>
                <w:caps w:val="false"/>
                <w:smallCaps w:val="false"/>
                <w:color w:val="333333"/>
                <w:spacing w:val="0"/>
                <w:sz w:val="24"/>
              </w:rPr>
              <w:t>Reviews phonics rules—vowels, consonants, blends, diphthongs, and digraphs. Builds on the parts of speech foundation—present, past, and progressive tenses; and forming plurals. Classifies words that are homophones, words with more than one definition and easily confused, and negative words. Identifies division rules and accenting syllables. Begins to study word histories through the use of a dictionary.</w:t>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tc>
        <w:tc>
          <w:tcPr>
            <w:tcW w:w="1621" w:type="dxa"/>
            <w:tcBorders/>
            <w:shd w:fill="auto" w:val="clear"/>
          </w:tcPr>
          <w:p>
            <w:pPr>
              <w:pStyle w:val="NoSpacing"/>
              <w:rPr>
                <w:rFonts w:ascii="Cambria" w:hAnsi="Cambria"/>
                <w:b w:val="false"/>
                <w:b w:val="false"/>
                <w:bCs w:val="false"/>
              </w:rPr>
            </w:pPr>
            <w:r>
              <w:rPr>
                <w:rFonts w:ascii="Cambria" w:hAnsi="Cambria"/>
                <w:b w:val="false"/>
                <w:bCs w:val="false"/>
              </w:rPr>
              <w:t>Twelve PACE booklets</w:t>
            </w:r>
          </w:p>
        </w:tc>
      </w:tr>
      <w:tr>
        <w:trPr/>
        <w:tc>
          <w:tcPr>
            <w:tcW w:w="1442" w:type="dxa"/>
            <w:tcBorders/>
            <w:shd w:fill="auto" w:val="clear"/>
          </w:tcPr>
          <w:p>
            <w:pPr>
              <w:pStyle w:val="NoSpacing"/>
              <w:rPr>
                <w:rFonts w:ascii="Cambria" w:hAnsi="Cambria"/>
                <w:b/>
                <w:b/>
              </w:rPr>
            </w:pPr>
            <w:r>
              <w:rPr>
                <w:rFonts w:ascii="Cambria" w:hAnsi="Cambria"/>
                <w:b/>
              </w:rPr>
              <w:t>7</w:t>
            </w:r>
          </w:p>
        </w:tc>
        <w:tc>
          <w:tcPr>
            <w:tcW w:w="1988" w:type="dxa"/>
            <w:tcBorders/>
            <w:shd w:fill="auto" w:val="clear"/>
          </w:tcPr>
          <w:p>
            <w:pPr>
              <w:pStyle w:val="NoSpacing"/>
              <w:rPr>
                <w:rFonts w:ascii="Cambria" w:hAnsi="Cambria"/>
                <w:b w:val="false"/>
                <w:b w:val="false"/>
                <w:bCs w:val="false"/>
              </w:rPr>
            </w:pPr>
            <w:r>
              <w:rPr>
                <w:rFonts w:ascii="Cambria" w:hAnsi="Cambria"/>
                <w:b w:val="false"/>
                <w:bCs w:val="false"/>
              </w:rPr>
              <w:t>Words with Greek parts; Originating in French or Spanish</w:t>
            </w:r>
          </w:p>
          <w:p>
            <w:pPr>
              <w:pStyle w:val="NoSpacing"/>
              <w:rPr>
                <w:rFonts w:ascii="Cambria" w:hAnsi="Cambria"/>
                <w:b w:val="false"/>
                <w:b w:val="false"/>
                <w:bCs w:val="false"/>
              </w:rPr>
            </w:pPr>
            <w:r>
              <w:rPr/>
            </w:r>
          </w:p>
        </w:tc>
        <w:tc>
          <w:tcPr>
            <w:tcW w:w="3940" w:type="dxa"/>
            <w:tcBorders/>
            <w:shd w:fill="auto" w:val="clear"/>
          </w:tcPr>
          <w:p>
            <w:pPr>
              <w:pStyle w:val="TextBody"/>
              <w:widowControl/>
              <w:numPr>
                <w:ilvl w:val="0"/>
                <w:numId w:val="0"/>
              </w:numPr>
              <w:tabs>
                <w:tab w:val="clear" w:pos="720"/>
                <w:tab w:val="left" w:pos="0" w:leader="none"/>
              </w:tabs>
              <w:spacing w:before="150" w:after="140"/>
              <w:ind w:left="0" w:right="0" w:hanging="0"/>
              <w:rPr/>
            </w:pPr>
            <w:r>
              <w:rPr>
                <w:rFonts w:ascii="open-sansregular" w:hAnsi="open-sansregular"/>
                <w:b w:val="false"/>
                <w:i w:val="false"/>
                <w:caps w:val="false"/>
                <w:smallCaps w:val="false"/>
                <w:color w:val="333333"/>
                <w:spacing w:val="0"/>
                <w:sz w:val="24"/>
              </w:rPr>
              <w:t xml:space="preserve">Reviews word studies—synonyms, homophones, antonyms, heteronyms, commonly misspelled words, Greek word parts, and words of Spanish and French origin. </w:t>
            </w:r>
            <w:r>
              <w:rPr>
                <w:rFonts w:ascii="open-sansregular" w:hAnsi="open-sansregular"/>
                <w:b w:val="false"/>
                <w:i w:val="false"/>
                <w:caps w:val="false"/>
                <w:smallCaps w:val="false"/>
                <w:color w:val="333333"/>
                <w:spacing w:val="0"/>
                <w:sz w:val="24"/>
              </w:rPr>
              <w:t>Expands grammar usage—regular and irregular verb forms, forming adjectives from nouns and adverbs, interjections, complete subject, and complete predicate. Integrates thinking and writing with correct punctuation. Reviews, memorizes, and learns abbreviations—days of the week, months, states, and capitals. Continues to study phonics rules—different sounds of s and c, ending sounds, prefixes and suffixes, diphthongs, and accent and syllable division.</w:t>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tc>
        <w:tc>
          <w:tcPr>
            <w:tcW w:w="1621" w:type="dxa"/>
            <w:tcBorders/>
            <w:shd w:fill="auto" w:val="clear"/>
          </w:tcPr>
          <w:p>
            <w:pPr>
              <w:pStyle w:val="NoSpacing"/>
              <w:rPr>
                <w:rFonts w:ascii="Cambria" w:hAnsi="Cambria"/>
                <w:b w:val="false"/>
                <w:b w:val="false"/>
                <w:bCs w:val="false"/>
              </w:rPr>
            </w:pPr>
            <w:r>
              <w:rPr>
                <w:rFonts w:ascii="Cambria" w:hAnsi="Cambria"/>
                <w:b w:val="false"/>
                <w:bCs w:val="false"/>
              </w:rPr>
              <w:t>Twelve PACE booklets</w:t>
            </w:r>
          </w:p>
        </w:tc>
      </w:tr>
      <w:tr>
        <w:trPr>
          <w:trHeight w:val="413" w:hRule="atLeast"/>
        </w:trPr>
        <w:tc>
          <w:tcPr>
            <w:tcW w:w="1442" w:type="dxa"/>
            <w:tcBorders/>
            <w:shd w:fill="auto" w:val="clear"/>
          </w:tcPr>
          <w:p>
            <w:pPr>
              <w:pStyle w:val="NoSpacing"/>
              <w:rPr>
                <w:rFonts w:ascii="Cambria" w:hAnsi="Cambria"/>
                <w:b/>
                <w:b/>
              </w:rPr>
            </w:pPr>
            <w:r>
              <w:rPr>
                <w:rFonts w:ascii="Cambria" w:hAnsi="Cambria"/>
                <w:b/>
              </w:rPr>
              <w:t>8</w:t>
            </w:r>
          </w:p>
        </w:tc>
        <w:tc>
          <w:tcPr>
            <w:tcW w:w="1988" w:type="dxa"/>
            <w:tcBorders/>
            <w:shd w:fill="auto" w:val="clear"/>
          </w:tcPr>
          <w:p>
            <w:pPr>
              <w:pStyle w:val="NoSpacing"/>
              <w:rPr>
                <w:rFonts w:ascii="Cambria" w:hAnsi="Cambria"/>
                <w:b w:val="false"/>
                <w:b w:val="false"/>
                <w:bCs w:val="false"/>
              </w:rPr>
            </w:pPr>
            <w:r>
              <w:rPr>
                <w:rFonts w:ascii="Cambria" w:hAnsi="Cambria"/>
                <w:b w:val="false"/>
                <w:bCs w:val="false"/>
              </w:rPr>
            </w:r>
          </w:p>
          <w:p>
            <w:pPr>
              <w:pStyle w:val="NoSpacing"/>
              <w:rPr/>
            </w:pPr>
            <w:r>
              <w:rPr>
                <w:rFonts w:ascii="Cambria" w:hAnsi="Cambria"/>
                <w:b w:val="false"/>
                <w:bCs w:val="false"/>
              </w:rPr>
              <w:t>Expanded Phonics; Semaphore Alphabet Code</w:t>
            </w:r>
          </w:p>
        </w:tc>
        <w:tc>
          <w:tcPr>
            <w:tcW w:w="3940" w:type="dxa"/>
            <w:tcBorders/>
            <w:shd w:fill="auto" w:val="clear"/>
          </w:tcPr>
          <w:p>
            <w:pPr>
              <w:pStyle w:val="TextBody"/>
              <w:widowControl/>
              <w:numPr>
                <w:ilvl w:val="0"/>
                <w:numId w:val="0"/>
              </w:numPr>
              <w:tabs>
                <w:tab w:val="clear" w:pos="720"/>
                <w:tab w:val="left" w:pos="0" w:leader="none"/>
              </w:tabs>
              <w:spacing w:before="150" w:after="140"/>
              <w:ind w:left="0" w:right="0" w:hanging="0"/>
              <w:rPr/>
            </w:pPr>
            <w:r>
              <w:rPr>
                <w:rFonts w:ascii="open-sansregular" w:hAnsi="open-sansregular"/>
                <w:b w:val="false"/>
                <w:i w:val="false"/>
                <w:caps w:val="false"/>
                <w:smallCaps w:val="false"/>
                <w:color w:val="333333"/>
                <w:spacing w:val="0"/>
                <w:sz w:val="24"/>
              </w:rPr>
              <w:t>Expands his knowledge and use of phonics rules—vowel sounds and spelling; and special sound consonants s, c, j, g, and k. Learns the semaphore alphabet code. Increases his understanding of grammar—verb forms, tenses, nouns, and plurals.</w:t>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tc>
        <w:tc>
          <w:tcPr>
            <w:tcW w:w="1621" w:type="dxa"/>
            <w:tcBorders/>
            <w:shd w:fill="auto" w:val="clear"/>
          </w:tcPr>
          <w:p>
            <w:pPr>
              <w:pStyle w:val="NoSpacing"/>
              <w:rPr>
                <w:rFonts w:ascii="Cambria" w:hAnsi="Cambria"/>
                <w:b w:val="false"/>
                <w:b w:val="false"/>
                <w:bCs w:val="false"/>
              </w:rPr>
            </w:pPr>
            <w:r>
              <w:rPr>
                <w:rFonts w:ascii="Cambria" w:hAnsi="Cambria"/>
                <w:b w:val="false"/>
                <w:bCs w:val="false"/>
              </w:rPr>
              <w:t>Twelve PACE booklets</w:t>
            </w:r>
          </w:p>
        </w:tc>
      </w:tr>
      <w:tr>
        <w:trPr/>
        <w:tc>
          <w:tcPr>
            <w:tcW w:w="1442" w:type="dxa"/>
            <w:tcBorders/>
            <w:shd w:fill="auto" w:val="clear"/>
          </w:tcPr>
          <w:p>
            <w:pPr>
              <w:pStyle w:val="NoSpacing"/>
              <w:rPr>
                <w:rFonts w:ascii="Cambria" w:hAnsi="Cambria"/>
                <w:b/>
                <w:b/>
              </w:rPr>
            </w:pPr>
            <w:r>
              <w:rPr>
                <w:rFonts w:ascii="Cambria" w:hAnsi="Cambria"/>
                <w:b/>
              </w:rPr>
              <w:t>9</w:t>
            </w:r>
          </w:p>
          <w:p>
            <w:pPr>
              <w:pStyle w:val="NoSpacing"/>
              <w:rPr>
                <w:rFonts w:ascii="Cambria" w:hAnsi="Cambria"/>
                <w:b/>
                <w:b/>
              </w:rPr>
            </w:pPr>
            <w:r>
              <w:rPr>
                <w:rFonts w:ascii="Cambria" w:hAnsi="Cambria"/>
                <w:b/>
              </w:rPr>
            </w:r>
          </w:p>
        </w:tc>
        <w:tc>
          <w:tcPr>
            <w:tcW w:w="1988" w:type="dxa"/>
            <w:tcBorders/>
            <w:shd w:fill="auto" w:val="clear"/>
          </w:tcPr>
          <w:p>
            <w:pPr>
              <w:pStyle w:val="NoSpacing"/>
              <w:rPr/>
            </w:pPr>
            <w:r>
              <w:rPr>
                <w:rFonts w:ascii="Cambria" w:hAnsi="Cambria"/>
                <w:b w:val="false"/>
                <w:bCs w:val="false"/>
              </w:rPr>
              <w:t>Root Words and their meanings</w:t>
            </w:r>
          </w:p>
        </w:tc>
        <w:tc>
          <w:tcPr>
            <w:tcW w:w="3940" w:type="dxa"/>
            <w:tcBorders/>
            <w:shd w:fill="auto" w:val="clear"/>
          </w:tcPr>
          <w:p>
            <w:pPr>
              <w:pStyle w:val="TextBody"/>
              <w:widowControl/>
              <w:numPr>
                <w:ilvl w:val="0"/>
                <w:numId w:val="0"/>
              </w:numPr>
              <w:spacing w:before="150" w:after="140"/>
              <w:ind w:left="0" w:right="0" w:hanging="0"/>
              <w:rPr/>
            </w:pPr>
            <w:r>
              <w:rPr>
                <w:rFonts w:ascii="open-sansregular" w:hAnsi="open-sansregular"/>
                <w:b w:val="false"/>
                <w:i w:val="false"/>
                <w:caps w:val="false"/>
                <w:smallCaps w:val="false"/>
                <w:color w:val="333333"/>
                <w:spacing w:val="0"/>
                <w:sz w:val="24"/>
              </w:rPr>
              <w:t xml:space="preserve">Identifies root words and writes their meanings. </w:t>
            </w:r>
            <w:r>
              <w:rPr>
                <w:rFonts w:ascii="open-sansregular" w:hAnsi="open-sansregular"/>
                <w:b w:val="false"/>
                <w:i w:val="false"/>
                <w:caps w:val="false"/>
                <w:smallCaps w:val="false"/>
                <w:color w:val="333333"/>
                <w:spacing w:val="0"/>
                <w:sz w:val="24"/>
              </w:rPr>
              <w:t>Reviews the word study of homophones, synonyms, and antonyms. Expands on the functions of suffixes. Reviews phonics rules—special sounds, silent letters, digraphs, and diphthongs. Develops grammar comprehension—parts of speech and their functions.</w:t>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tc>
        <w:tc>
          <w:tcPr>
            <w:tcW w:w="1621" w:type="dxa"/>
            <w:tcBorders/>
            <w:shd w:fill="auto" w:val="clear"/>
          </w:tcPr>
          <w:p>
            <w:pPr>
              <w:pStyle w:val="NoSpacing"/>
              <w:rPr>
                <w:rFonts w:ascii="Cambria" w:hAnsi="Cambria"/>
                <w:b w:val="false"/>
                <w:b w:val="false"/>
                <w:bCs w:val="false"/>
              </w:rPr>
            </w:pPr>
            <w:r>
              <w:rPr>
                <w:rFonts w:ascii="Cambria" w:hAnsi="Cambria"/>
                <w:b w:val="false"/>
                <w:bCs w:val="false"/>
              </w:rPr>
              <w:t>Twelve PACE booklets</w:t>
            </w:r>
          </w:p>
        </w:tc>
      </w:tr>
      <w:tr>
        <w:trPr/>
        <w:tc>
          <w:tcPr>
            <w:tcW w:w="1442" w:type="dxa"/>
            <w:tcBorders/>
            <w:shd w:fill="auto" w:val="clear"/>
          </w:tcPr>
          <w:p>
            <w:pPr>
              <w:pStyle w:val="NoSpacing"/>
              <w:rPr>
                <w:rFonts w:ascii="Cambria" w:hAnsi="Cambria"/>
                <w:b/>
                <w:b/>
              </w:rPr>
            </w:pPr>
            <w:r>
              <w:rPr>
                <w:rFonts w:ascii="Cambria" w:hAnsi="Cambria"/>
                <w:b/>
              </w:rPr>
            </w:r>
          </w:p>
        </w:tc>
        <w:tc>
          <w:tcPr>
            <w:tcW w:w="1988" w:type="dxa"/>
            <w:tcBorders/>
            <w:shd w:fill="auto" w:val="clear"/>
          </w:tcPr>
          <w:p>
            <w:pPr>
              <w:pStyle w:val="NoSpacing"/>
              <w:rPr>
                <w:rFonts w:ascii="Cambria" w:hAnsi="Cambria"/>
                <w:b w:val="false"/>
                <w:b w:val="false"/>
                <w:bCs w:val="false"/>
              </w:rPr>
            </w:pPr>
            <w:r>
              <w:rPr/>
            </w:r>
          </w:p>
        </w:tc>
        <w:tc>
          <w:tcPr>
            <w:tcW w:w="3940" w:type="dxa"/>
            <w:tcBorders/>
            <w:shd w:fill="auto" w:val="clear"/>
          </w:tcPr>
          <w:p>
            <w:pPr>
              <w:pStyle w:val="TextBody"/>
              <w:widowControl/>
              <w:numPr>
                <w:ilvl w:val="0"/>
                <w:numId w:val="0"/>
              </w:numPr>
              <w:spacing w:before="150" w:after="140"/>
              <w:ind w:left="0" w:right="0" w:hanging="0"/>
              <w:rPr>
                <w:rFonts w:ascii="open-sansregular" w:hAnsi="open-sansregular"/>
                <w:b w:val="false"/>
                <w:b w:val="false"/>
                <w:i w:val="false"/>
                <w:i w:val="false"/>
                <w:caps w:val="false"/>
                <w:smallCaps w:val="false"/>
                <w:color w:val="333333"/>
                <w:spacing w:val="0"/>
                <w:sz w:val="24"/>
              </w:rPr>
            </w:pPr>
            <w:r>
              <w:rPr/>
            </w:r>
          </w:p>
        </w:tc>
        <w:tc>
          <w:tcPr>
            <w:tcW w:w="1799" w:type="dxa"/>
            <w:tcBorders/>
            <w:shd w:fill="auto" w:val="clear"/>
          </w:tcPr>
          <w:p>
            <w:pPr>
              <w:pStyle w:val="NoSpacing"/>
              <w:rPr>
                <w:rFonts w:ascii="Cambria" w:hAnsi="Cambria"/>
                <w:b w:val="false"/>
                <w:b w:val="false"/>
                <w:bCs w:val="false"/>
              </w:rPr>
            </w:pPr>
            <w:r>
              <w:rPr/>
            </w:r>
          </w:p>
        </w:tc>
        <w:tc>
          <w:tcPr>
            <w:tcW w:w="1621" w:type="dxa"/>
            <w:tcBorders/>
            <w:shd w:fill="auto" w:val="clear"/>
          </w:tcPr>
          <w:p>
            <w:pPr>
              <w:pStyle w:val="NoSpacing"/>
              <w:rPr>
                <w:rFonts w:ascii="Cambria" w:hAnsi="Cambria"/>
                <w:b w:val="false"/>
                <w:b w:val="false"/>
                <w:bCs w:val="false"/>
              </w:rPr>
            </w:pPr>
            <w:r>
              <w:rPr/>
            </w:r>
          </w:p>
        </w:tc>
      </w:tr>
      <w:tr>
        <w:trPr/>
        <w:tc>
          <w:tcPr>
            <w:tcW w:w="1442" w:type="dxa"/>
            <w:tcBorders/>
            <w:shd w:fill="auto" w:val="clear"/>
          </w:tcPr>
          <w:p>
            <w:pPr>
              <w:pStyle w:val="NoSpacing"/>
              <w:rPr>
                <w:rFonts w:ascii="Cambria" w:hAnsi="Cambria"/>
                <w:b/>
                <w:b/>
              </w:rPr>
            </w:pPr>
            <w:r>
              <w:rPr>
                <w:rFonts w:ascii="Cambria" w:hAnsi="Cambria"/>
                <w:b/>
              </w:rPr>
            </w:r>
          </w:p>
        </w:tc>
        <w:tc>
          <w:tcPr>
            <w:tcW w:w="1988" w:type="dxa"/>
            <w:tcBorders/>
            <w:shd w:fill="auto" w:val="clear"/>
          </w:tcPr>
          <w:p>
            <w:pPr>
              <w:pStyle w:val="NoSpacing"/>
              <w:rPr>
                <w:rFonts w:ascii="Cambria" w:hAnsi="Cambria"/>
                <w:b w:val="false"/>
                <w:b w:val="false"/>
                <w:bCs w:val="false"/>
              </w:rPr>
            </w:pPr>
            <w:r>
              <w:rPr/>
            </w:r>
          </w:p>
        </w:tc>
        <w:tc>
          <w:tcPr>
            <w:tcW w:w="3940" w:type="dxa"/>
            <w:tcBorders/>
            <w:shd w:fill="auto" w:val="clear"/>
          </w:tcPr>
          <w:p>
            <w:pPr>
              <w:pStyle w:val="TextBody"/>
              <w:widowControl/>
              <w:numPr>
                <w:ilvl w:val="0"/>
                <w:numId w:val="0"/>
              </w:numPr>
              <w:spacing w:before="150" w:after="140"/>
              <w:ind w:left="0" w:right="0" w:hanging="0"/>
              <w:rPr>
                <w:rFonts w:ascii="open-sansregular" w:hAnsi="open-sansregular"/>
                <w:b w:val="false"/>
                <w:b w:val="false"/>
                <w:i w:val="false"/>
                <w:i w:val="false"/>
                <w:caps w:val="false"/>
                <w:smallCaps w:val="false"/>
                <w:color w:val="333333"/>
                <w:spacing w:val="0"/>
                <w:sz w:val="24"/>
              </w:rPr>
            </w:pPr>
            <w:r>
              <w:rPr/>
            </w:r>
          </w:p>
        </w:tc>
        <w:tc>
          <w:tcPr>
            <w:tcW w:w="1799" w:type="dxa"/>
            <w:tcBorders/>
            <w:shd w:fill="auto" w:val="clear"/>
          </w:tcPr>
          <w:p>
            <w:pPr>
              <w:pStyle w:val="NoSpacing"/>
              <w:rPr>
                <w:rFonts w:ascii="Cambria" w:hAnsi="Cambria"/>
                <w:b w:val="false"/>
                <w:b w:val="false"/>
                <w:bCs w:val="false"/>
              </w:rPr>
            </w:pPr>
            <w:r>
              <w:rPr/>
            </w:r>
          </w:p>
        </w:tc>
        <w:tc>
          <w:tcPr>
            <w:tcW w:w="1621" w:type="dxa"/>
            <w:tcBorders/>
            <w:shd w:fill="auto" w:val="clear"/>
          </w:tcPr>
          <w:p>
            <w:pPr>
              <w:pStyle w:val="NoSpacing"/>
              <w:rPr>
                <w:rFonts w:ascii="Cambria" w:hAnsi="Cambria"/>
                <w:b w:val="false"/>
                <w:b w:val="false"/>
                <w:bCs w:val="false"/>
              </w:rPr>
            </w:pPr>
            <w:r>
              <w:rPr/>
            </w:r>
          </w:p>
        </w:tc>
      </w:tr>
      <w:tr>
        <w:trPr/>
        <w:tc>
          <w:tcPr>
            <w:tcW w:w="1442" w:type="dxa"/>
            <w:tcBorders/>
            <w:shd w:fill="auto" w:val="clear"/>
          </w:tcPr>
          <w:p>
            <w:pPr>
              <w:pStyle w:val="NoSpacing"/>
              <w:rPr>
                <w:rFonts w:ascii="Cambria" w:hAnsi="Cambria"/>
                <w:b/>
                <w:b/>
              </w:rPr>
            </w:pPr>
            <w:r>
              <w:rPr>
                <w:rFonts w:ascii="Cambria" w:hAnsi="Cambria"/>
                <w:b/>
              </w:rPr>
            </w:r>
          </w:p>
        </w:tc>
        <w:tc>
          <w:tcPr>
            <w:tcW w:w="1988" w:type="dxa"/>
            <w:tcBorders/>
            <w:shd w:fill="auto" w:val="clear"/>
          </w:tcPr>
          <w:p>
            <w:pPr>
              <w:pStyle w:val="NoSpacing"/>
              <w:rPr>
                <w:rFonts w:ascii="Cambria" w:hAnsi="Cambria"/>
                <w:b w:val="false"/>
                <w:b w:val="false"/>
                <w:bCs w:val="false"/>
              </w:rPr>
            </w:pPr>
            <w:r>
              <w:rPr/>
            </w:r>
          </w:p>
        </w:tc>
        <w:tc>
          <w:tcPr>
            <w:tcW w:w="3940" w:type="dxa"/>
            <w:tcBorders/>
            <w:shd w:fill="auto" w:val="clear"/>
          </w:tcPr>
          <w:p>
            <w:pPr>
              <w:pStyle w:val="TextBody"/>
              <w:widowControl/>
              <w:numPr>
                <w:ilvl w:val="0"/>
                <w:numId w:val="0"/>
              </w:numPr>
              <w:spacing w:before="150" w:after="140"/>
              <w:ind w:left="0" w:right="0" w:hanging="0"/>
              <w:rPr>
                <w:rFonts w:ascii="open-sansregular" w:hAnsi="open-sansregular"/>
                <w:b w:val="false"/>
                <w:b w:val="false"/>
                <w:i w:val="false"/>
                <w:i w:val="false"/>
                <w:caps w:val="false"/>
                <w:smallCaps w:val="false"/>
                <w:color w:val="333333"/>
                <w:spacing w:val="0"/>
                <w:sz w:val="24"/>
              </w:rPr>
            </w:pPr>
            <w:r>
              <w:rPr/>
            </w:r>
          </w:p>
        </w:tc>
        <w:tc>
          <w:tcPr>
            <w:tcW w:w="1799" w:type="dxa"/>
            <w:tcBorders/>
            <w:shd w:fill="auto" w:val="clear"/>
          </w:tcPr>
          <w:p>
            <w:pPr>
              <w:pStyle w:val="NoSpacing"/>
              <w:rPr>
                <w:rFonts w:ascii="Cambria" w:hAnsi="Cambria"/>
                <w:b w:val="false"/>
                <w:b w:val="false"/>
                <w:bCs w:val="false"/>
              </w:rPr>
            </w:pPr>
            <w:r>
              <w:rPr/>
            </w:r>
          </w:p>
        </w:tc>
        <w:tc>
          <w:tcPr>
            <w:tcW w:w="1621" w:type="dxa"/>
            <w:tcBorders/>
            <w:shd w:fill="auto" w:val="clear"/>
          </w:tcPr>
          <w:p>
            <w:pPr>
              <w:pStyle w:val="NoSpacing"/>
              <w:rPr>
                <w:rFonts w:ascii="Cambria" w:hAnsi="Cambria"/>
                <w:b w:val="false"/>
                <w:b w:val="false"/>
                <w:bCs w:val="false"/>
              </w:rPr>
            </w:pPr>
            <w:r>
              <w:rPr/>
            </w:r>
          </w:p>
        </w:tc>
      </w:tr>
    </w:tbl>
    <w:p>
      <w:pPr>
        <w:pStyle w:val="NoSpacing"/>
        <w:rPr/>
      </w:pPr>
      <w:r>
        <w:rPr/>
      </w:r>
    </w:p>
    <w:sectPr>
      <w:footerReference w:type="default" r:id="rId2"/>
      <w:type w:val="nextPage"/>
      <w:pgSz w:w="12240" w:h="15840"/>
      <w:pgMar w:left="720" w:right="720" w:header="0" w:top="720" w:footer="720" w:bottom="77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Myriad Pro">
    <w:charset w:val="00"/>
    <w:family w:val="roman"/>
    <w:pitch w:val="variable"/>
  </w:font>
  <w:font w:name="OpenSymbol">
    <w:altName w:val="Arial Unicode MS"/>
    <w:charset w:val="00"/>
    <w:family w:val="roman"/>
    <w:pitch w:val="variable"/>
  </w:font>
  <w:font w:name="Cambria">
    <w:charset w:val="00"/>
    <w:family w:val="roman"/>
    <w:pitch w:val="variable"/>
  </w:font>
  <w:font w:name="Arial">
    <w:charset w:val="00"/>
    <w:family w:val="roman"/>
    <w:pitch w:val="variable"/>
  </w:font>
  <w:font w:name="open-sansregular">
    <w:charset w:val="00"/>
    <w:family w:val="auto"/>
    <w:pitch w:val="default"/>
  </w:font>
  <w:font w:name="open-sansregular">
    <w:charset w:val="00"/>
    <w:family w:val="roman"/>
    <w:pitch w:val="variable"/>
  </w:font>
  <w:font w:name="OpenSymbol">
    <w:altName w:val="Arial Unicode MS"/>
    <w:charset w:val="01"/>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rFonts w:ascii="Cambria" w:hAnsi="Cambria"/>
      </w:rPr>
    </w:pPr>
    <w:r>
      <w:rPr>
        <w:rFonts w:ascii="Cambria" w:hAnsi="Cambria"/>
      </w:rPr>
      <w:t>©2023 Iowa Association of Christian Schools</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next w:val="NoSpacing"/>
    <w:qFormat/>
    <w:rsid w:val="0037645a"/>
    <w:pPr>
      <w:widowControl/>
      <w:bidi w:val="0"/>
      <w:jc w:val="left"/>
    </w:pPr>
    <w:rPr>
      <w:rFonts w:ascii="Myriad Pro" w:hAnsi="Myriad Pro" w:eastAsia="Calibri" w:cs="" w:cstheme="minorBidi" w:eastAsiaTheme="minorHAnsi"/>
      <w:color w:val="auto"/>
      <w:kern w:val="0"/>
      <w:sz w:val="24"/>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206622"/>
    <w:rPr>
      <w:rFonts w:ascii="Myriad Pro" w:hAnsi="Myriad Pro"/>
      <w:sz w:val="24"/>
    </w:rPr>
  </w:style>
  <w:style w:type="character" w:styleId="FooterChar" w:customStyle="1">
    <w:name w:val="Footer Char"/>
    <w:basedOn w:val="DefaultParagraphFont"/>
    <w:link w:val="Footer"/>
    <w:uiPriority w:val="99"/>
    <w:qFormat/>
    <w:rsid w:val="00206622"/>
    <w:rPr>
      <w:rFonts w:ascii="Myriad Pro" w:hAnsi="Myriad Pro"/>
      <w:sz w:val="24"/>
    </w:rPr>
  </w:style>
  <w:style w:type="character" w:styleId="Bullets">
    <w:name w:val="Bullets"/>
    <w:qFormat/>
    <w:rPr>
      <w:rFonts w:ascii="OpenSymbol" w:hAnsi="OpenSymbol" w:eastAsia="OpenSymbol" w:cs="OpenSymbol"/>
    </w:rPr>
  </w:style>
  <w:style w:type="character" w:styleId="ListLabel1">
    <w:name w:val="ListLabel 1"/>
    <w:qFormat/>
    <w:rPr>
      <w:rFonts w:ascii="Cambria" w:hAnsi="Cambria" w:cs="OpenSymbol"/>
      <w:b/>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ascii="Cambria" w:hAnsi="Cambria" w:cs="OpenSymbol"/>
      <w:b/>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Cambria" w:hAnsi="Cambria" w:cs="OpenSymbol"/>
      <w:b/>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InternetLink">
    <w:name w:val="Internet Link"/>
    <w:rPr>
      <w:color w:val="000080"/>
      <w:u w:val="single"/>
      <w:lang w:val="zxx" w:eastAsia="zxx" w:bidi="zxx"/>
    </w:rPr>
  </w:style>
  <w:style w:type="character" w:styleId="FootnoteCharacters">
    <w:name w:val="Footnote Characters"/>
    <w:qFormat/>
    <w:rPr/>
  </w:style>
  <w:style w:type="character" w:styleId="FootnoteAnchor">
    <w:name w:val="Footnote Anchor"/>
    <w:rPr>
      <w:vertAlign w:val="superscript"/>
    </w:rPr>
  </w:style>
  <w:style w:type="character" w:styleId="ListLabel37">
    <w:name w:val="ListLabel 37"/>
    <w:qFormat/>
    <w:rPr>
      <w:rFonts w:cs="OpenSymbol"/>
      <w:b/>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9e2ebc"/>
    <w:pPr>
      <w:widowControl/>
      <w:bidi w:val="0"/>
      <w:jc w:val="left"/>
    </w:pPr>
    <w:rPr>
      <w:rFonts w:ascii="Myriad Pro" w:hAnsi="Myriad Pro" w:eastAsia="Calibri" w:cs="" w:cstheme="minorBidi" w:eastAsiaTheme="minorHAnsi"/>
      <w:color w:val="auto"/>
      <w:kern w:val="0"/>
      <w:sz w:val="24"/>
      <w:szCs w:val="22"/>
      <w:lang w:val="en-US" w:eastAsia="en-US" w:bidi="ar-SA"/>
    </w:rPr>
  </w:style>
  <w:style w:type="paragraph" w:styleId="ListParagraph">
    <w:name w:val="List Paragraph"/>
    <w:basedOn w:val="Normal"/>
    <w:uiPriority w:val="34"/>
    <w:qFormat/>
    <w:rsid w:val="002b10b6"/>
    <w:pPr>
      <w:ind w:left="720" w:hanging="0"/>
    </w:pPr>
    <w:rPr>
      <w:rFonts w:ascii="Calibri" w:hAnsi="Calibri" w:cs="Times New Roman"/>
      <w:sz w:val="22"/>
    </w:rPr>
  </w:style>
  <w:style w:type="paragraph" w:styleId="Header">
    <w:name w:val="Header"/>
    <w:basedOn w:val="Normal"/>
    <w:link w:val="HeaderChar"/>
    <w:uiPriority w:val="99"/>
    <w:unhideWhenUsed/>
    <w:rsid w:val="00206622"/>
    <w:pPr>
      <w:tabs>
        <w:tab w:val="clear" w:pos="720"/>
        <w:tab w:val="center" w:pos="4680" w:leader="none"/>
        <w:tab w:val="right" w:pos="9360" w:leader="none"/>
      </w:tabs>
    </w:pPr>
    <w:rPr/>
  </w:style>
  <w:style w:type="paragraph" w:styleId="Footer">
    <w:name w:val="Footer"/>
    <w:basedOn w:val="Normal"/>
    <w:link w:val="FooterChar"/>
    <w:uiPriority w:val="99"/>
    <w:unhideWhenUsed/>
    <w:rsid w:val="00206622"/>
    <w:pPr>
      <w:tabs>
        <w:tab w:val="clear" w:pos="720"/>
        <w:tab w:val="center" w:pos="4680" w:leader="none"/>
        <w:tab w:val="right" w:pos="9360" w:leader="none"/>
      </w:tabs>
    </w:pPr>
    <w:rPr/>
  </w:style>
  <w:style w:type="paragraph" w:styleId="FrameContents">
    <w:name w:val="Frame Contents"/>
    <w:basedOn w:val="Normal"/>
    <w:qFormat/>
    <w:pPr/>
    <w:rPr/>
  </w:style>
  <w:style w:type="paragraph" w:styleId="Footnote">
    <w:name w:val="Footnote Text"/>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142a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1573</TotalTime>
  <Application>Neat_Office/6.2.8.2$Windows_x86 LibreOffice_project/</Application>
  <Pages>4</Pages>
  <Words>1073</Words>
  <Characters>5892</Characters>
  <CharactersWithSpaces>6880</CharactersWithSpaces>
  <Paragraphs>65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2023-07-07T01:03:00Z</dcterms:created>
  <dc:creator>Josh Bowar</dc:creator>
  <dc:description/>
  <dc:language>en-US</dc:language>
  <cp:lastModifiedBy/>
  <dcterms:modified xsi:type="dcterms:W3CDTF">2024-11-01T10:34:23Z</dcterms:modified>
  <cp:revision>69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