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09</w:t>
        <w:tab/>
        <w:t xml:space="preserve">Early years practice procedures</w:t>
      </w:r>
    </w:p>
    <w:p w:rsidR="00000000" w:rsidDel="00000000" w:rsidP="00000000" w:rsidRDefault="00000000" w:rsidRPr="00000000" w14:paraId="00000002">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09.1</w:t>
        <w:tab/>
        <w:t xml:space="preserve">Waiting list and admissions</w:t>
      </w:r>
    </w:p>
    <w:p w:rsidR="00000000" w:rsidDel="00000000" w:rsidP="00000000" w:rsidRDefault="00000000" w:rsidRPr="00000000" w14:paraId="0000000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aim to ensure that all sections of the community receive accessible information, and that our admissions procedures are fair, clear and open to all parents who apply for a place.</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setting is widely advertised in places accessible to all sections of the community.</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about the setting is accessible, using plain English, in written and spoken form and, where appropriate, provided in different community languages and in other formats on request.</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with disabilities are supported to take full part in all activities within the setting and the setting makes reasonable adjustments to ensure that this will be the case from the time the child is placed on the waiting list.</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waiting list is arranged in birth order and in addition may take into account the following:</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age of the child with priority being given to children eligible for the free entitlement</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length of time on the waiting list</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vicinity of the home to the setting</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siblings already attending the setting</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capacity of the setting to meet the individual needs of the child </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Funded places are offered in accordance with the Early Years Entitlements: Operational Guidance for local authorities and providers (DfE 2018) and any local conditions in place at the time,</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it is financially viable to do so, a place is kept vacant for an emergency admission.</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setting and its practices are welcoming and make it clear that fathers, mothers, other relations and carers and childminders are all welcome.</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setting and its practices operate in a way that encourages positive regard for and understanding of difference and ability, whether gender, family structure, class, background, religion, ethnicity or competence in spoken English.</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needs and individual circumstances of children joining the setting are monitored on 09.1c Childcare and early education registration form, to ensure that no accidental or unintentional discrimination is taking place and that reasonable adjustments are made as required.</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05 Equality procedures is shared and widely promoted to all.</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Places are provided in accordance with 09.1d Childcare and early education terms and conditions issued to every parent when the child takes up their place. Failure to comply may result in the provision of a place being withdrawn. </w:t>
      </w:r>
      <w:r w:rsidDel="00000000" w:rsidR="00000000" w:rsidRPr="00000000">
        <w:rPr>
          <w:rtl w:val="0"/>
        </w:rPr>
      </w:r>
    </w:p>
    <w:p w:rsidR="00000000" w:rsidDel="00000000" w:rsidP="00000000" w:rsidRDefault="00000000" w:rsidRPr="00000000" w14:paraId="00000014">
      <w:pPr>
        <w:tabs>
          <w:tab w:val="left" w:leader="none" w:pos="2475"/>
        </w:tabs>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Admissions</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a childcare and early education place has been offered the relevant paperwork is completed by the setting manager or deputy before the child starts and filed on the child’s personal file. Forms completed include:</w:t>
      </w:r>
      <w:r w:rsidDel="00000000" w:rsidR="00000000" w:rsidRPr="00000000">
        <w:rPr>
          <w:rtl w:val="0"/>
        </w:rPr>
      </w:r>
    </w:p>
    <w:p w:rsidR="00000000" w:rsidDel="00000000" w:rsidP="00000000" w:rsidRDefault="00000000" w:rsidRPr="00000000" w14:paraId="00000016">
      <w:pPr>
        <w:pStyle w:val="Heading1"/>
        <w:numPr>
          <w:ilvl w:val="0"/>
          <w:numId w:val="4"/>
        </w:numPr>
        <w:spacing w:after="120" w:before="120" w:line="360" w:lineRule="auto"/>
        <w:ind w:left="720" w:hanging="360"/>
        <w:rPr>
          <w:b w:val="0"/>
        </w:rPr>
      </w:pPr>
      <w:r w:rsidDel="00000000" w:rsidR="00000000" w:rsidRPr="00000000">
        <w:rPr>
          <w:b w:val="0"/>
          <w:sz w:val="22"/>
          <w:szCs w:val="22"/>
          <w:rtl w:val="0"/>
        </w:rPr>
        <w:t xml:space="preserve">07.1a Privacy notice - explains what personal data we collect, why we collect it, how we use it, the control parent/carers have over their personal data and the procedures we have in place to protect it. </w:t>
      </w:r>
      <w:r w:rsidDel="00000000" w:rsidR="00000000" w:rsidRPr="00000000">
        <w:rPr>
          <w:rtl w:val="0"/>
        </w:rPr>
      </w:r>
    </w:p>
    <w:p w:rsidR="00000000" w:rsidDel="00000000" w:rsidP="00000000" w:rsidRDefault="00000000" w:rsidRPr="00000000" w14:paraId="00000017">
      <w:pPr>
        <w:pStyle w:val="Heading1"/>
        <w:numPr>
          <w:ilvl w:val="0"/>
          <w:numId w:val="4"/>
        </w:numPr>
        <w:spacing w:after="120" w:before="120" w:line="360" w:lineRule="auto"/>
        <w:ind w:left="720" w:hanging="360"/>
        <w:rPr>
          <w:b w:val="0"/>
        </w:rPr>
      </w:pPr>
      <w:r w:rsidDel="00000000" w:rsidR="00000000" w:rsidRPr="00000000">
        <w:rPr>
          <w:b w:val="0"/>
          <w:sz w:val="22"/>
          <w:szCs w:val="22"/>
          <w:rtl w:val="0"/>
        </w:rPr>
        <w:t xml:space="preserve">09.1d Childcare and early education terms and conditions - govern the basis by which we provide childcare and early education.</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1"/>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09.1c Childcare and early education registration form - contains personal information about the child and family that must be completed in full prior to the child commencing.</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Children with SEND</w:t>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manager must seek to determine an accurate assessment of a child’s needs at registration. If the child’s needs cannot be met from within the setting’s core budget, then an application for SEN inclusion funding must be made immediately. </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with identified SEND must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must outline a realistic timeframe for completion, detailing the nature of adjustments e.g. risk assessment, staff training, health care plan and all other adjustments required. The child’s safety at all times is paramount.</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time of registration, the manager must check to see if a child’s family is in receipt of Disability Living Allowance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 the manager must ask for evidence to enable them to claim the Disability Access Fund directly from the local authority. If the family is eligible but not in receipt of the allowance, the setting manager will support</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family in their application. More information can be found at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www.gov.uk/disability-living-allowance-children/how-to-claim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Preparation for admitting a child with SEND must be made in a reasonable amount of time and any delay in the child starting is scrutinised by the setting manager to avoid discrimination and negative impact on the child and family. During a preparation period the family and relevant agencies and the local authority must be regularly updated on the progress of the preparations.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Safeguarding/child protection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information is provided by the parents that a child who is starting at the setting is currently, or has had involvement with social care, the designated person will contact the agency to seek further clarification. </w:t>
      </w:r>
    </w:p>
    <w:p w:rsidR="00000000" w:rsidDel="00000000" w:rsidP="00000000" w:rsidRDefault="00000000" w:rsidRPr="00000000" w14:paraId="00000020">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Parents are advised on how to access the setting’s policies and procedures.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Further guidance</w:t>
      </w:r>
    </w:p>
    <w:p w:rsidR="00000000" w:rsidDel="00000000" w:rsidP="00000000" w:rsidRDefault="00000000" w:rsidRPr="00000000" w14:paraId="00000022">
      <w:pPr>
        <w:spacing w:after="120" w:before="120" w:line="360" w:lineRule="auto"/>
        <w:rPr>
          <w:b w:val="1"/>
          <w:sz w:val="22"/>
          <w:szCs w:val="22"/>
        </w:rPr>
      </w:pPr>
      <w:r w:rsidDel="00000000" w:rsidR="00000000" w:rsidRPr="00000000">
        <w:rPr>
          <w:rFonts w:ascii="Arial" w:cs="Arial" w:eastAsia="Arial" w:hAnsi="Arial"/>
          <w:sz w:val="22"/>
          <w:szCs w:val="22"/>
          <w:rtl w:val="0"/>
        </w:rPr>
        <w:t xml:space="preserve">Early Years Entitlements: Operational guidance for local authorities and providers (DfE 2018) </w:t>
      </w:r>
      <w:hyperlink r:id="rId8">
        <w:r w:rsidDel="00000000" w:rsidR="00000000" w:rsidRPr="00000000">
          <w:rPr>
            <w:rFonts w:ascii="Arial" w:cs="Arial" w:eastAsia="Arial" w:hAnsi="Arial"/>
            <w:color w:val="0000ff"/>
            <w:sz w:val="22"/>
            <w:szCs w:val="22"/>
            <w:u w:val="single"/>
            <w:rtl w:val="0"/>
          </w:rPr>
          <w:t xml:space="preserve">https://assets.publishing.service.gov.uk/government/uploads/system/uploads/attachment_data/file/718181/Early_years_entitlements-operational_guidance.pdf</w:t>
        </w:r>
      </w:hyperlink>
      <w:r w:rsidDel="00000000" w:rsidR="00000000" w:rsidRPr="00000000">
        <w:rPr>
          <w:rtl w:val="0"/>
        </w:rPr>
      </w:r>
    </w:p>
    <w:sectPr>
      <w:footerReference r:id="rId9" w:type="default"/>
      <w:pgSz w:h="16838" w:w="11906" w:orient="portrait"/>
      <w:pgMar w:bottom="720" w:top="720" w:left="720" w:right="720" w:header="708" w:footer="708"/>
      <w:pgNumType w:start="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(Early Years Alliance 2022)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
    <w:lvl w:ilvl="0">
      <w:start w:val="1"/>
      <w:numFmt w:val="bullet"/>
      <w:lvlText w:val="-"/>
      <w:lvlJc w:val="left"/>
      <w:pPr>
        <w:ind w:left="720" w:hanging="360"/>
      </w:pPr>
      <w:rPr>
        <w:smallCaps w:val="0"/>
        <w:strike w:val="0"/>
        <w:sz w:val="22"/>
        <w:szCs w:val="22"/>
        <w:vertAlign w:val="baseline"/>
      </w:rPr>
    </w:lvl>
    <w:lvl w:ilvl="1">
      <w:start w:val="1"/>
      <w:numFmt w:val="bullet"/>
      <w:lvlText w:val="-"/>
      <w:lvlJc w:val="left"/>
      <w:pPr>
        <w:ind w:left="1440" w:hanging="360"/>
      </w:pPr>
      <w:rPr>
        <w:smallCaps w:val="0"/>
        <w:strike w:val="0"/>
        <w:sz w:val="22"/>
        <w:szCs w:val="22"/>
        <w:vertAlign w:val="baseline"/>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3">
    <w:lvl w:ilvl="0">
      <w:start w:val="1"/>
      <w:numFmt w:val="bullet"/>
      <w:lvlText w:val="●"/>
      <w:lvlJc w:val="left"/>
      <w:pPr>
        <w:ind w:left="360" w:hanging="360"/>
      </w:pPr>
      <w:rPr>
        <w:rFonts w:ascii="Noto Sans" w:cs="Noto Sans" w:eastAsia="Noto Sans" w:hAnsi="Noto San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4">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5">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ov.uk/disability-living-allowance-children/how-to-claim" TargetMode="External"/><Relationship Id="rId8" Type="http://schemas.openxmlformats.org/officeDocument/2006/relationships/hyperlink" Target="https://assets.publishing.service.gov.uk/government/uploads/system/uploads/attachment_data/file/718181/Early_years_entitlements-operational_guidanc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746M0tr1/ITNMF0wJseHXXLolQ==">AMUW2mXnCQ7gK8eXKoFXutAgkw1yJP+3h+KPhR7MMGX0eGXUD/iE8JPVJi2auFUVsgQI/k3ZeTYciQWe3bjlG04C8Idg2HWjrry7wvUBQLy7mqsv284FKNE=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