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2">
      <w:pPr>
        <w:spacing w:after="120" w:before="12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09.5</w:t>
        <w:tab/>
        <w:t xml:space="preserve">Establishing children’s starting points</w:t>
      </w:r>
    </w:p>
    <w:p w:rsidR="00000000" w:rsidDel="00000000" w:rsidP="00000000" w:rsidRDefault="00000000" w:rsidRPr="00000000" w14:paraId="00000003">
      <w:pPr>
        <w:spacing w:after="120" w:before="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children start at the setting they arrive at different levels of learning and development. In order to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363"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aim of establishing a child’s starting points is to ensure that the most appropriate care and learning is provided from the outset.</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363"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Starting points are established by gathering information from the first contact with the child’s parents at induction and during the ‘settling in’ period. Staff do not ‘wait and see’ how the child is settling before they begin to gather information.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363"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is responsible for establishing their key children’s starting points by gathering information in the following ways:</w:t>
      </w:r>
      <w:r w:rsidDel="00000000" w:rsidR="00000000" w:rsidRPr="00000000">
        <w:rPr>
          <w:rtl w:val="0"/>
        </w:rPr>
      </w:r>
    </w:p>
    <w:p w:rsidR="00000000" w:rsidDel="00000000" w:rsidP="00000000" w:rsidRDefault="00000000" w:rsidRPr="00000000" w14:paraId="00000007">
      <w:pPr>
        <w:numPr>
          <w:ilvl w:val="0"/>
          <w:numId w:val="1"/>
        </w:numPr>
        <w:spacing w:after="120" w:before="120" w:line="276"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observation of the child during settling in visits</w:t>
      </w:r>
      <w:r w:rsidDel="00000000" w:rsidR="00000000" w:rsidRPr="00000000">
        <w:rPr>
          <w:rtl w:val="0"/>
        </w:rPr>
      </w:r>
    </w:p>
    <w:p w:rsidR="00000000" w:rsidDel="00000000" w:rsidP="00000000" w:rsidRDefault="00000000" w:rsidRPr="00000000" w14:paraId="00000008">
      <w:pPr>
        <w:numPr>
          <w:ilvl w:val="0"/>
          <w:numId w:val="1"/>
        </w:numPr>
        <w:spacing w:after="120" w:before="120" w:line="276"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discussion with the child’s parents</w:t>
      </w:r>
      <w:r w:rsidDel="00000000" w:rsidR="00000000" w:rsidRPr="00000000">
        <w:rPr>
          <w:rtl w:val="0"/>
        </w:rPr>
      </w:r>
    </w:p>
    <w:p w:rsidR="00000000" w:rsidDel="00000000" w:rsidP="00000000" w:rsidRDefault="00000000" w:rsidRPr="00000000" w14:paraId="00000009">
      <w:pPr>
        <w:numPr>
          <w:ilvl w:val="0"/>
          <w:numId w:val="1"/>
        </w:numPr>
        <w:spacing w:after="120" w:before="120" w:line="276"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building on information that has been gathered during registration by referring to the registration form</w:t>
      </w:r>
      <w:r w:rsidDel="00000000" w:rsidR="00000000" w:rsidRPr="00000000">
        <w:rPr>
          <w:rtl w:val="0"/>
        </w:rPr>
      </w:r>
    </w:p>
    <w:p w:rsidR="00000000" w:rsidDel="00000000" w:rsidP="00000000" w:rsidRDefault="00000000" w:rsidRPr="00000000" w14:paraId="0000000A">
      <w:pPr>
        <w:spacing w:after="120" w:before="120" w:line="276"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information gathered is recorded </w:t>
      </w:r>
      <w:r w:rsidDel="00000000" w:rsidR="00000000" w:rsidRPr="00000000">
        <w:rPr>
          <w:rFonts w:ascii="Arial" w:cs="Arial" w:eastAsia="Arial" w:hAnsi="Arial"/>
          <w:sz w:val="22"/>
          <w:szCs w:val="22"/>
          <w:rtl w:val="0"/>
        </w:rPr>
        <w:t xml:space="preserve">within two weeks of the child’s official start date and sooner where possible. This is recorded using a settling in observation on Tapestry.</w:t>
      </w:r>
    </w:p>
    <w:p w:rsidR="00000000" w:rsidDel="00000000" w:rsidP="00000000" w:rsidRDefault="00000000" w:rsidRPr="00000000" w14:paraId="0000000B">
      <w:pPr>
        <w:numPr>
          <w:ilvl w:val="0"/>
          <w:numId w:val="3"/>
        </w:numPr>
        <w:spacing w:after="120" w:before="120" w:line="276" w:lineRule="auto"/>
        <w:ind w:left="357" w:hanging="357"/>
        <w:rPr>
          <w:sz w:val="22"/>
          <w:szCs w:val="22"/>
        </w:rPr>
      </w:pPr>
      <w:r w:rsidDel="00000000" w:rsidR="00000000" w:rsidRPr="00000000">
        <w:rPr>
          <w:rFonts w:ascii="Arial" w:cs="Arial" w:eastAsia="Arial" w:hAnsi="Arial"/>
          <w:sz w:val="22"/>
          <w:szCs w:val="22"/>
          <w:rtl w:val="0"/>
        </w:rPr>
        <w:t xml:space="preserve">The key person must make a ‘best fit’ judgement about the age band the child is working in, referring to Birth to Five Matters.</w:t>
      </w:r>
      <w:r w:rsidDel="00000000" w:rsidR="00000000" w:rsidRPr="00000000">
        <w:rPr>
          <w:rtl w:val="0"/>
        </w:rPr>
      </w:r>
    </w:p>
    <w:p w:rsidR="00000000" w:rsidDel="00000000" w:rsidP="00000000" w:rsidRDefault="00000000" w:rsidRPr="00000000" w14:paraId="0000000C">
      <w:pPr>
        <w:numPr>
          <w:ilvl w:val="0"/>
          <w:numId w:val="3"/>
        </w:numPr>
        <w:spacing w:after="120" w:before="120" w:line="276" w:lineRule="auto"/>
        <w:ind w:left="357" w:hanging="357"/>
        <w:rPr>
          <w:sz w:val="22"/>
          <w:szCs w:val="22"/>
        </w:rPr>
      </w:pPr>
      <w:r w:rsidDel="00000000" w:rsidR="00000000" w:rsidRPr="00000000">
        <w:rPr>
          <w:rFonts w:ascii="Arial" w:cs="Arial" w:eastAsia="Arial" w:hAnsi="Arial"/>
          <w:sz w:val="22"/>
          <w:szCs w:val="22"/>
          <w:rtl w:val="0"/>
        </w:rPr>
        <w:t xml:space="preserve">The key person should complete details by indicating where they have gathered their evidence from, using more than one source where possible i.e. parent comment and observation during settling in.</w:t>
      </w:r>
      <w:r w:rsidDel="00000000" w:rsidR="00000000" w:rsidRPr="00000000">
        <w:rPr>
          <w:rtl w:val="0"/>
        </w:rPr>
      </w:r>
    </w:p>
    <w:p w:rsidR="00000000" w:rsidDel="00000000" w:rsidP="00000000" w:rsidRDefault="00000000" w:rsidRPr="00000000" w14:paraId="0000000D">
      <w:pPr>
        <w:numPr>
          <w:ilvl w:val="1"/>
          <w:numId w:val="3"/>
        </w:numPr>
        <w:spacing w:after="120" w:before="120" w:line="276"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the initial assessment raises any concerns that extra support may be required procedure 09.13 Identification, assessment and support for children with SEND is followed.</w:t>
      </w:r>
    </w:p>
    <w:p w:rsidR="00000000" w:rsidDel="00000000" w:rsidP="00000000" w:rsidRDefault="00000000" w:rsidRPr="00000000" w14:paraId="0000000E">
      <w:pPr>
        <w:numPr>
          <w:ilvl w:val="1"/>
          <w:numId w:val="3"/>
        </w:numPr>
        <w:spacing w:line="276" w:lineRule="auto"/>
        <w:ind w:left="0" w:firstLine="0"/>
        <w:rPr>
          <w:rFonts w:ascii="Arial" w:cs="Arial" w:eastAsia="Arial" w:hAnsi="Arial"/>
          <w:sz w:val="22"/>
          <w:szCs w:val="22"/>
        </w:rPr>
      </w:pPr>
      <w:r w:rsidDel="00000000" w:rsidR="00000000" w:rsidRPr="00000000">
        <w:rPr>
          <w:rtl w:val="0"/>
        </w:rPr>
      </w:r>
    </w:p>
    <w:tbl>
      <w:tblPr>
        <w:tblStyle w:val="Table1"/>
        <w:tblW w:w="10682.0" w:type="dxa"/>
        <w:jc w:val="left"/>
        <w:tblInd w:w="-108.0" w:type="dxa"/>
        <w:tblLayout w:type="fixed"/>
        <w:tblLook w:val="0000"/>
      </w:tblPr>
      <w:tblGrid>
        <w:gridCol w:w="4915"/>
        <w:gridCol w:w="3722"/>
        <w:gridCol w:w="2045"/>
        <w:tblGridChange w:id="0">
          <w:tblGrid>
            <w:gridCol w:w="4915"/>
            <w:gridCol w:w="3722"/>
            <w:gridCol w:w="2045"/>
          </w:tblGrid>
        </w:tblGridChange>
      </w:tblGrid>
      <w:tr>
        <w:trPr>
          <w:cantSplit w:val="0"/>
          <w:tblHeader w:val="0"/>
        </w:trPr>
        <w:tc>
          <w:tcPr>
            <w:vAlign w:val="top"/>
          </w:tcPr>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was adopted by</w:t>
            </w:r>
          </w:p>
        </w:tc>
        <w:tc>
          <w:tcPr>
            <w:tcBorders>
              <w:bottom w:color="7030a0" w:space="0" w:sz="4" w:val="single"/>
            </w:tcBorders>
            <w:vAlign w:val="top"/>
          </w:tcPr>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WORMLEY PRE-SCHOOL</w:t>
            </w:r>
          </w:p>
        </w:tc>
        <w:tc>
          <w:tcPr>
            <w:vAlign w:val="top"/>
          </w:tcPr>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18th October 2022</w:t>
            </w:r>
          </w:p>
        </w:tc>
        <w:tc>
          <w:tcPr>
            <w:vAlign w:val="top"/>
          </w:tcPr>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w:t>
            </w:r>
          </w:p>
        </w:tc>
      </w:tr>
    </w:tbl>
    <w:p w:rsidR="00000000" w:rsidDel="00000000" w:rsidP="00000000" w:rsidRDefault="00000000" w:rsidRPr="00000000" w14:paraId="00000021">
      <w:pPr>
        <w:numPr>
          <w:ilvl w:val="1"/>
          <w:numId w:val="3"/>
        </w:num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after="120" w:before="120" w:line="276" w:lineRule="auto"/>
        <w:rPr>
          <w:rFonts w:ascii="Arial" w:cs="Arial" w:eastAsia="Arial" w:hAnsi="Arial"/>
          <w:sz w:val="22"/>
          <w:szCs w:val="22"/>
        </w:rPr>
      </w:pPr>
      <w:r w:rsidDel="00000000" w:rsidR="00000000" w:rsidRPr="00000000">
        <w:rPr>
          <w:rtl w:val="0"/>
        </w:rPr>
      </w:r>
    </w:p>
    <w:sectPr>
      <w:footerReference r:id="rId7" w:type="default"/>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sz w:val="20"/>
        <w:szCs w:val="20"/>
        <w:rtl w:val="0"/>
      </w:rPr>
      <w:t xml:space="preserve">Wormley Preschool Practice Policy - Updated October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363" w:hanging="360"/>
      </w:pPr>
      <w:rPr>
        <w:rFonts w:ascii="Noto Sans" w:cs="Noto Sans" w:eastAsia="Noto Sans" w:hAnsi="Noto Sans"/>
        <w:smallCaps w:val="0"/>
        <w:strike w:val="0"/>
        <w:sz w:val="22"/>
        <w:szCs w:val="22"/>
        <w:vertAlign w:val="baseline"/>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w:cs="Noto Sans" w:eastAsia="Noto Sans" w:hAnsi="Noto Sans"/>
      </w:rPr>
    </w:lvl>
    <w:lvl w:ilvl="3">
      <w:start w:val="1"/>
      <w:numFmt w:val="bullet"/>
      <w:lvlText w:val="●"/>
      <w:lvlJc w:val="left"/>
      <w:pPr>
        <w:ind w:left="2523" w:hanging="360"/>
      </w:pPr>
      <w:rPr>
        <w:rFonts w:ascii="Noto Sans" w:cs="Noto Sans" w:eastAsia="Noto Sans" w:hAnsi="Noto San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w:cs="Noto Sans" w:eastAsia="Noto Sans" w:hAnsi="Noto Sans"/>
      </w:rPr>
    </w:lvl>
    <w:lvl w:ilvl="6">
      <w:start w:val="1"/>
      <w:numFmt w:val="bullet"/>
      <w:lvlText w:val="●"/>
      <w:lvlJc w:val="left"/>
      <w:pPr>
        <w:ind w:left="4683" w:hanging="360"/>
      </w:pPr>
      <w:rPr>
        <w:rFonts w:ascii="Noto Sans" w:cs="Noto Sans" w:eastAsia="Noto Sans" w:hAnsi="Noto San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w:cs="Noto Sans" w:eastAsia="Noto Sans" w:hAnsi="Noto Sans"/>
      </w:rPr>
    </w:lvl>
  </w:abstractNum>
  <w:abstractNum w:abstractNumId="3">
    <w:lvl w:ilvl="0">
      <w:start w:val="1"/>
      <w:numFmt w:val="bullet"/>
      <w:lvlText w:val="▪"/>
      <w:lvlJc w:val="left"/>
      <w:pPr>
        <w:ind w:left="360" w:hanging="360"/>
      </w:pPr>
      <w:rPr>
        <w:rFonts w:ascii="Noto Sans" w:cs="Noto Sans" w:eastAsia="Noto Sans" w:hAnsi="Noto San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N0EV7pO0Tthgkl79Rie6l9fopA==">AMUW2mWTeK4htIrMxmMSO352OkVAKmTb6flm/qvLKI7EEFvv3ixi1/UwiR1Zbyh0ngYgVpyjc5fBh4HzlhsFGXPp8wBmELARwMkhr2dPMVk0AXkW3vxlgoI=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