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5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551"/>
      </w:tblGrid>
      <w:tr w:rsidR="00B469A5" w14:paraId="4E567D7A" w14:textId="77777777" w:rsidTr="00BC4D3B">
        <w:trPr>
          <w:trHeight w:val="2016"/>
        </w:trPr>
        <w:tc>
          <w:tcPr>
            <w:tcW w:w="9551" w:type="dxa"/>
            <w:tcBorders>
              <w:bottom w:val="single" w:sz="8" w:space="0" w:color="CCCCCC" w:themeColor="background2"/>
            </w:tcBorders>
          </w:tcPr>
          <w:p w14:paraId="22D8054C" w14:textId="09C2F55A" w:rsidR="00074550" w:rsidRDefault="00A80499" w:rsidP="00074550">
            <w:pPr>
              <w:pStyle w:val="CompanyName"/>
              <w:tabs>
                <w:tab w:val="left" w:pos="4992"/>
              </w:tabs>
              <w:rPr>
                <w:rFonts w:asciiTheme="minorHAnsi" w:hAnsiTheme="minorHAnsi" w:cstheme="minorHAnsi"/>
                <w:color w:val="8B745B"/>
                <w:sz w:val="20"/>
                <w:szCs w:val="20"/>
              </w:rPr>
            </w:pPr>
            <w:r w:rsidRPr="00A80499">
              <w:rPr>
                <w:noProof/>
              </w:rPr>
              <w:drawing>
                <wp:anchor distT="0" distB="0" distL="114300" distR="114300" simplePos="0" relativeHeight="251658240" behindDoc="1" locked="0" layoutInCell="1" allowOverlap="1" wp14:anchorId="269DE64D" wp14:editId="5D8F8A40">
                  <wp:simplePos x="0" y="0"/>
                  <wp:positionH relativeFrom="column">
                    <wp:posOffset>-91440</wp:posOffset>
                  </wp:positionH>
                  <wp:positionV relativeFrom="paragraph">
                    <wp:posOffset>-20955</wp:posOffset>
                  </wp:positionV>
                  <wp:extent cx="205740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161288"/>
                          </a:xfrm>
                          <a:prstGeom prst="rect">
                            <a:avLst/>
                          </a:prstGeom>
                        </pic:spPr>
                      </pic:pic>
                    </a:graphicData>
                  </a:graphic>
                </wp:anchor>
              </w:drawing>
            </w:r>
            <w:r w:rsidR="00074550">
              <w:t xml:space="preserve">                                             </w:t>
            </w:r>
            <w:r w:rsidR="00074550" w:rsidRPr="00234FB3">
              <w:rPr>
                <w:rFonts w:asciiTheme="minorHAnsi" w:hAnsiTheme="minorHAnsi" w:cstheme="minorHAnsi"/>
                <w:color w:val="8B745B"/>
                <w:sz w:val="20"/>
                <w:szCs w:val="20"/>
              </w:rPr>
              <w:t>PO Box</w:t>
            </w:r>
            <w:r w:rsidR="00074550">
              <w:rPr>
                <w:rFonts w:asciiTheme="minorHAnsi" w:hAnsiTheme="minorHAnsi" w:cstheme="minorHAnsi"/>
                <w:color w:val="8B745B"/>
                <w:sz w:val="20"/>
                <w:szCs w:val="20"/>
              </w:rPr>
              <w:t xml:space="preserve"> 1156 </w:t>
            </w:r>
            <w:r w:rsidR="00074550">
              <w:rPr>
                <w:rStyle w:val="Emphasis"/>
                <w:rFonts w:asciiTheme="majorHAnsi" w:hAnsiTheme="majorHAnsi" w:cstheme="majorHAnsi"/>
                <w:color w:val="8B745B"/>
                <w:sz w:val="20"/>
                <w:szCs w:val="20"/>
              </w:rPr>
              <w:t>•</w:t>
            </w:r>
            <w:r w:rsidR="00074550">
              <w:rPr>
                <w:rFonts w:asciiTheme="minorHAnsi" w:hAnsiTheme="minorHAnsi" w:cstheme="minorHAnsi"/>
                <w:color w:val="8B745B"/>
                <w:sz w:val="20"/>
                <w:szCs w:val="20"/>
              </w:rPr>
              <w:t xml:space="preserve"> Lexington, VA </w:t>
            </w:r>
            <w:r w:rsidR="00074550">
              <w:rPr>
                <w:rStyle w:val="Emphasis"/>
                <w:rFonts w:asciiTheme="majorHAnsi" w:hAnsiTheme="majorHAnsi" w:cstheme="majorHAnsi"/>
                <w:color w:val="8B745B"/>
                <w:sz w:val="20"/>
                <w:szCs w:val="20"/>
              </w:rPr>
              <w:t>•</w:t>
            </w:r>
            <w:r w:rsidR="00074550">
              <w:rPr>
                <w:rFonts w:asciiTheme="minorHAnsi" w:hAnsiTheme="minorHAnsi" w:cstheme="minorHAnsi"/>
                <w:color w:val="8B745B"/>
                <w:sz w:val="20"/>
                <w:szCs w:val="20"/>
              </w:rPr>
              <w:t xml:space="preserve"> 24450</w:t>
            </w:r>
          </w:p>
          <w:p w14:paraId="358870A7" w14:textId="18C31FDD" w:rsidR="00234FB3" w:rsidRPr="00234FB3" w:rsidRDefault="00074550" w:rsidP="00074550">
            <w:pPr>
              <w:pStyle w:val="CompanyName"/>
              <w:tabs>
                <w:tab w:val="left" w:pos="4992"/>
              </w:tabs>
              <w:rPr>
                <w:rFonts w:asciiTheme="minorHAnsi" w:hAnsiTheme="minorHAnsi" w:cstheme="minorHAnsi"/>
                <w:color w:val="8B745B"/>
                <w:sz w:val="20"/>
                <w:szCs w:val="20"/>
              </w:rPr>
            </w:pPr>
            <w:r>
              <w:rPr>
                <w:rFonts w:asciiTheme="minorHAnsi" w:hAnsiTheme="minorHAnsi" w:cstheme="minorHAnsi"/>
                <w:color w:val="8B745B"/>
                <w:sz w:val="20"/>
                <w:szCs w:val="20"/>
              </w:rPr>
              <w:t xml:space="preserve">                                                                                                                                    (844) 4-RENCON </w:t>
            </w:r>
            <w:r>
              <w:rPr>
                <w:rStyle w:val="Emphasis"/>
                <w:rFonts w:asciiTheme="majorHAnsi" w:hAnsiTheme="majorHAnsi" w:cstheme="majorHAnsi"/>
                <w:color w:val="8B745B"/>
                <w:sz w:val="20"/>
                <w:szCs w:val="20"/>
              </w:rPr>
              <w:t>• www.davinci-con.com</w:t>
            </w:r>
          </w:p>
        </w:tc>
      </w:tr>
      <w:tr w:rsidR="00B469A5" w14:paraId="319CECB8" w14:textId="77777777" w:rsidTr="00BC4D3B">
        <w:trPr>
          <w:trHeight w:hRule="exact" w:val="622"/>
        </w:trPr>
        <w:tc>
          <w:tcPr>
            <w:tcW w:w="9551" w:type="dxa"/>
            <w:tcBorders>
              <w:top w:val="single" w:sz="8" w:space="0" w:color="CCCCCC" w:themeColor="background2"/>
              <w:bottom w:val="nil"/>
            </w:tcBorders>
          </w:tcPr>
          <w:p w14:paraId="6F45CDA0" w14:textId="77777777" w:rsidR="00B469A5" w:rsidRDefault="00B469A5" w:rsidP="004857AD">
            <w:pPr>
              <w:pStyle w:val="Header"/>
              <w:jc w:val="both"/>
              <w:rPr>
                <w:sz w:val="28"/>
                <w:szCs w:val="28"/>
              </w:rPr>
            </w:pPr>
          </w:p>
          <w:p w14:paraId="67187DBF" w14:textId="36382AB2" w:rsidR="004857AD" w:rsidRPr="004857AD" w:rsidRDefault="004857AD" w:rsidP="004857AD">
            <w:pPr>
              <w:pStyle w:val="Header"/>
              <w:rPr>
                <w:b/>
                <w:bCs/>
                <w:sz w:val="28"/>
                <w:szCs w:val="28"/>
              </w:rPr>
            </w:pPr>
            <w:r>
              <w:rPr>
                <w:b/>
                <w:bCs/>
                <w:sz w:val="28"/>
                <w:szCs w:val="28"/>
              </w:rPr>
              <w:t xml:space="preserve">                                                   Vendor Policies</w:t>
            </w:r>
          </w:p>
        </w:tc>
      </w:tr>
    </w:tbl>
    <w:p w14:paraId="6C320AA2" w14:textId="08F89F9E" w:rsidR="00B469A5" w:rsidRDefault="004857AD" w:rsidP="00176CD2">
      <w:pPr>
        <w:pStyle w:val="Date"/>
        <w:numPr>
          <w:ilvl w:val="0"/>
          <w:numId w:val="2"/>
        </w:numPr>
        <w:spacing w:after="120"/>
        <w:rPr>
          <w:color w:val="auto"/>
        </w:rPr>
      </w:pPr>
      <w:r w:rsidRPr="004857AD">
        <w:rPr>
          <w:color w:val="auto"/>
        </w:rPr>
        <w:t>F</w:t>
      </w:r>
      <w:r w:rsidR="00F22C28">
        <w:rPr>
          <w:color w:val="auto"/>
        </w:rPr>
        <w:t>aire</w:t>
      </w:r>
      <w:r w:rsidRPr="004857AD">
        <w:rPr>
          <w:color w:val="auto"/>
        </w:rPr>
        <w:t xml:space="preserve"> exhibits must conform to the faire theme.  Convention displays can be modern, but should be relevant to the Renaissance, Renaissance Festival, or similar theme.</w:t>
      </w:r>
      <w:r>
        <w:rPr>
          <w:color w:val="auto"/>
        </w:rPr>
        <w:t xml:space="preserve">  </w:t>
      </w:r>
    </w:p>
    <w:p w14:paraId="364BD918" w14:textId="77F877A1" w:rsidR="004857AD" w:rsidRPr="00E35793" w:rsidRDefault="004857AD" w:rsidP="004857AD">
      <w:pPr>
        <w:pStyle w:val="ListParagraph"/>
        <w:numPr>
          <w:ilvl w:val="0"/>
          <w:numId w:val="2"/>
        </w:numPr>
        <w:rPr>
          <w:sz w:val="22"/>
          <w:szCs w:val="22"/>
          <w:lang w:eastAsia="en-US"/>
        </w:rPr>
      </w:pPr>
      <w:r w:rsidRPr="00E35793">
        <w:rPr>
          <w:sz w:val="22"/>
          <w:szCs w:val="22"/>
          <w:lang w:eastAsia="en-US"/>
        </w:rPr>
        <w:t xml:space="preserve">Spaces are first served, based on the date of entry form and approval of the vendor coordinator.  A $20, non-refundable application fee is due with this application, and will be applied to show fees when/if accepted. </w:t>
      </w:r>
    </w:p>
    <w:p w14:paraId="6CCE5DDE" w14:textId="77D55167" w:rsidR="00F22C28" w:rsidRPr="00E35793" w:rsidRDefault="00F22C28" w:rsidP="004857AD">
      <w:pPr>
        <w:pStyle w:val="ListParagraph"/>
        <w:numPr>
          <w:ilvl w:val="0"/>
          <w:numId w:val="2"/>
        </w:numPr>
        <w:rPr>
          <w:sz w:val="22"/>
          <w:szCs w:val="22"/>
          <w:lang w:eastAsia="en-US"/>
        </w:rPr>
      </w:pPr>
      <w:r w:rsidRPr="00E35793">
        <w:rPr>
          <w:sz w:val="22"/>
          <w:szCs w:val="22"/>
          <w:lang w:eastAsia="en-US"/>
        </w:rPr>
        <w:t>Please include photos of your work and/or website photos available.  Remember to fill out your application completely.  Please note that items that are not listed, cannot be sold.</w:t>
      </w:r>
    </w:p>
    <w:p w14:paraId="4DA0CB03" w14:textId="2F85D04C" w:rsidR="00F22C28" w:rsidRPr="00E35793" w:rsidRDefault="00F22C28" w:rsidP="004857AD">
      <w:pPr>
        <w:pStyle w:val="ListParagraph"/>
        <w:numPr>
          <w:ilvl w:val="0"/>
          <w:numId w:val="2"/>
        </w:numPr>
        <w:rPr>
          <w:sz w:val="22"/>
          <w:szCs w:val="22"/>
          <w:lang w:eastAsia="en-US"/>
        </w:rPr>
      </w:pPr>
      <w:r w:rsidRPr="00E35793">
        <w:rPr>
          <w:sz w:val="22"/>
          <w:szCs w:val="22"/>
          <w:lang w:eastAsia="en-US"/>
        </w:rPr>
        <w:t>Faire vendors must provide their own tables, equipment or tent/shade devices required for their display.  DaVinci Con supplies only the vendor site.  Electric requirement will be addressed on an individual basis</w:t>
      </w:r>
      <w:r w:rsidR="00E35793">
        <w:rPr>
          <w:sz w:val="22"/>
          <w:szCs w:val="22"/>
          <w:lang w:eastAsia="en-US"/>
        </w:rPr>
        <w:t xml:space="preserve"> </w:t>
      </w:r>
      <w:r w:rsidRPr="00E35793">
        <w:rPr>
          <w:sz w:val="22"/>
          <w:szCs w:val="22"/>
          <w:lang w:eastAsia="en-US"/>
        </w:rPr>
        <w:t>and will be billed at $45 for the run of the event.  Limited electric spots will be available.</w:t>
      </w:r>
    </w:p>
    <w:p w14:paraId="39B3FA7B" w14:textId="475620A3" w:rsidR="00F22C28" w:rsidRPr="00E35793" w:rsidRDefault="00F22C28" w:rsidP="004857AD">
      <w:pPr>
        <w:pStyle w:val="ListParagraph"/>
        <w:numPr>
          <w:ilvl w:val="0"/>
          <w:numId w:val="2"/>
        </w:numPr>
        <w:rPr>
          <w:sz w:val="22"/>
          <w:szCs w:val="22"/>
          <w:lang w:eastAsia="en-US"/>
        </w:rPr>
      </w:pPr>
      <w:r w:rsidRPr="00E35793">
        <w:rPr>
          <w:sz w:val="22"/>
          <w:szCs w:val="22"/>
          <w:lang w:eastAsia="en-US"/>
        </w:rPr>
        <w:t xml:space="preserve">DaVinci Con will supply tables and pipe and drape for Convention participants, included in the </w:t>
      </w:r>
      <w:r w:rsidR="005950A5" w:rsidRPr="00E35793">
        <w:rPr>
          <w:sz w:val="22"/>
          <w:szCs w:val="22"/>
          <w:lang w:eastAsia="en-US"/>
        </w:rPr>
        <w:t>space fee.  Electric requirements will be addressed on an individual basis and will be billed at $45 for the run of the event.  Limited electric spots will be available.</w:t>
      </w:r>
    </w:p>
    <w:p w14:paraId="1067BCB4" w14:textId="018B6954" w:rsidR="004857AD" w:rsidRPr="00E35793" w:rsidRDefault="004857AD" w:rsidP="004857AD">
      <w:pPr>
        <w:pStyle w:val="ListParagraph"/>
        <w:numPr>
          <w:ilvl w:val="0"/>
          <w:numId w:val="2"/>
        </w:numPr>
        <w:rPr>
          <w:sz w:val="22"/>
          <w:szCs w:val="22"/>
          <w:lang w:eastAsia="en-US"/>
        </w:rPr>
      </w:pPr>
      <w:r w:rsidRPr="00E35793">
        <w:rPr>
          <w:sz w:val="22"/>
          <w:szCs w:val="22"/>
          <w:lang w:eastAsia="en-US"/>
        </w:rPr>
        <w:t>DaVinci Con – The Original Renaissance Convention</w:t>
      </w:r>
      <w:r w:rsidR="00F22C28" w:rsidRPr="00E35793">
        <w:rPr>
          <w:sz w:val="22"/>
          <w:szCs w:val="22"/>
          <w:lang w:eastAsia="en-US"/>
        </w:rPr>
        <w:t>, and The Virginia Horse Center will not be responsible for theft, loss, damage or injury of any person or property.</w:t>
      </w:r>
    </w:p>
    <w:p w14:paraId="545268BF" w14:textId="1888D635" w:rsidR="00F22C28" w:rsidRPr="00E35793" w:rsidRDefault="00F22C28" w:rsidP="00F22C28">
      <w:pPr>
        <w:pStyle w:val="ListParagraph"/>
        <w:numPr>
          <w:ilvl w:val="0"/>
          <w:numId w:val="2"/>
        </w:numPr>
        <w:rPr>
          <w:sz w:val="22"/>
          <w:szCs w:val="22"/>
          <w:lang w:eastAsia="en-US"/>
        </w:rPr>
      </w:pPr>
      <w:r w:rsidRPr="00E35793">
        <w:rPr>
          <w:sz w:val="22"/>
          <w:szCs w:val="22"/>
          <w:lang w:eastAsia="en-US"/>
        </w:rPr>
        <w:t>In consideration of being permitted to take part in DaVinci Con – The Original Renaissance Convention, the participant hereby releases, absolves, indemnifies, holds harmless and waives all claims against DaVinci Con – The Original Renaissance Convention and their employees, for any losses or injuries of any kind whatsoever, arising out of the operation of the participant’s booth or business.</w:t>
      </w:r>
    </w:p>
    <w:p w14:paraId="548E5E88" w14:textId="570201CB" w:rsidR="005950A5" w:rsidRPr="00E35793" w:rsidRDefault="005950A5" w:rsidP="00F22C28">
      <w:pPr>
        <w:pStyle w:val="ListParagraph"/>
        <w:numPr>
          <w:ilvl w:val="0"/>
          <w:numId w:val="2"/>
        </w:numPr>
        <w:rPr>
          <w:sz w:val="22"/>
          <w:szCs w:val="22"/>
          <w:lang w:eastAsia="en-US"/>
        </w:rPr>
      </w:pPr>
      <w:r w:rsidRPr="00E35793">
        <w:rPr>
          <w:sz w:val="22"/>
          <w:szCs w:val="22"/>
          <w:lang w:eastAsia="en-US"/>
        </w:rPr>
        <w:t xml:space="preserve">Both Primitive and Electric/Water camping is available for the run of the faire.  Limited space is available for electric spaces.  Please indicate on the application your camping needs.  Offsite campgrounds and hotels are </w:t>
      </w:r>
      <w:proofErr w:type="gramStart"/>
      <w:r w:rsidRPr="00E35793">
        <w:rPr>
          <w:sz w:val="22"/>
          <w:szCs w:val="22"/>
          <w:lang w:eastAsia="en-US"/>
        </w:rPr>
        <w:t>nearby</w:t>
      </w:r>
      <w:proofErr w:type="gramEnd"/>
      <w:r w:rsidRPr="00E35793">
        <w:rPr>
          <w:sz w:val="22"/>
          <w:szCs w:val="22"/>
          <w:lang w:eastAsia="en-US"/>
        </w:rPr>
        <w:t xml:space="preserve"> and information will be included in the packets.</w:t>
      </w:r>
    </w:p>
    <w:p w14:paraId="3F30FD01" w14:textId="685E1736" w:rsidR="005950A5" w:rsidRPr="00E35793" w:rsidRDefault="005950A5" w:rsidP="00F22C28">
      <w:pPr>
        <w:pStyle w:val="ListParagraph"/>
        <w:numPr>
          <w:ilvl w:val="0"/>
          <w:numId w:val="2"/>
        </w:numPr>
        <w:rPr>
          <w:sz w:val="22"/>
          <w:szCs w:val="22"/>
          <w:lang w:eastAsia="en-US"/>
        </w:rPr>
      </w:pPr>
      <w:r w:rsidRPr="00E35793">
        <w:rPr>
          <w:sz w:val="22"/>
          <w:szCs w:val="22"/>
          <w:lang w:eastAsia="en-US"/>
        </w:rPr>
        <w:t>Participants and their employees must be neat, clean and maintain a good attitude with the public, and abide by all vendor rules.</w:t>
      </w:r>
    </w:p>
    <w:p w14:paraId="7C50A38C" w14:textId="77777777" w:rsidR="005950A5" w:rsidRPr="00E35793" w:rsidRDefault="005950A5" w:rsidP="00176CD2">
      <w:pPr>
        <w:pStyle w:val="ListParagraph"/>
        <w:numPr>
          <w:ilvl w:val="0"/>
          <w:numId w:val="2"/>
        </w:numPr>
        <w:jc w:val="both"/>
        <w:rPr>
          <w:sz w:val="22"/>
          <w:szCs w:val="22"/>
          <w:lang w:eastAsia="en-US"/>
        </w:rPr>
      </w:pPr>
      <w:r w:rsidRPr="00E35793">
        <w:rPr>
          <w:sz w:val="22"/>
          <w:szCs w:val="22"/>
          <w:lang w:eastAsia="en-US"/>
        </w:rPr>
        <w:t xml:space="preserve">  Participant space must be left in a condition equal to or better than the condition it was</w:t>
      </w:r>
    </w:p>
    <w:p w14:paraId="4D6CEA1B" w14:textId="6CBAF9F3" w:rsidR="005950A5" w:rsidRPr="00E35793" w:rsidRDefault="005950A5" w:rsidP="00176CD2">
      <w:pPr>
        <w:pStyle w:val="ListParagraph"/>
        <w:spacing w:after="0"/>
        <w:jc w:val="both"/>
        <w:rPr>
          <w:sz w:val="22"/>
          <w:szCs w:val="22"/>
          <w:lang w:eastAsia="en-US"/>
        </w:rPr>
      </w:pPr>
      <w:r w:rsidRPr="00E35793">
        <w:rPr>
          <w:sz w:val="22"/>
          <w:szCs w:val="22"/>
          <w:lang w:eastAsia="en-US"/>
        </w:rPr>
        <w:t xml:space="preserve">  found prior to set up.</w:t>
      </w:r>
    </w:p>
    <w:p w14:paraId="7F13C766" w14:textId="34D59754" w:rsidR="005950A5" w:rsidRPr="00E35793" w:rsidRDefault="005950A5" w:rsidP="00176CD2">
      <w:pPr>
        <w:pStyle w:val="ListParagraph"/>
        <w:jc w:val="both"/>
        <w:rPr>
          <w:sz w:val="22"/>
          <w:szCs w:val="22"/>
          <w:lang w:eastAsia="en-US"/>
        </w:rPr>
      </w:pPr>
    </w:p>
    <w:p w14:paraId="55EFCDEF" w14:textId="6C1103EB" w:rsidR="005950A5" w:rsidRPr="00E35793" w:rsidRDefault="005950A5" w:rsidP="00176CD2">
      <w:pPr>
        <w:pStyle w:val="ListParagraph"/>
        <w:numPr>
          <w:ilvl w:val="0"/>
          <w:numId w:val="2"/>
        </w:numPr>
        <w:rPr>
          <w:sz w:val="22"/>
          <w:szCs w:val="22"/>
          <w:lang w:eastAsia="en-US"/>
        </w:rPr>
      </w:pPr>
      <w:r w:rsidRPr="00E35793">
        <w:rPr>
          <w:sz w:val="22"/>
          <w:szCs w:val="22"/>
          <w:lang w:eastAsia="en-US"/>
        </w:rPr>
        <w:lastRenderedPageBreak/>
        <w:t xml:space="preserve">  All Vendors must comply with set up and tear down hours.  Acceptance of applications are      </w:t>
      </w:r>
      <w:r w:rsidR="00176CD2" w:rsidRPr="00E35793">
        <w:rPr>
          <w:sz w:val="22"/>
          <w:szCs w:val="22"/>
          <w:lang w:eastAsia="en-US"/>
        </w:rPr>
        <w:t xml:space="preserve">      </w:t>
      </w:r>
      <w:r w:rsidRPr="00E35793">
        <w:rPr>
          <w:sz w:val="22"/>
          <w:szCs w:val="22"/>
          <w:lang w:eastAsia="en-US"/>
        </w:rPr>
        <w:t>subject to General Manager’s approval.</w:t>
      </w:r>
    </w:p>
    <w:p w14:paraId="312A9873" w14:textId="0EBAF787" w:rsidR="005950A5" w:rsidRPr="00E35793" w:rsidRDefault="005950A5" w:rsidP="00176CD2">
      <w:pPr>
        <w:pStyle w:val="ListParagraph"/>
        <w:numPr>
          <w:ilvl w:val="0"/>
          <w:numId w:val="2"/>
        </w:numPr>
        <w:rPr>
          <w:sz w:val="22"/>
          <w:szCs w:val="22"/>
          <w:lang w:eastAsia="en-US"/>
        </w:rPr>
      </w:pPr>
      <w:r w:rsidRPr="00E35793">
        <w:rPr>
          <w:sz w:val="22"/>
          <w:szCs w:val="22"/>
          <w:lang w:eastAsia="en-US"/>
        </w:rPr>
        <w:t xml:space="preserve">Any weapons sold are to be wrapped and peace tied. It is the responsibility of the vendor to tell the buyer to comply and instruct how to comply with these requirements.  </w:t>
      </w:r>
      <w:r w:rsidR="00176CD2" w:rsidRPr="00E35793">
        <w:rPr>
          <w:sz w:val="22"/>
          <w:szCs w:val="22"/>
          <w:lang w:eastAsia="en-US"/>
        </w:rPr>
        <w:t>“</w:t>
      </w:r>
      <w:r w:rsidRPr="00E35793">
        <w:rPr>
          <w:sz w:val="22"/>
          <w:szCs w:val="22"/>
          <w:lang w:eastAsia="en-US"/>
        </w:rPr>
        <w:t>Failure to do so, resulting in a weapon drawn by other than contracted actors</w:t>
      </w:r>
      <w:r w:rsidR="00176CD2" w:rsidRPr="00E35793">
        <w:rPr>
          <w:sz w:val="22"/>
          <w:szCs w:val="22"/>
          <w:lang w:eastAsia="en-US"/>
        </w:rPr>
        <w:t>, will result in the patron being removed from the faire”.</w:t>
      </w:r>
    </w:p>
    <w:p w14:paraId="35B6BC07" w14:textId="2CFE99D8" w:rsidR="00176CD2" w:rsidRPr="00E35793" w:rsidRDefault="00176CD2" w:rsidP="00176CD2">
      <w:pPr>
        <w:pStyle w:val="ListParagraph"/>
        <w:numPr>
          <w:ilvl w:val="0"/>
          <w:numId w:val="2"/>
        </w:numPr>
        <w:rPr>
          <w:sz w:val="22"/>
          <w:szCs w:val="22"/>
          <w:lang w:eastAsia="en-US"/>
        </w:rPr>
      </w:pPr>
      <w:r w:rsidRPr="00E35793">
        <w:rPr>
          <w:sz w:val="22"/>
          <w:szCs w:val="22"/>
          <w:lang w:eastAsia="en-US"/>
        </w:rPr>
        <w:t>The undersigned grants the Sponsor the right to use his/her likeness in photographs on film or videotape in the above promotional and advertising materials of the Event, and maybe exhibited and re-exhibited without limitations or liability.</w:t>
      </w:r>
    </w:p>
    <w:p w14:paraId="3E60CC09" w14:textId="030BA73C" w:rsidR="00176CD2" w:rsidRPr="00E35793" w:rsidRDefault="00176CD2" w:rsidP="00176CD2">
      <w:pPr>
        <w:pStyle w:val="ListParagraph"/>
        <w:numPr>
          <w:ilvl w:val="0"/>
          <w:numId w:val="2"/>
        </w:numPr>
        <w:rPr>
          <w:sz w:val="22"/>
          <w:szCs w:val="22"/>
          <w:lang w:eastAsia="en-US"/>
        </w:rPr>
      </w:pPr>
      <w:r w:rsidRPr="00E35793">
        <w:rPr>
          <w:sz w:val="22"/>
          <w:szCs w:val="22"/>
          <w:lang w:eastAsia="en-US"/>
        </w:rPr>
        <w:t>DaVinci Con – The Original Renaissance Convention will be held rain or shine.  DaVinci Con - The Original Renaissance Convention does not endorse any individual or product.</w:t>
      </w:r>
    </w:p>
    <w:p w14:paraId="722901D5" w14:textId="717AA8A3" w:rsidR="00176CD2" w:rsidRPr="00E35793" w:rsidRDefault="00176CD2" w:rsidP="00176CD2">
      <w:pPr>
        <w:pStyle w:val="ListParagraph"/>
        <w:numPr>
          <w:ilvl w:val="0"/>
          <w:numId w:val="2"/>
        </w:numPr>
        <w:rPr>
          <w:sz w:val="22"/>
          <w:szCs w:val="22"/>
          <w:lang w:eastAsia="en-US"/>
        </w:rPr>
      </w:pPr>
      <w:r w:rsidRPr="00E35793">
        <w:rPr>
          <w:sz w:val="22"/>
          <w:szCs w:val="22"/>
          <w:lang w:eastAsia="en-US"/>
        </w:rPr>
        <w:t>DaVinci Con – The Original Renaissance Convention reserves the right to refuse participation to any participant who does not comply with the terms and conditions of this agreement.</w:t>
      </w:r>
    </w:p>
    <w:p w14:paraId="09A472E0" w14:textId="04D7A005" w:rsidR="00176CD2" w:rsidRDefault="00176CD2" w:rsidP="00176CD2">
      <w:pPr>
        <w:pStyle w:val="ListParagraph"/>
        <w:rPr>
          <w:lang w:eastAsia="en-US"/>
        </w:rPr>
      </w:pPr>
    </w:p>
    <w:p w14:paraId="5F228C79" w14:textId="4B73E1B0" w:rsidR="00176CD2" w:rsidRDefault="00176CD2" w:rsidP="00176CD2">
      <w:pPr>
        <w:pStyle w:val="ListParagraph"/>
        <w:rPr>
          <w:lang w:eastAsia="en-US"/>
        </w:rPr>
      </w:pPr>
    </w:p>
    <w:p w14:paraId="37A5EDB6" w14:textId="6F5F7E54" w:rsidR="00176CD2" w:rsidRDefault="00176CD2" w:rsidP="00176CD2">
      <w:pPr>
        <w:pStyle w:val="ListParagraph"/>
        <w:jc w:val="both"/>
        <w:rPr>
          <w:b/>
          <w:bCs/>
          <w:sz w:val="28"/>
          <w:szCs w:val="28"/>
          <w:lang w:eastAsia="en-US"/>
        </w:rPr>
      </w:pPr>
      <w:r w:rsidRPr="00176CD2">
        <w:rPr>
          <w:b/>
          <w:bCs/>
          <w:sz w:val="28"/>
          <w:szCs w:val="28"/>
          <w:lang w:eastAsia="en-US"/>
        </w:rPr>
        <w:t>I HAVE READ THE EVENT VENDOR POLICIES AND AGREE TO ABIDE BY THEM</w:t>
      </w:r>
    </w:p>
    <w:p w14:paraId="3D7E4BEF" w14:textId="3133ED90" w:rsidR="00176CD2" w:rsidRDefault="00176CD2" w:rsidP="00176CD2">
      <w:pPr>
        <w:pStyle w:val="ListParagraph"/>
        <w:jc w:val="both"/>
        <w:rPr>
          <w:b/>
          <w:bCs/>
          <w:sz w:val="28"/>
          <w:szCs w:val="28"/>
          <w:lang w:eastAsia="en-US"/>
        </w:rPr>
      </w:pPr>
    </w:p>
    <w:p w14:paraId="302D69B5" w14:textId="527DE3B9" w:rsidR="00176CD2" w:rsidRDefault="00176CD2" w:rsidP="00176CD2">
      <w:pPr>
        <w:pStyle w:val="ListParagraph"/>
        <w:jc w:val="both"/>
        <w:rPr>
          <w:b/>
          <w:bCs/>
          <w:sz w:val="28"/>
          <w:szCs w:val="28"/>
          <w:lang w:eastAsia="en-US"/>
        </w:rPr>
      </w:pPr>
      <w:r>
        <w:rPr>
          <w:b/>
          <w:bCs/>
          <w:sz w:val="28"/>
          <w:szCs w:val="28"/>
          <w:lang w:eastAsia="en-US"/>
        </w:rPr>
        <w:t>Signature________________________________________________________</w:t>
      </w:r>
    </w:p>
    <w:p w14:paraId="429617FC" w14:textId="1322E7FB" w:rsidR="00176CD2" w:rsidRDefault="00176CD2" w:rsidP="00176CD2">
      <w:pPr>
        <w:pStyle w:val="ListParagraph"/>
        <w:jc w:val="both"/>
        <w:rPr>
          <w:b/>
          <w:bCs/>
          <w:sz w:val="28"/>
          <w:szCs w:val="28"/>
          <w:lang w:eastAsia="en-US"/>
        </w:rPr>
      </w:pPr>
    </w:p>
    <w:p w14:paraId="3D2A3BF6" w14:textId="39344952" w:rsidR="00176CD2" w:rsidRDefault="00176CD2" w:rsidP="00176CD2">
      <w:pPr>
        <w:pStyle w:val="ListParagraph"/>
        <w:jc w:val="both"/>
        <w:rPr>
          <w:b/>
          <w:bCs/>
          <w:sz w:val="28"/>
          <w:szCs w:val="28"/>
          <w:lang w:eastAsia="en-US"/>
        </w:rPr>
      </w:pPr>
      <w:r>
        <w:rPr>
          <w:b/>
          <w:bCs/>
          <w:sz w:val="28"/>
          <w:szCs w:val="28"/>
          <w:lang w:eastAsia="en-US"/>
        </w:rPr>
        <w:t>Print Name_______________________________________________________</w:t>
      </w:r>
    </w:p>
    <w:p w14:paraId="25ED8E68" w14:textId="257CE76D" w:rsidR="00176CD2" w:rsidRDefault="00176CD2" w:rsidP="00176CD2">
      <w:pPr>
        <w:pStyle w:val="ListParagraph"/>
        <w:pBdr>
          <w:bottom w:val="single" w:sz="12" w:space="1" w:color="auto"/>
        </w:pBdr>
        <w:jc w:val="both"/>
        <w:rPr>
          <w:b/>
          <w:bCs/>
          <w:sz w:val="28"/>
          <w:szCs w:val="28"/>
          <w:lang w:eastAsia="en-US"/>
        </w:rPr>
      </w:pPr>
    </w:p>
    <w:p w14:paraId="6D598168" w14:textId="259CF10F" w:rsidR="00176CD2" w:rsidRDefault="00176CD2" w:rsidP="00176CD2">
      <w:pPr>
        <w:pStyle w:val="ListParagraph"/>
        <w:ind w:left="2880" w:firstLine="720"/>
        <w:jc w:val="both"/>
        <w:rPr>
          <w:b/>
          <w:bCs/>
          <w:sz w:val="36"/>
          <w:szCs w:val="36"/>
          <w:lang w:eastAsia="en-US"/>
        </w:rPr>
      </w:pPr>
      <w:r>
        <w:rPr>
          <w:b/>
          <w:bCs/>
          <w:sz w:val="36"/>
          <w:szCs w:val="36"/>
          <w:lang w:eastAsia="en-US"/>
        </w:rPr>
        <w:t>(</w:t>
      </w:r>
      <w:r w:rsidRPr="00E35793">
        <w:rPr>
          <w:b/>
          <w:bCs/>
          <w:sz w:val="28"/>
          <w:szCs w:val="28"/>
          <w:lang w:eastAsia="en-US"/>
        </w:rPr>
        <w:t>for office use</w:t>
      </w:r>
      <w:r>
        <w:rPr>
          <w:b/>
          <w:bCs/>
          <w:sz w:val="36"/>
          <w:szCs w:val="36"/>
          <w:lang w:eastAsia="en-US"/>
        </w:rPr>
        <w:t>)</w:t>
      </w:r>
    </w:p>
    <w:p w14:paraId="10D89728" w14:textId="602B90AD" w:rsidR="00E35793" w:rsidRDefault="00E35793" w:rsidP="00E35793">
      <w:pPr>
        <w:pStyle w:val="ListParagraph"/>
        <w:ind w:left="2880" w:firstLine="720"/>
        <w:rPr>
          <w:b/>
          <w:bCs/>
          <w:sz w:val="36"/>
          <w:szCs w:val="36"/>
          <w:lang w:eastAsia="en-US"/>
        </w:rPr>
      </w:pPr>
    </w:p>
    <w:p w14:paraId="025A3111" w14:textId="2F285402" w:rsidR="00E35793" w:rsidRDefault="00E35793" w:rsidP="00E35793">
      <w:pPr>
        <w:rPr>
          <w:b/>
          <w:bCs/>
          <w:lang w:eastAsia="en-US"/>
        </w:rPr>
      </w:pPr>
      <w:r>
        <w:rPr>
          <w:b/>
          <w:bCs/>
          <w:lang w:eastAsia="en-US"/>
        </w:rPr>
        <w:t>Receipt #____________________________ Amount________________________ Date__________</w:t>
      </w:r>
    </w:p>
    <w:p w14:paraId="392B8A33" w14:textId="5B3625D4" w:rsidR="00E35793" w:rsidRPr="00E35793" w:rsidRDefault="00E35793" w:rsidP="00E35793">
      <w:pPr>
        <w:rPr>
          <w:b/>
          <w:bCs/>
          <w:lang w:eastAsia="en-US"/>
        </w:rPr>
      </w:pPr>
      <w:r>
        <w:rPr>
          <w:b/>
          <w:bCs/>
          <w:lang w:eastAsia="en-US"/>
        </w:rPr>
        <w:t>Check or Money Order#_________________________________</w:t>
      </w:r>
      <w:proofErr w:type="gramStart"/>
      <w:r>
        <w:rPr>
          <w:b/>
          <w:bCs/>
          <w:lang w:eastAsia="en-US"/>
        </w:rPr>
        <w:t>_  Approved</w:t>
      </w:r>
      <w:proofErr w:type="gramEnd"/>
      <w:r>
        <w:rPr>
          <w:b/>
          <w:bCs/>
          <w:lang w:eastAsia="en-US"/>
        </w:rPr>
        <w:t xml:space="preserve"> </w:t>
      </w:r>
      <w:proofErr w:type="spellStart"/>
      <w:r>
        <w:rPr>
          <w:b/>
          <w:bCs/>
          <w:lang w:eastAsia="en-US"/>
        </w:rPr>
        <w:t>Y_______No</w:t>
      </w:r>
      <w:proofErr w:type="spellEnd"/>
      <w:r>
        <w:rPr>
          <w:b/>
          <w:bCs/>
          <w:lang w:eastAsia="en-US"/>
        </w:rPr>
        <w:t>________</w:t>
      </w:r>
    </w:p>
    <w:p w14:paraId="74A3BF72" w14:textId="77777777" w:rsidR="00176CD2" w:rsidRDefault="00176CD2" w:rsidP="00176CD2">
      <w:pPr>
        <w:pStyle w:val="ListParagraph"/>
        <w:ind w:left="2880" w:firstLine="720"/>
        <w:jc w:val="both"/>
        <w:rPr>
          <w:b/>
          <w:bCs/>
          <w:sz w:val="28"/>
          <w:szCs w:val="28"/>
          <w:lang w:eastAsia="en-US"/>
        </w:rPr>
      </w:pPr>
    </w:p>
    <w:p w14:paraId="5FCBCF96" w14:textId="77777777" w:rsidR="00176CD2" w:rsidRPr="00176CD2" w:rsidRDefault="00176CD2" w:rsidP="00176CD2">
      <w:pPr>
        <w:pStyle w:val="ListParagraph"/>
        <w:jc w:val="both"/>
        <w:rPr>
          <w:b/>
          <w:bCs/>
          <w:sz w:val="28"/>
          <w:szCs w:val="28"/>
          <w:lang w:eastAsia="en-US"/>
        </w:rPr>
      </w:pPr>
    </w:p>
    <w:p w14:paraId="3BFF97CE" w14:textId="77777777" w:rsidR="005950A5" w:rsidRDefault="005950A5" w:rsidP="005950A5">
      <w:pPr>
        <w:pStyle w:val="ListParagraph"/>
        <w:rPr>
          <w:lang w:eastAsia="en-US"/>
        </w:rPr>
      </w:pPr>
    </w:p>
    <w:p w14:paraId="7351CDB5" w14:textId="78C88270" w:rsidR="00387239" w:rsidRPr="00387239" w:rsidRDefault="005950A5" w:rsidP="00E17827">
      <w:pPr>
        <w:pStyle w:val="ListParagraph"/>
        <w:rPr>
          <w:lang w:eastAsia="en-US"/>
        </w:rPr>
      </w:pPr>
      <w:r>
        <w:rPr>
          <w:lang w:eastAsia="en-US"/>
        </w:rPr>
        <w:t xml:space="preserve">                                                  </w:t>
      </w:r>
      <w:bookmarkStart w:id="0" w:name="_GoBack"/>
      <w:bookmarkEnd w:id="0"/>
    </w:p>
    <w:sectPr w:rsidR="00387239" w:rsidRPr="00387239" w:rsidSect="000C4C9D">
      <w:headerReference w:type="default" r:id="rId8"/>
      <w:footerReference w:type="default" r:id="rId9"/>
      <w:headerReference w:type="first" r:id="rId10"/>
      <w:footerReference w:type="first" r:id="rId11"/>
      <w:pgSz w:w="12240" w:h="15840"/>
      <w:pgMar w:top="1080" w:right="1296"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61F4A" w14:textId="77777777" w:rsidR="001D0A9F" w:rsidRDefault="001D0A9F">
      <w:pPr>
        <w:spacing w:after="0" w:line="240" w:lineRule="auto"/>
      </w:pPr>
      <w:r>
        <w:separator/>
      </w:r>
    </w:p>
  </w:endnote>
  <w:endnote w:type="continuationSeparator" w:id="0">
    <w:p w14:paraId="05713877" w14:textId="77777777" w:rsidR="001D0A9F" w:rsidRDefault="001D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14:paraId="09179C5B"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0CCC430" wp14:editId="1A8F28E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E521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419767"/>
      <w:docPartObj>
        <w:docPartGallery w:val="Page Numbers (Bottom of Page)"/>
        <w:docPartUnique/>
      </w:docPartObj>
    </w:sdtPr>
    <w:sdtEndPr>
      <w:rPr>
        <w:color w:val="7F7F7F" w:themeColor="background1" w:themeShade="7F"/>
        <w:spacing w:val="60"/>
      </w:rPr>
    </w:sdtEndPr>
    <w:sdtContent>
      <w:p w14:paraId="61A0EA19" w14:textId="77777777" w:rsidR="00297F2F" w:rsidRPr="00297F2F" w:rsidRDefault="00297F2F" w:rsidP="00297F2F">
        <w:pPr>
          <w:pStyle w:val="Footer"/>
          <w:rPr>
            <w:rFonts w:asciiTheme="majorHAnsi" w:hAnsiTheme="majorHAnsi" w:cstheme="majorHAnsi"/>
            <w:iCs/>
            <w:color w:val="8B745B"/>
            <w:sz w:val="20"/>
            <w:szCs w:val="20"/>
          </w:rPr>
        </w:pPr>
        <w:r w:rsidRPr="00297F2F">
          <w:rPr>
            <w:rFonts w:asciiTheme="majorHAnsi" w:hAnsiTheme="majorHAnsi" w:cstheme="majorHAnsi"/>
            <w:iCs/>
            <w:noProof/>
            <w:color w:val="8B745B"/>
            <w:sz w:val="20"/>
            <w:szCs w:val="20"/>
            <w:lang w:eastAsia="en-US"/>
          </w:rPr>
          <mc:AlternateContent>
            <mc:Choice Requires="wps">
              <w:drawing>
                <wp:anchor distT="0" distB="0" distL="114300" distR="114300" simplePos="0" relativeHeight="251668480" behindDoc="0" locked="0" layoutInCell="1" allowOverlap="1" wp14:anchorId="70F260A1" wp14:editId="1D71E784">
                  <wp:simplePos x="0" y="0"/>
                  <wp:positionH relativeFrom="page">
                    <wp:posOffset>685800</wp:posOffset>
                  </wp:positionH>
                  <wp:positionV relativeFrom="page">
                    <wp:posOffset>9136380</wp:posOffset>
                  </wp:positionV>
                  <wp:extent cx="6393180" cy="7620"/>
                  <wp:effectExtent l="0" t="0" r="26670" b="30480"/>
                  <wp:wrapNone/>
                  <wp:docPr id="6" name="Straight Connector 6" title="Line design element"/>
                  <wp:cNvGraphicFramePr/>
                  <a:graphic xmlns:a="http://schemas.openxmlformats.org/drawingml/2006/main">
                    <a:graphicData uri="http://schemas.microsoft.com/office/word/2010/wordprocessingShape">
                      <wps:wsp>
                        <wps:cNvCnPr/>
                        <wps:spPr>
                          <a:xfrm flipV="1">
                            <a:off x="0" y="0"/>
                            <a:ext cx="6393180" cy="7620"/>
                          </a:xfrm>
                          <a:prstGeom prst="line">
                            <a:avLst/>
                          </a:prstGeom>
                          <a:noFill/>
                          <a:ln w="12700" cap="flat" cmpd="sng" algn="ctr">
                            <a:solidFill>
                              <a:srgbClr val="CC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EB60" id="Straight Connector 6" o:spid="_x0000_s1026" alt="Title: Line design element"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719.4pt" to="557.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" strokecolor="#ccc" strokeweight="1pt">
                  <v:stroke joinstyle="miter"/>
                  <w10:wrap anchorx="page" anchory="page"/>
                </v:line>
              </w:pict>
            </mc:Fallback>
          </mc:AlternateContent>
        </w:r>
        <w:r w:rsidRPr="00297F2F">
          <w:rPr>
            <w:rFonts w:asciiTheme="majorHAnsi" w:hAnsiTheme="majorHAnsi" w:cstheme="majorHAnsi"/>
            <w:iCs/>
            <w:color w:val="8B745B"/>
            <w:sz w:val="20"/>
            <w:szCs w:val="20"/>
          </w:rPr>
          <w:t>PO Box 1156 • LEXINGTON, VA • 24450</w:t>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p>
      <w:p w14:paraId="75419B5E" w14:textId="77777777" w:rsidR="00297F2F" w:rsidRPr="00297F2F" w:rsidRDefault="00297F2F" w:rsidP="00297F2F">
        <w:pPr>
          <w:spacing w:after="0" w:line="240" w:lineRule="auto"/>
          <w:rPr>
            <w:rFonts w:asciiTheme="majorHAnsi" w:hAnsiTheme="majorHAnsi" w:cstheme="majorHAnsi"/>
            <w:iCs/>
            <w:caps/>
            <w:color w:val="8B745B"/>
            <w:sz w:val="20"/>
            <w:szCs w:val="20"/>
          </w:rPr>
        </w:pPr>
        <w:r w:rsidRPr="00297F2F">
          <w:rPr>
            <w:rFonts w:asciiTheme="majorHAnsi" w:hAnsiTheme="majorHAnsi" w:cstheme="majorHAnsi"/>
            <w:iCs/>
            <w:caps/>
            <w:color w:val="8B745B"/>
            <w:sz w:val="20"/>
            <w:szCs w:val="20"/>
          </w:rPr>
          <w:t xml:space="preserve">(844) 473-6266 </w:t>
        </w:r>
        <w:bookmarkStart w:id="1" w:name="_Hlk9768641"/>
        <w:r w:rsidRPr="00297F2F">
          <w:rPr>
            <w:rFonts w:asciiTheme="majorHAnsi" w:hAnsiTheme="majorHAnsi" w:cstheme="majorHAnsi"/>
            <w:iCs/>
            <w:caps/>
            <w:color w:val="8B745B"/>
            <w:sz w:val="20"/>
            <w:szCs w:val="20"/>
          </w:rPr>
          <w:t>•</w:t>
        </w:r>
        <w:bookmarkEnd w:id="1"/>
        <w:r w:rsidRPr="00297F2F">
          <w:rPr>
            <w:rFonts w:asciiTheme="majorHAnsi" w:hAnsiTheme="majorHAnsi" w:cstheme="majorHAnsi"/>
            <w:iCs/>
            <w:caps/>
            <w:color w:val="8B745B"/>
            <w:sz w:val="20"/>
            <w:szCs w:val="20"/>
          </w:rPr>
          <w:t xml:space="preserve"> WWW.DAVINCI-CON.COM</w:t>
        </w:r>
      </w:p>
      <w:p w14:paraId="1EABC9A0" w14:textId="4A86F74E" w:rsidR="00297F2F" w:rsidRDefault="00297F2F" w:rsidP="00297F2F">
        <w:pPr>
          <w:pStyle w:val="Footer"/>
          <w:pBdr>
            <w:top w:val="single" w:sz="4" w:space="1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6915DB" w14:textId="6B61B6B9" w:rsidR="00B469A5" w:rsidRPr="000C4C9D" w:rsidRDefault="00B469A5">
    <w:pPr>
      <w:pStyle w:val="Footer"/>
      <w:rPr>
        <w:rFonts w:asciiTheme="majorHAnsi" w:hAnsiTheme="majorHAnsi" w:cstheme="majorHAnsi"/>
        <w:iCs/>
        <w:color w:val="8B745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DF28" w14:textId="77777777" w:rsidR="001D0A9F" w:rsidRDefault="001D0A9F">
      <w:pPr>
        <w:spacing w:after="0" w:line="240" w:lineRule="auto"/>
      </w:pPr>
      <w:r>
        <w:separator/>
      </w:r>
    </w:p>
  </w:footnote>
  <w:footnote w:type="continuationSeparator" w:id="0">
    <w:p w14:paraId="3445DB60" w14:textId="77777777" w:rsidR="001D0A9F" w:rsidRDefault="001D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4045857" w14:textId="77777777">
      <w:trPr>
        <w:trHeight w:val="576"/>
      </w:trPr>
      <w:tc>
        <w:tcPr>
          <w:tcW w:w="7920" w:type="dxa"/>
        </w:tcPr>
        <w:p w14:paraId="0141CA8E" w14:textId="77777777" w:rsidR="00B469A5" w:rsidRDefault="00B469A5">
          <w:pPr>
            <w:pStyle w:val="Header"/>
          </w:pPr>
        </w:p>
      </w:tc>
    </w:tr>
  </w:tbl>
  <w:p w14:paraId="45BDE8A2"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870524E" wp14:editId="18124AD0">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BE96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54B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11FDF23" wp14:editId="1BCA330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rgbClr val="8B74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8747C"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" strokecolor="#8b745b"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14EBE"/>
    <w:multiLevelType w:val="hybridMultilevel"/>
    <w:tmpl w:val="A3FEBF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F0C97"/>
    <w:multiLevelType w:val="hybridMultilevel"/>
    <w:tmpl w:val="AB8A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1"/>
    <w:rsid w:val="00074550"/>
    <w:rsid w:val="000C09A9"/>
    <w:rsid w:val="000C4C9D"/>
    <w:rsid w:val="00176CD2"/>
    <w:rsid w:val="001D0A9F"/>
    <w:rsid w:val="002159B1"/>
    <w:rsid w:val="00234FB3"/>
    <w:rsid w:val="00297F2F"/>
    <w:rsid w:val="00387239"/>
    <w:rsid w:val="00472D22"/>
    <w:rsid w:val="004857AD"/>
    <w:rsid w:val="00556807"/>
    <w:rsid w:val="005950A5"/>
    <w:rsid w:val="005E1CDE"/>
    <w:rsid w:val="00694CB6"/>
    <w:rsid w:val="006E59E3"/>
    <w:rsid w:val="008F0B5F"/>
    <w:rsid w:val="009E574A"/>
    <w:rsid w:val="00A80499"/>
    <w:rsid w:val="00B02F88"/>
    <w:rsid w:val="00B469A5"/>
    <w:rsid w:val="00BC4D3B"/>
    <w:rsid w:val="00C435E3"/>
    <w:rsid w:val="00E17827"/>
    <w:rsid w:val="00E35793"/>
    <w:rsid w:val="00F22C28"/>
    <w:rsid w:val="00F2672B"/>
    <w:rsid w:val="00F4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C145"/>
  <w15:chartTrackingRefBased/>
  <w15:docId w15:val="{6A33FB2F-303D-43B1-A366-98CBEC15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297F2F"/>
    <w:rPr>
      <w:color w:val="0563C1" w:themeColor="hyperlink"/>
      <w:u w:val="single"/>
    </w:rPr>
  </w:style>
  <w:style w:type="character" w:styleId="UnresolvedMention">
    <w:name w:val="Unresolved Mention"/>
    <w:basedOn w:val="DefaultParagraphFont"/>
    <w:uiPriority w:val="99"/>
    <w:semiHidden/>
    <w:unhideWhenUsed/>
    <w:rsid w:val="00297F2F"/>
    <w:rPr>
      <w:color w:val="605E5C"/>
      <w:shd w:val="clear" w:color="auto" w:fill="E1DFDD"/>
    </w:rPr>
  </w:style>
  <w:style w:type="paragraph" w:styleId="ListParagraph">
    <w:name w:val="List Paragraph"/>
    <w:basedOn w:val="Normal"/>
    <w:uiPriority w:val="34"/>
    <w:unhideWhenUsed/>
    <w:qFormat/>
    <w:rsid w:val="00485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Joseph%20Key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2</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Joseph Keys</dc:creator>
  <cp:keywords/>
  <dc:description/>
  <cp:lastModifiedBy>tracy maisel</cp:lastModifiedBy>
  <cp:revision>4</cp:revision>
  <dcterms:created xsi:type="dcterms:W3CDTF">2019-07-11T00:20:00Z</dcterms:created>
  <dcterms:modified xsi:type="dcterms:W3CDTF">2019-07-24T11:18:00Z</dcterms:modified>
</cp:coreProperties>
</file>