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wqdd1xclw90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🐐 VOTE-GOAT®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uxya3w7ld2x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CATEGORY PARTNER AGREEMENT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Operated by Human-Validation-Group Limited</w:t>
        <w:br w:type="textWrapping"/>
        <w:t xml:space="preserve">Company Number: 17007949</w:t>
        <w:br w:type="textWrapping"/>
        <w:t xml:space="preserve">Registered in England &amp; Wales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Last Updated: 01/04/2026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hello@vote-goat.com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lzyfxxd7cdm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Purpose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governs the relationship between Vote-Goat® (“the Platform”) and an approved Category Partner (“the Partner”).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Category Partner status is a structured licence arrangement. It does not constitute ownership, equity, partnership, employment, agency, or joint venture.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governance authority remains with Human-Validation-Group Limited.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0hf6t4u6u54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Nature of Licence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 The Partner is granted a </w:t>
      </w:r>
      <w:r w:rsidDel="00000000" w:rsidR="00000000" w:rsidRPr="00000000">
        <w:rPr>
          <w:b w:val="1"/>
          <w:bCs w:val="1"/>
          <w:rtl w:val="0"/>
        </w:rPr>
        <w:t xml:space="preserve">non-transferable, non-exclusive licence</w:t>
      </w:r>
      <w:r w:rsidDel="00000000" w:rsidR="00000000" w:rsidRPr="00000000">
        <w:rPr>
          <w:rtl w:val="0"/>
        </w:rPr>
        <w:t xml:space="preserve"> to steward an approved GOAT category for a fixed term of twelve (12) months.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 The licence permits the Partner to:</w:t>
      </w:r>
    </w:p>
    <w:p w:rsidR="00000000" w:rsidDel="00000000" w:rsidP="00000000" w:rsidRDefault="00000000" w:rsidRPr="00000000" w14:paraId="0000000F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Promote the category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Suggest nominees for consideration by the Platform</w:t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2.3 The Partner may not: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Approve or remove nominees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Modify category wording or structure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Access vote-level or user-level data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Influence vote counting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Represent themselves as “Owner” of the category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Sell, assign, or transfer the licence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nominee approval and governance decisions remain solely with the Platform.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tb6s93bw43x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Term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 The licence term is twelve (12) months from the approval date.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 Renewal is not automatic and remains at the sole discretion of Vote-Goat.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obyawxoifqt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Revenue Participation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4.1 During the active 12-month term, the Partner shall receive </w:t>
      </w:r>
      <w:r w:rsidDel="00000000" w:rsidR="00000000" w:rsidRPr="00000000">
        <w:rPr>
          <w:b w:val="1"/>
          <w:bCs w:val="1"/>
          <w:rtl w:val="0"/>
        </w:rPr>
        <w:t xml:space="preserve">5% of gross vote revenue generated within their specific category.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4.2 “Gross vote revenue” refers to revenue generated from vote purchases or subscription allocations attributable to that category before deduction of payment processing fees or other costs.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4.3 Revenue participation applies only to revenue generated during the Partner’s active term.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4.4 No revenue entitlement exists after the term expires.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4.5 Revenue payments are made in accordance with Platform payment cycles.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a0gn8bb14fb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Amendment of Revenue Share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 Vote-Goat reserves the right to amend the revenue participation percentage during the term.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 Any amendment requires a minimum of thirty (30) days’ written notice.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5.3 Amendments apply prospectively only.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5.4 If the Partner does not accept the revised terms, they may terminate the licence before the amendment takes effect and receive: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pro-rata refund of remaining full unused months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Less a £25 administration fee</w:t>
        <w:br w:type="textWrapping"/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refund is provided for partial months.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bp1z639itt7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Performance Requirement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 A paid category must generate a minimum of fifty (50) verified votes per calendar month.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 If the category fails to meet this threshold in any month: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 formal warning will be issued.</w:t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6.3 If performance remains below threshold in the following month: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The Platform may terminate the licence.</w:t>
        <w:br w:type="textWrapping"/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6.4 Upon termination for underperformance: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Partner shall receive a pro-rata refund of remaining full unused months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Less a £25 administration fee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refund for partial months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refund of any application fee</w:t>
        <w:br w:type="textWrapping"/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cw8hm3vo9ew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Structural Governance Authority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retains full authority to: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Rename categories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Merge categories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Split categories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Suspend categories for legal, reputational, regulatory, or integrity reasons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nominees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Adjust rankings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fraudulent votes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Amend governance procedures</w:t>
        <w:br w:type="textWrapping"/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decisions are made in the interest of Platform integrity.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cgjcctwfiqv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Regulatory &amp; Legal Compliance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regulatory, legal, or compliance requirements necessitate changes, Vote-Goat reserves the right to: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Amend the revenue model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Suspend revenue participation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Modify platform structure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Temporarily suspend category licences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 compliance-driven operational changes</w:t>
        <w:br w:type="textWrapping"/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Such actions shall not constitute breach of this Agreement.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u5edn8wztm7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Legal Matters &amp; Nominee Risk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9.1 The Platform retains full authority and responsibility for handling legal matters relating to nominees or rankings.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9.2 The Partner shall not be liable for nominee-related disputes unless they have engaged in malicious or unlawful conduct.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9.3 Vote-Goat is not responsible for commentary, reactions, or conduct on third-party platforms including social media networks.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el1pz5x78w5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Reputation &amp; Conduct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10.1 Partners must act in a manner that protects the integrity and reputation of the Platform.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10.2 If conduct raises reputational concerns:</w:t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Platform will conduct an internal review.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licence may be suspended during investigation.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final determination will be issued following review.</w:t>
        <w:br w:type="textWrapping"/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krtolszf3hz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Non-Transferability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Category Partner status is strictly personal and: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Non-transferable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Non-assignable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sub-licensable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May not be sold</w:t>
        <w:br w:type="textWrapping"/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toqm1ok8bbh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Public Representation &amp; Branding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12.1 Partners may only use wording and branding expressly approved in writing by Vote-Goat.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12.2 The use of terms implying ownership, equity, governance control, or investment interest is strictly prohibited.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branding remains the intellectual property of Human-Validation-Group Limited.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yknn356zx33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Sale or Transfer of Platform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the event of sale, merger, restructuring, or transfer of ownership of Vote-Goat: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Existing licences automatically transfer to the successor entity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Terms remain in force unless lawfully amended</w:t>
        <w:br w:type="textWrapping"/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52stk4p596x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14. Dispute Resolution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14.1 Disputes shall follow a structured process:</w:t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Internal written review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Good faith mediation attempt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Jurisdiction of the Courts of England and Wales</w:t>
        <w:br w:type="textWrapping"/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14.2 This Agreement is governed by the laws of England and Wales.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bp1vytg88a8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Acceptance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applying for and accepting Category Partner status, the Partner confirms that they:</w:t>
      </w:r>
    </w:p>
    <w:p w:rsidR="00000000" w:rsidDel="00000000" w:rsidP="00000000" w:rsidRDefault="00000000" w:rsidRPr="00000000" w14:paraId="00000075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Have read and understood this Agreement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Accept its terms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Acknowledge Platform governance authority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 this is a licence arrangement only</w:t>
        <w:br w:type="textWrapping"/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🐐</w:t>
        <w:br w:type="textWrapping"/>
        <w:t xml:space="preserve"> Stewardship is licensed.</w:t>
        <w:br w:type="textWrapping"/>
        <w:t xml:space="preserve"> Integrity is enforced.</w:t>
        <w:br w:type="textWrapping"/>
        <w:t xml:space="preserve"> Greatness is structured.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