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fitq8l1s6os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📄 2️⃣ ACCEPTABLE USE POLICY (AUP)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Vote-Goat®</w:t>
        <w:br w:type="textWrapping"/>
        <w:t xml:space="preserve">Operated by Human-Validation-Group Limited</w:t>
        <w:br w:type="textWrapping"/>
        <w:t xml:space="preserve">Last Updated: 01 April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ot49ykzqldj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Purpose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Acceptable Use Policy governs how users interact with the Vote-Goat platform.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Participation must remain lawful, respectful, and integrity-driven.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i4idjn1xr0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Category &amp; Nominee Rules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m3lxh7x6pc8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 Permitted Categories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Categories may include any subject matter provided they are: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 negative in framing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defamatory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unlawful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inciting hatred or harm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records opinion — not accusations.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Negative framing such as “Worst”, “Fraud”, or similar defamatory constructions may be rejected.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obztyis5avq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2.2 Nominee Eligibility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Only public figures may be nominated.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Public figures include: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Athletes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Musicians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Actors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Politicians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Recognised business leaders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personalities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Private individuals may not be nominated.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reserves the right to determine public figure status.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ldglllbe9sf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Prohibited Conduct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Zero tolerance applies to: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Hate speech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Racism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Extremism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Defamation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Coordinated manipulation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Automated voting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Bot activity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Fraudulent behaviour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Circumventing vote caps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ibv3z25w2zh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Enforcement Authority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Vote-Goat retains full control and discretion to: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nominees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categories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fraudulent votes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rankings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Amend announcements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Suspend accounts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Permanently ban users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Cultural Status and badges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Enforcement may occur without prior notice.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Platform integrity overrides individual preference.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2sraj73091i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No Right to Approval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Submission of a category or nominee does not guarantee approval.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Founder stewardship ensures structural consistency and risk management.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rpod1eecoyk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Reporting Violations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report suspected violations via: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hello@vote-goat.com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reports are reviewed internally.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🐐</w:t>
        <w:br w:type="textWrapping"/>
        <w:t xml:space="preserve">Participation is earned. Abuse is removed.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