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07FCA"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Supply Chain Policy</w:t>
      </w:r>
    </w:p>
    <w:p w14:paraId="04C33FAE" w14:textId="77777777" w:rsidR="00120148" w:rsidRPr="00120148" w:rsidRDefault="00120148" w:rsidP="00120148">
      <w:pPr>
        <w:pStyle w:val="NoSpacing"/>
        <w:jc w:val="both"/>
        <w:rPr>
          <w:rFonts w:ascii="Open Sans" w:hAnsi="Open Sans" w:cs="Open Sans"/>
        </w:rPr>
      </w:pPr>
    </w:p>
    <w:p w14:paraId="516E9AC6"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1. Introduction</w:t>
      </w:r>
    </w:p>
    <w:p w14:paraId="1B349059" w14:textId="77777777" w:rsidR="00120148" w:rsidRPr="00120148" w:rsidRDefault="00120148" w:rsidP="00120148">
      <w:pPr>
        <w:pStyle w:val="NoSpacing"/>
        <w:jc w:val="both"/>
        <w:rPr>
          <w:rFonts w:ascii="Open Sans" w:hAnsi="Open Sans" w:cs="Open Sans"/>
        </w:rPr>
      </w:pPr>
    </w:p>
    <w:p w14:paraId="4A9267D2"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At Total Futures, we are committed to delivering high-quality skills bootcamp training programs to empower individuals and organizations in their pursuit of excellence. To ensure efficiency, transparency, and sustainability in our operations, we have established this Supply Chain Policy outlining our principles and guidelines for managing our supply chain.</w:t>
      </w:r>
    </w:p>
    <w:p w14:paraId="6DA5B3AF" w14:textId="77777777" w:rsidR="00120148" w:rsidRPr="00120148" w:rsidRDefault="00120148" w:rsidP="00120148">
      <w:pPr>
        <w:pStyle w:val="NoSpacing"/>
        <w:jc w:val="both"/>
        <w:rPr>
          <w:rFonts w:ascii="Open Sans" w:hAnsi="Open Sans" w:cs="Open Sans"/>
        </w:rPr>
      </w:pPr>
    </w:p>
    <w:p w14:paraId="08EB3CF5"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2. Objectives</w:t>
      </w:r>
    </w:p>
    <w:p w14:paraId="438E4A8F" w14:textId="77777777" w:rsidR="00120148" w:rsidRPr="00120148" w:rsidRDefault="00120148" w:rsidP="00120148">
      <w:pPr>
        <w:pStyle w:val="NoSpacing"/>
        <w:jc w:val="both"/>
        <w:rPr>
          <w:rFonts w:ascii="Open Sans" w:hAnsi="Open Sans" w:cs="Open Sans"/>
        </w:rPr>
      </w:pPr>
    </w:p>
    <w:p w14:paraId="44CF3BB2" w14:textId="6C4F3DF8" w:rsidR="00120148" w:rsidRPr="00120148" w:rsidRDefault="00120148" w:rsidP="00120148">
      <w:pPr>
        <w:pStyle w:val="NoSpacing"/>
        <w:jc w:val="both"/>
        <w:rPr>
          <w:rFonts w:ascii="Open Sans" w:hAnsi="Open Sans" w:cs="Open Sans"/>
        </w:rPr>
      </w:pPr>
      <w:r w:rsidRPr="00120148">
        <w:rPr>
          <w:rFonts w:ascii="Open Sans" w:hAnsi="Open Sans" w:cs="Open Sans"/>
        </w:rPr>
        <w:t xml:space="preserve">To ensure the procurement of high-quality </w:t>
      </w:r>
      <w:r w:rsidR="00F253A2">
        <w:rPr>
          <w:rFonts w:ascii="Open Sans" w:hAnsi="Open Sans" w:cs="Open Sans"/>
        </w:rPr>
        <w:t>technical training</w:t>
      </w:r>
      <w:r w:rsidRPr="00120148">
        <w:rPr>
          <w:rFonts w:ascii="Open Sans" w:hAnsi="Open Sans" w:cs="Open Sans"/>
        </w:rPr>
        <w:t xml:space="preserve"> and services required for our training programs.</w:t>
      </w:r>
    </w:p>
    <w:p w14:paraId="5D31FD25"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 maintain ethical and sustainable practices throughout our supply chain.</w:t>
      </w:r>
    </w:p>
    <w:p w14:paraId="61C95A58"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 minimize risks and disruptions in the supply chain that may affect our ability to deliver our services.</w:t>
      </w:r>
    </w:p>
    <w:p w14:paraId="049BBD03"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 foster positive relationships with suppliers based on mutual respect, fairness, and integrity.</w:t>
      </w:r>
    </w:p>
    <w:p w14:paraId="65AEC3CD"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 continuously improve our supply chain processes to enhance efficiency and effectiveness.</w:t>
      </w:r>
    </w:p>
    <w:p w14:paraId="2BD7A0FA" w14:textId="77777777" w:rsidR="00AC0D59" w:rsidRDefault="00AC0D59" w:rsidP="00120148">
      <w:pPr>
        <w:pStyle w:val="NoSpacing"/>
        <w:jc w:val="both"/>
        <w:rPr>
          <w:rFonts w:ascii="Open Sans" w:hAnsi="Open Sans" w:cs="Open Sans"/>
        </w:rPr>
      </w:pPr>
    </w:p>
    <w:p w14:paraId="7C9A73A6" w14:textId="3F8D53E0" w:rsidR="00120148" w:rsidRPr="00120148" w:rsidRDefault="00120148" w:rsidP="00120148">
      <w:pPr>
        <w:pStyle w:val="NoSpacing"/>
        <w:jc w:val="both"/>
        <w:rPr>
          <w:rFonts w:ascii="Open Sans" w:hAnsi="Open Sans" w:cs="Open Sans"/>
        </w:rPr>
      </w:pPr>
      <w:r w:rsidRPr="00120148">
        <w:rPr>
          <w:rFonts w:ascii="Open Sans" w:hAnsi="Open Sans" w:cs="Open Sans"/>
        </w:rPr>
        <w:t>3. Compliance with Laws and Regulations</w:t>
      </w:r>
    </w:p>
    <w:p w14:paraId="4C53A1E3" w14:textId="77777777" w:rsidR="00120148" w:rsidRPr="00120148" w:rsidRDefault="00120148" w:rsidP="00120148">
      <w:pPr>
        <w:pStyle w:val="NoSpacing"/>
        <w:jc w:val="both"/>
        <w:rPr>
          <w:rFonts w:ascii="Open Sans" w:hAnsi="Open Sans" w:cs="Open Sans"/>
        </w:rPr>
      </w:pPr>
    </w:p>
    <w:p w14:paraId="3F766199" w14:textId="5BCCD5FA" w:rsidR="00120148" w:rsidRPr="00120148" w:rsidRDefault="00120148" w:rsidP="00120148">
      <w:pPr>
        <w:pStyle w:val="NoSpacing"/>
        <w:jc w:val="both"/>
        <w:rPr>
          <w:rFonts w:ascii="Open Sans" w:hAnsi="Open Sans" w:cs="Open Sans"/>
        </w:rPr>
      </w:pPr>
      <w:r w:rsidRPr="00120148">
        <w:rPr>
          <w:rFonts w:ascii="Open Sans" w:hAnsi="Open Sans" w:cs="Open Sans"/>
        </w:rPr>
        <w:t>Total Futures is committed to complying with all applicable laws, regulations, and industry standards related to supply chain management. This includes but is not limited to labo</w:t>
      </w:r>
      <w:r w:rsidR="00C34E29">
        <w:rPr>
          <w:rFonts w:ascii="Open Sans" w:hAnsi="Open Sans" w:cs="Open Sans"/>
        </w:rPr>
        <w:t>u</w:t>
      </w:r>
      <w:r w:rsidRPr="00120148">
        <w:rPr>
          <w:rFonts w:ascii="Open Sans" w:hAnsi="Open Sans" w:cs="Open Sans"/>
        </w:rPr>
        <w:t>r laws, environmental regulations, and ethical sourcing practices.</w:t>
      </w:r>
    </w:p>
    <w:p w14:paraId="3B8B0625" w14:textId="77777777" w:rsidR="00120148" w:rsidRPr="00120148" w:rsidRDefault="00120148" w:rsidP="00120148">
      <w:pPr>
        <w:pStyle w:val="NoSpacing"/>
        <w:jc w:val="both"/>
        <w:rPr>
          <w:rFonts w:ascii="Open Sans" w:hAnsi="Open Sans" w:cs="Open Sans"/>
        </w:rPr>
      </w:pPr>
    </w:p>
    <w:p w14:paraId="5F7791EE"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4. Supplier Selection and Evaluation</w:t>
      </w:r>
    </w:p>
    <w:p w14:paraId="09264529" w14:textId="77777777" w:rsidR="00120148" w:rsidRPr="00120148" w:rsidRDefault="00120148" w:rsidP="00120148">
      <w:pPr>
        <w:pStyle w:val="NoSpacing"/>
        <w:jc w:val="both"/>
        <w:rPr>
          <w:rFonts w:ascii="Open Sans" w:hAnsi="Open Sans" w:cs="Open Sans"/>
        </w:rPr>
      </w:pPr>
    </w:p>
    <w:p w14:paraId="1C37E660"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will select suppliers based on their ability to meet our quality standards, delivery requirements, and pricing expectations.</w:t>
      </w:r>
    </w:p>
    <w:p w14:paraId="278DB85C"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Suppliers will be evaluated periodically based on key performance indicators (KPIs) such as quality, delivery time, responsiveness, and adherence to ethical standards.</w:t>
      </w:r>
    </w:p>
    <w:p w14:paraId="02E65FD7"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We will give preference to suppliers who demonstrate a commitment to sustainability, diversity, and social responsibility.</w:t>
      </w:r>
    </w:p>
    <w:p w14:paraId="50A9A587" w14:textId="77777777" w:rsidR="00D81804" w:rsidRDefault="00D81804" w:rsidP="00120148">
      <w:pPr>
        <w:pStyle w:val="NoSpacing"/>
        <w:jc w:val="both"/>
        <w:rPr>
          <w:rFonts w:ascii="Open Sans" w:hAnsi="Open Sans" w:cs="Open Sans"/>
        </w:rPr>
      </w:pPr>
    </w:p>
    <w:p w14:paraId="5AF77A58" w14:textId="7E52FC65" w:rsidR="00120148" w:rsidRPr="00120148" w:rsidRDefault="00120148" w:rsidP="00120148">
      <w:pPr>
        <w:pStyle w:val="NoSpacing"/>
        <w:jc w:val="both"/>
        <w:rPr>
          <w:rFonts w:ascii="Open Sans" w:hAnsi="Open Sans" w:cs="Open Sans"/>
        </w:rPr>
      </w:pPr>
      <w:r w:rsidRPr="00120148">
        <w:rPr>
          <w:rFonts w:ascii="Open Sans" w:hAnsi="Open Sans" w:cs="Open Sans"/>
        </w:rPr>
        <w:t>5. Ethical Sourcing</w:t>
      </w:r>
    </w:p>
    <w:p w14:paraId="631D677F" w14:textId="77777777" w:rsidR="00120148" w:rsidRPr="00120148" w:rsidRDefault="00120148" w:rsidP="00120148">
      <w:pPr>
        <w:pStyle w:val="NoSpacing"/>
        <w:jc w:val="both"/>
        <w:rPr>
          <w:rFonts w:ascii="Open Sans" w:hAnsi="Open Sans" w:cs="Open Sans"/>
        </w:rPr>
      </w:pPr>
    </w:p>
    <w:p w14:paraId="7A1868B2" w14:textId="4C7EBCE3" w:rsidR="00120148" w:rsidRPr="00120148" w:rsidRDefault="00120148" w:rsidP="00120148">
      <w:pPr>
        <w:pStyle w:val="NoSpacing"/>
        <w:jc w:val="both"/>
        <w:rPr>
          <w:rFonts w:ascii="Open Sans" w:hAnsi="Open Sans" w:cs="Open Sans"/>
        </w:rPr>
      </w:pPr>
      <w:r w:rsidRPr="00120148">
        <w:rPr>
          <w:rFonts w:ascii="Open Sans" w:hAnsi="Open Sans" w:cs="Open Sans"/>
        </w:rPr>
        <w:t xml:space="preserve">Total Futures expects all suppliers to adhere to ethical business practices, including but not limited to fair </w:t>
      </w:r>
      <w:r w:rsidR="00C34E29" w:rsidRPr="00120148">
        <w:rPr>
          <w:rFonts w:ascii="Open Sans" w:hAnsi="Open Sans" w:cs="Open Sans"/>
        </w:rPr>
        <w:t>labour</w:t>
      </w:r>
      <w:r w:rsidRPr="00120148">
        <w:rPr>
          <w:rFonts w:ascii="Open Sans" w:hAnsi="Open Sans" w:cs="Open Sans"/>
        </w:rPr>
        <w:t xml:space="preserve"> practices, anti-corruption policies, and respect for human rights.</w:t>
      </w:r>
    </w:p>
    <w:p w14:paraId="157574A5" w14:textId="48934FA2" w:rsidR="00120148" w:rsidRPr="00120148" w:rsidRDefault="00120148" w:rsidP="00120148">
      <w:pPr>
        <w:pStyle w:val="NoSpacing"/>
        <w:jc w:val="both"/>
        <w:rPr>
          <w:rFonts w:ascii="Open Sans" w:hAnsi="Open Sans" w:cs="Open Sans"/>
        </w:rPr>
      </w:pPr>
      <w:r w:rsidRPr="00120148">
        <w:rPr>
          <w:rFonts w:ascii="Open Sans" w:hAnsi="Open Sans" w:cs="Open Sans"/>
        </w:rPr>
        <w:t xml:space="preserve">Suppliers must ensure that their products and services are produced in compliance with applicable laws and regulations, including those related to </w:t>
      </w:r>
      <w:r w:rsidR="00C34E29" w:rsidRPr="00120148">
        <w:rPr>
          <w:rFonts w:ascii="Open Sans" w:hAnsi="Open Sans" w:cs="Open Sans"/>
        </w:rPr>
        <w:t>labour</w:t>
      </w:r>
      <w:r w:rsidRPr="00120148">
        <w:rPr>
          <w:rFonts w:ascii="Open Sans" w:hAnsi="Open Sans" w:cs="Open Sans"/>
        </w:rPr>
        <w:t>, health, safety, and the environment.</w:t>
      </w:r>
    </w:p>
    <w:p w14:paraId="56089AB5" w14:textId="24FEBE07" w:rsidR="00120148" w:rsidRPr="00120148" w:rsidRDefault="00120148" w:rsidP="00120148">
      <w:pPr>
        <w:pStyle w:val="NoSpacing"/>
        <w:jc w:val="both"/>
        <w:rPr>
          <w:rFonts w:ascii="Open Sans" w:hAnsi="Open Sans" w:cs="Open Sans"/>
        </w:rPr>
      </w:pPr>
      <w:r w:rsidRPr="00120148">
        <w:rPr>
          <w:rFonts w:ascii="Open Sans" w:hAnsi="Open Sans" w:cs="Open Sans"/>
        </w:rPr>
        <w:lastRenderedPageBreak/>
        <w:t>Total Futures will not engage with suppliers who use child labo</w:t>
      </w:r>
      <w:r w:rsidR="00C34E29">
        <w:rPr>
          <w:rFonts w:ascii="Open Sans" w:hAnsi="Open Sans" w:cs="Open Sans"/>
        </w:rPr>
        <w:t>u</w:t>
      </w:r>
      <w:r w:rsidRPr="00120148">
        <w:rPr>
          <w:rFonts w:ascii="Open Sans" w:hAnsi="Open Sans" w:cs="Open Sans"/>
        </w:rPr>
        <w:t xml:space="preserve">r, forced </w:t>
      </w:r>
      <w:r w:rsidR="00C34E29" w:rsidRPr="00120148">
        <w:rPr>
          <w:rFonts w:ascii="Open Sans" w:hAnsi="Open Sans" w:cs="Open Sans"/>
        </w:rPr>
        <w:t>labour</w:t>
      </w:r>
      <w:r w:rsidRPr="00120148">
        <w:rPr>
          <w:rFonts w:ascii="Open Sans" w:hAnsi="Open Sans" w:cs="Open Sans"/>
        </w:rPr>
        <w:t>, or engage in any form of discrimination or harassment.</w:t>
      </w:r>
    </w:p>
    <w:p w14:paraId="6F417184" w14:textId="77777777" w:rsidR="00AC0D59" w:rsidRDefault="00AC0D59" w:rsidP="00120148">
      <w:pPr>
        <w:pStyle w:val="NoSpacing"/>
        <w:jc w:val="both"/>
        <w:rPr>
          <w:rFonts w:ascii="Open Sans" w:hAnsi="Open Sans" w:cs="Open Sans"/>
        </w:rPr>
      </w:pPr>
    </w:p>
    <w:p w14:paraId="2323F782" w14:textId="0A47602E" w:rsidR="00120148" w:rsidRPr="00120148" w:rsidRDefault="00120148" w:rsidP="00120148">
      <w:pPr>
        <w:pStyle w:val="NoSpacing"/>
        <w:jc w:val="both"/>
        <w:rPr>
          <w:rFonts w:ascii="Open Sans" w:hAnsi="Open Sans" w:cs="Open Sans"/>
        </w:rPr>
      </w:pPr>
      <w:r w:rsidRPr="00120148">
        <w:rPr>
          <w:rFonts w:ascii="Open Sans" w:hAnsi="Open Sans" w:cs="Open Sans"/>
        </w:rPr>
        <w:t>6. Environmental Sustainability</w:t>
      </w:r>
    </w:p>
    <w:p w14:paraId="35DB0354" w14:textId="77777777" w:rsidR="00120148" w:rsidRPr="00120148" w:rsidRDefault="00120148" w:rsidP="00120148">
      <w:pPr>
        <w:pStyle w:val="NoSpacing"/>
        <w:jc w:val="both"/>
        <w:rPr>
          <w:rFonts w:ascii="Open Sans" w:hAnsi="Open Sans" w:cs="Open Sans"/>
        </w:rPr>
      </w:pPr>
    </w:p>
    <w:p w14:paraId="2E1B83D6"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is committed to minimizing its environmental impact by promoting sustainable practices throughout its supply chain.</w:t>
      </w:r>
    </w:p>
    <w:p w14:paraId="709D65CE"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Suppliers are encouraged to minimize waste, reduce energy consumption, and implement environmentally friendly production processes.</w:t>
      </w:r>
    </w:p>
    <w:p w14:paraId="61579176"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will give preference to suppliers who offer environmentally sustainable products and services and demonstrate a commitment to environmental stewardship.</w:t>
      </w:r>
    </w:p>
    <w:p w14:paraId="4B4C8A5E" w14:textId="77777777" w:rsidR="00AC0D59" w:rsidRDefault="00AC0D59" w:rsidP="00120148">
      <w:pPr>
        <w:pStyle w:val="NoSpacing"/>
        <w:jc w:val="both"/>
        <w:rPr>
          <w:rFonts w:ascii="Open Sans" w:hAnsi="Open Sans" w:cs="Open Sans"/>
        </w:rPr>
      </w:pPr>
    </w:p>
    <w:p w14:paraId="77743EFF" w14:textId="3CACC69F" w:rsidR="00120148" w:rsidRPr="00120148" w:rsidRDefault="00120148" w:rsidP="00120148">
      <w:pPr>
        <w:pStyle w:val="NoSpacing"/>
        <w:jc w:val="both"/>
        <w:rPr>
          <w:rFonts w:ascii="Open Sans" w:hAnsi="Open Sans" w:cs="Open Sans"/>
        </w:rPr>
      </w:pPr>
      <w:r w:rsidRPr="00120148">
        <w:rPr>
          <w:rFonts w:ascii="Open Sans" w:hAnsi="Open Sans" w:cs="Open Sans"/>
        </w:rPr>
        <w:t>7. Risk Management</w:t>
      </w:r>
    </w:p>
    <w:p w14:paraId="41A1A264" w14:textId="77777777" w:rsidR="00120148" w:rsidRPr="00120148" w:rsidRDefault="00120148" w:rsidP="00120148">
      <w:pPr>
        <w:pStyle w:val="NoSpacing"/>
        <w:jc w:val="both"/>
        <w:rPr>
          <w:rFonts w:ascii="Open Sans" w:hAnsi="Open Sans" w:cs="Open Sans"/>
        </w:rPr>
      </w:pPr>
    </w:p>
    <w:p w14:paraId="70DFA394"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will identify, assess, and mitigate risks in its supply chain to minimize disruptions to its operations.</w:t>
      </w:r>
    </w:p>
    <w:p w14:paraId="4E934905"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We will work closely with suppliers to develop contingency plans and alternative sourcing strategies to address potential risks such as supply shortages, natural disasters, and geopolitical instability.</w:t>
      </w:r>
    </w:p>
    <w:p w14:paraId="03652028"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will maintain adequate inventory levels of critical materials and establish alternative supply sources whenever possible to reduce dependency on single suppliers.</w:t>
      </w:r>
    </w:p>
    <w:p w14:paraId="0A7E47F0" w14:textId="77777777" w:rsidR="00AC0D59" w:rsidRDefault="00AC0D59" w:rsidP="00120148">
      <w:pPr>
        <w:pStyle w:val="NoSpacing"/>
        <w:jc w:val="both"/>
        <w:rPr>
          <w:rFonts w:ascii="Open Sans" w:hAnsi="Open Sans" w:cs="Open Sans"/>
        </w:rPr>
      </w:pPr>
    </w:p>
    <w:p w14:paraId="598F621E" w14:textId="5265125C" w:rsidR="00120148" w:rsidRPr="00120148" w:rsidRDefault="00120148" w:rsidP="00120148">
      <w:pPr>
        <w:pStyle w:val="NoSpacing"/>
        <w:jc w:val="both"/>
        <w:rPr>
          <w:rFonts w:ascii="Open Sans" w:hAnsi="Open Sans" w:cs="Open Sans"/>
        </w:rPr>
      </w:pPr>
      <w:r w:rsidRPr="00120148">
        <w:rPr>
          <w:rFonts w:ascii="Open Sans" w:hAnsi="Open Sans" w:cs="Open Sans"/>
        </w:rPr>
        <w:t>8. Continuous Improvement</w:t>
      </w:r>
    </w:p>
    <w:p w14:paraId="6CB3EC97" w14:textId="77777777" w:rsidR="00120148" w:rsidRPr="00120148" w:rsidRDefault="00120148" w:rsidP="00120148">
      <w:pPr>
        <w:pStyle w:val="NoSpacing"/>
        <w:jc w:val="both"/>
        <w:rPr>
          <w:rFonts w:ascii="Open Sans" w:hAnsi="Open Sans" w:cs="Open Sans"/>
        </w:rPr>
      </w:pPr>
    </w:p>
    <w:p w14:paraId="4D8858F0"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is committed to continuously improving its supply chain processes to enhance efficiency, reduce costs, and improve customer satisfaction.</w:t>
      </w:r>
    </w:p>
    <w:p w14:paraId="02C8C13D"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We will regularly review and update our policies and procedures based on feedback from stakeholders, changes in market conditions, and emerging best practices.</w:t>
      </w:r>
    </w:p>
    <w:p w14:paraId="6AA9F0AA"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will invest in technology and training to optimize supply chain performance and foster innovation in our operations.</w:t>
      </w:r>
    </w:p>
    <w:p w14:paraId="2838CE8F" w14:textId="77777777" w:rsidR="00AC0D59" w:rsidRDefault="00AC0D59" w:rsidP="00120148">
      <w:pPr>
        <w:pStyle w:val="NoSpacing"/>
        <w:jc w:val="both"/>
        <w:rPr>
          <w:rFonts w:ascii="Open Sans" w:hAnsi="Open Sans" w:cs="Open Sans"/>
        </w:rPr>
      </w:pPr>
    </w:p>
    <w:p w14:paraId="148289BF" w14:textId="299A86F9" w:rsidR="00120148" w:rsidRPr="00120148" w:rsidRDefault="00120148" w:rsidP="00120148">
      <w:pPr>
        <w:pStyle w:val="NoSpacing"/>
        <w:jc w:val="both"/>
        <w:rPr>
          <w:rFonts w:ascii="Open Sans" w:hAnsi="Open Sans" w:cs="Open Sans"/>
        </w:rPr>
      </w:pPr>
      <w:r w:rsidRPr="00120148">
        <w:rPr>
          <w:rFonts w:ascii="Open Sans" w:hAnsi="Open Sans" w:cs="Open Sans"/>
        </w:rPr>
        <w:t>9. Communication and Collaboration</w:t>
      </w:r>
    </w:p>
    <w:p w14:paraId="6EEB22A6" w14:textId="77777777" w:rsidR="00120148" w:rsidRPr="00120148" w:rsidRDefault="00120148" w:rsidP="00120148">
      <w:pPr>
        <w:pStyle w:val="NoSpacing"/>
        <w:jc w:val="both"/>
        <w:rPr>
          <w:rFonts w:ascii="Open Sans" w:hAnsi="Open Sans" w:cs="Open Sans"/>
        </w:rPr>
      </w:pPr>
    </w:p>
    <w:p w14:paraId="4D9D3855"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will maintain open and transparent communication channels with suppliers, employees, customers, and other stakeholders.</w:t>
      </w:r>
    </w:p>
    <w:p w14:paraId="238702CD"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We will collaborate with suppliers to identify opportunities for improvement, resolve issues, and drive innovation in our supply chain.</w:t>
      </w:r>
    </w:p>
    <w:p w14:paraId="0D8337DC" w14:textId="77777777" w:rsidR="00120148" w:rsidRPr="00120148" w:rsidRDefault="00120148" w:rsidP="00120148">
      <w:pPr>
        <w:pStyle w:val="NoSpacing"/>
        <w:jc w:val="both"/>
        <w:rPr>
          <w:rFonts w:ascii="Open Sans" w:hAnsi="Open Sans" w:cs="Open Sans"/>
        </w:rPr>
      </w:pPr>
      <w:r w:rsidRPr="00120148">
        <w:rPr>
          <w:rFonts w:ascii="Open Sans" w:hAnsi="Open Sans" w:cs="Open Sans"/>
        </w:rPr>
        <w:t>Total Futures will promote a culture of partnership and collaboration based on trust, respect, and mutual benefit.</w:t>
      </w:r>
    </w:p>
    <w:p w14:paraId="3F18B6C3" w14:textId="77777777" w:rsidR="00AC0D59" w:rsidRDefault="00AC0D59" w:rsidP="00120148">
      <w:pPr>
        <w:pStyle w:val="NoSpacing"/>
        <w:jc w:val="both"/>
        <w:rPr>
          <w:rFonts w:ascii="Open Sans" w:hAnsi="Open Sans" w:cs="Open Sans"/>
        </w:rPr>
      </w:pPr>
    </w:p>
    <w:p w14:paraId="7E02AE09" w14:textId="2658FE18" w:rsidR="00120148" w:rsidRPr="00120148" w:rsidRDefault="00120148" w:rsidP="00120148">
      <w:pPr>
        <w:pStyle w:val="NoSpacing"/>
        <w:jc w:val="both"/>
        <w:rPr>
          <w:rFonts w:ascii="Open Sans" w:hAnsi="Open Sans" w:cs="Open Sans"/>
        </w:rPr>
      </w:pPr>
      <w:r w:rsidRPr="00120148">
        <w:rPr>
          <w:rFonts w:ascii="Open Sans" w:hAnsi="Open Sans" w:cs="Open Sans"/>
        </w:rPr>
        <w:t>10. Conclusion</w:t>
      </w:r>
    </w:p>
    <w:p w14:paraId="47DB9B89" w14:textId="77777777" w:rsidR="00120148" w:rsidRPr="00120148" w:rsidRDefault="00120148" w:rsidP="00120148">
      <w:pPr>
        <w:pStyle w:val="NoSpacing"/>
        <w:jc w:val="both"/>
        <w:rPr>
          <w:rFonts w:ascii="Open Sans" w:hAnsi="Open Sans" w:cs="Open Sans"/>
        </w:rPr>
      </w:pPr>
    </w:p>
    <w:p w14:paraId="23759973" w14:textId="4EEAB1CF" w:rsidR="004F1962" w:rsidRPr="004F1962" w:rsidRDefault="00120148" w:rsidP="00120148">
      <w:pPr>
        <w:pStyle w:val="NoSpacing"/>
        <w:jc w:val="both"/>
        <w:rPr>
          <w:rFonts w:ascii="Open Sans" w:hAnsi="Open Sans" w:cs="Open Sans"/>
        </w:rPr>
      </w:pPr>
      <w:r w:rsidRPr="00120148">
        <w:rPr>
          <w:rFonts w:ascii="Open Sans" w:hAnsi="Open Sans" w:cs="Open Sans"/>
        </w:rPr>
        <w:t xml:space="preserve">Total Futures is committed to building a responsible and sustainable supply chain that supports our mission of providing high-quality skills bootcamp training programs. By </w:t>
      </w:r>
      <w:r w:rsidRPr="00120148">
        <w:rPr>
          <w:rFonts w:ascii="Open Sans" w:hAnsi="Open Sans" w:cs="Open Sans"/>
        </w:rPr>
        <w:lastRenderedPageBreak/>
        <w:t>adhering to the principles outlined in this policy, we will ensure the integrity, efficiency, and resilience of our supply chain while upholding the highest standards of ethical conduct and environmental stewardship.</w:t>
      </w:r>
    </w:p>
    <w:p w14:paraId="56975120" w14:textId="77777777" w:rsidR="000D7BD7" w:rsidRDefault="000D7BD7" w:rsidP="00A66865">
      <w:pPr>
        <w:pStyle w:val="NoSpacing"/>
        <w:jc w:val="both"/>
        <w:rPr>
          <w:rFonts w:ascii="Open Sans" w:hAnsi="Open Sans" w:cs="Open Sans"/>
        </w:rPr>
      </w:pPr>
    </w:p>
    <w:p w14:paraId="5EA3B3C6" w14:textId="77777777" w:rsidR="009C5CA1" w:rsidRDefault="009C5CA1" w:rsidP="00A66865">
      <w:pPr>
        <w:pStyle w:val="NoSpacing"/>
        <w:jc w:val="both"/>
        <w:rPr>
          <w:rFonts w:ascii="Open Sans" w:hAnsi="Open Sans" w:cs="Open Sans"/>
        </w:rPr>
      </w:pPr>
    </w:p>
    <w:p w14:paraId="02031C7B" w14:textId="77777777" w:rsidR="009C5CA1" w:rsidRPr="00093756" w:rsidRDefault="009C5CA1" w:rsidP="00A66865">
      <w:pPr>
        <w:pStyle w:val="NoSpacing"/>
        <w:jc w:val="both"/>
        <w:rPr>
          <w:rFonts w:ascii="Open Sans" w:hAnsi="Open Sans" w:cs="Open Sans"/>
        </w:rPr>
      </w:pPr>
    </w:p>
    <w:p w14:paraId="4002B2F8"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Version Control </w:t>
      </w:r>
    </w:p>
    <w:p w14:paraId="4298A5D7" w14:textId="77777777" w:rsidR="00E4549F" w:rsidRPr="00093756" w:rsidRDefault="00E4549F" w:rsidP="00A66865">
      <w:pPr>
        <w:rPr>
          <w:rFonts w:ascii="Open Sans" w:eastAsiaTheme="minorEastAsia" w:hAnsi="Open Sans" w:cs="Open Sans"/>
          <w:b/>
          <w:bCs/>
          <w:lang w:eastAsia="en-GB"/>
        </w:rPr>
      </w:pPr>
    </w:p>
    <w:tbl>
      <w:tblPr>
        <w:tblStyle w:val="TableGrid"/>
        <w:tblW w:w="0" w:type="auto"/>
        <w:tblLook w:val="04A0" w:firstRow="1" w:lastRow="0" w:firstColumn="1" w:lastColumn="0" w:noHBand="0" w:noVBand="1"/>
      </w:tblPr>
      <w:tblGrid>
        <w:gridCol w:w="4508"/>
        <w:gridCol w:w="4508"/>
      </w:tblGrid>
      <w:tr w:rsidR="00E4549F" w:rsidRPr="00093756" w14:paraId="16D68372" w14:textId="77777777" w:rsidTr="00930E50">
        <w:tc>
          <w:tcPr>
            <w:tcW w:w="4508" w:type="dxa"/>
          </w:tcPr>
          <w:p w14:paraId="751F097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Version History</w:t>
            </w:r>
          </w:p>
        </w:tc>
        <w:tc>
          <w:tcPr>
            <w:tcW w:w="4508" w:type="dxa"/>
          </w:tcPr>
          <w:p w14:paraId="42BAE45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Content Changed</w:t>
            </w:r>
          </w:p>
        </w:tc>
      </w:tr>
      <w:tr w:rsidR="00E93F38" w:rsidRPr="00093756" w14:paraId="21C4741C" w14:textId="77777777" w:rsidTr="00930E50">
        <w:tc>
          <w:tcPr>
            <w:tcW w:w="4508" w:type="dxa"/>
          </w:tcPr>
          <w:p w14:paraId="3E7D7BD7" w14:textId="2DBF8569" w:rsidR="00E93F38" w:rsidRPr="00A66865" w:rsidRDefault="00E93F38" w:rsidP="00E93F38">
            <w:pPr>
              <w:ind w:left="360"/>
              <w:rPr>
                <w:rFonts w:ascii="Open Sans" w:eastAsiaTheme="minorEastAsia" w:hAnsi="Open Sans" w:cs="Open Sans"/>
                <w:lang w:eastAsia="en-GB"/>
              </w:rPr>
            </w:pPr>
            <w:r w:rsidRPr="00C91CF2">
              <w:t>1 – Ju</w:t>
            </w:r>
            <w:r w:rsidR="00270B02">
              <w:t>ne 2023</w:t>
            </w:r>
          </w:p>
        </w:tc>
        <w:tc>
          <w:tcPr>
            <w:tcW w:w="4508" w:type="dxa"/>
          </w:tcPr>
          <w:p w14:paraId="6F04AF42" w14:textId="6ACE5FF9" w:rsidR="00E93F38" w:rsidRPr="00A66865" w:rsidRDefault="00E93F38" w:rsidP="00E93F38">
            <w:pPr>
              <w:ind w:left="360"/>
              <w:rPr>
                <w:rFonts w:ascii="Open Sans" w:eastAsiaTheme="minorEastAsia" w:hAnsi="Open Sans" w:cs="Open Sans"/>
                <w:lang w:eastAsia="en-GB"/>
              </w:rPr>
            </w:pPr>
            <w:r w:rsidRPr="00C91CF2">
              <w:t>Policy produced</w:t>
            </w:r>
          </w:p>
        </w:tc>
      </w:tr>
      <w:tr w:rsidR="00E93F38" w:rsidRPr="00093756" w14:paraId="345D7AF8" w14:textId="77777777" w:rsidTr="00930E50">
        <w:tc>
          <w:tcPr>
            <w:tcW w:w="4508" w:type="dxa"/>
          </w:tcPr>
          <w:p w14:paraId="08A716D7" w14:textId="61767061" w:rsidR="00E93F38" w:rsidRPr="00A66865" w:rsidRDefault="00E93F38" w:rsidP="00E93F38">
            <w:pPr>
              <w:ind w:left="360"/>
              <w:rPr>
                <w:rFonts w:ascii="Open Sans" w:eastAsiaTheme="minorEastAsia" w:hAnsi="Open Sans" w:cs="Open Sans"/>
                <w:lang w:eastAsia="en-GB"/>
              </w:rPr>
            </w:pPr>
          </w:p>
        </w:tc>
        <w:tc>
          <w:tcPr>
            <w:tcW w:w="4508" w:type="dxa"/>
          </w:tcPr>
          <w:p w14:paraId="0D23E038" w14:textId="68A6C8E9" w:rsidR="00E93F38" w:rsidRPr="00A66865" w:rsidRDefault="00E93F38" w:rsidP="00E93F38">
            <w:pPr>
              <w:ind w:left="360"/>
              <w:rPr>
                <w:rFonts w:ascii="Open Sans" w:eastAsiaTheme="minorEastAsia" w:hAnsi="Open Sans" w:cs="Open Sans"/>
                <w:lang w:eastAsia="en-GB"/>
              </w:rPr>
            </w:pPr>
          </w:p>
        </w:tc>
      </w:tr>
      <w:tr w:rsidR="005E553A" w:rsidRPr="00093756" w14:paraId="159AA094" w14:textId="77777777" w:rsidTr="00930E50">
        <w:tc>
          <w:tcPr>
            <w:tcW w:w="4508" w:type="dxa"/>
          </w:tcPr>
          <w:p w14:paraId="23AE2DCC" w14:textId="0CB8C88D" w:rsidR="005E553A" w:rsidRDefault="005E553A" w:rsidP="00A66865">
            <w:pPr>
              <w:ind w:left="360"/>
              <w:rPr>
                <w:rFonts w:ascii="Open Sans" w:eastAsiaTheme="minorEastAsia" w:hAnsi="Open Sans" w:cs="Open Sans"/>
                <w:lang w:eastAsia="en-GB"/>
              </w:rPr>
            </w:pPr>
          </w:p>
        </w:tc>
        <w:tc>
          <w:tcPr>
            <w:tcW w:w="4508" w:type="dxa"/>
          </w:tcPr>
          <w:p w14:paraId="6C1FA8C6" w14:textId="17C21BFF" w:rsidR="005E553A" w:rsidRDefault="005E553A" w:rsidP="00A66865">
            <w:pPr>
              <w:ind w:left="360"/>
              <w:rPr>
                <w:rFonts w:ascii="Open Sans" w:eastAsiaTheme="minorEastAsia" w:hAnsi="Open Sans" w:cs="Open Sans"/>
                <w:lang w:eastAsia="en-GB"/>
              </w:rPr>
            </w:pPr>
          </w:p>
        </w:tc>
      </w:tr>
    </w:tbl>
    <w:p w14:paraId="01433F89" w14:textId="77777777" w:rsidR="00E4549F" w:rsidRPr="00093756" w:rsidRDefault="00E4549F" w:rsidP="00A66865">
      <w:pPr>
        <w:rPr>
          <w:rFonts w:ascii="Open Sans" w:eastAsiaTheme="minorEastAsia" w:hAnsi="Open Sans" w:cs="Open Sans"/>
          <w:lang w:eastAsia="en-GB"/>
        </w:rPr>
      </w:pPr>
    </w:p>
    <w:p w14:paraId="0BE90A2B"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Review and Ratification</w:t>
      </w:r>
    </w:p>
    <w:tbl>
      <w:tblPr>
        <w:tblStyle w:val="TableGrid"/>
        <w:tblW w:w="0" w:type="auto"/>
        <w:tblLook w:val="04A0" w:firstRow="1" w:lastRow="0" w:firstColumn="1" w:lastColumn="0" w:noHBand="0" w:noVBand="1"/>
      </w:tblPr>
      <w:tblGrid>
        <w:gridCol w:w="4508"/>
        <w:gridCol w:w="4508"/>
      </w:tblGrid>
      <w:tr w:rsidR="00E4549F" w:rsidRPr="00093756" w14:paraId="211E50A4" w14:textId="77777777" w:rsidTr="00930E50">
        <w:tc>
          <w:tcPr>
            <w:tcW w:w="4508" w:type="dxa"/>
          </w:tcPr>
          <w:p w14:paraId="0637CB39"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Next Review Date</w:t>
            </w:r>
          </w:p>
        </w:tc>
        <w:tc>
          <w:tcPr>
            <w:tcW w:w="4508" w:type="dxa"/>
          </w:tcPr>
          <w:p w14:paraId="257C0025"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Reason for Review</w:t>
            </w:r>
          </w:p>
        </w:tc>
      </w:tr>
      <w:tr w:rsidR="00E4549F" w:rsidRPr="00093756" w14:paraId="489D2625" w14:textId="77777777" w:rsidTr="00930E50">
        <w:tc>
          <w:tcPr>
            <w:tcW w:w="4508" w:type="dxa"/>
          </w:tcPr>
          <w:p w14:paraId="23086076" w14:textId="7807DC6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June 202</w:t>
            </w:r>
            <w:r w:rsidR="00270B02">
              <w:rPr>
                <w:rFonts w:ascii="Open Sans" w:eastAsiaTheme="minorEastAsia" w:hAnsi="Open Sans" w:cs="Open Sans"/>
                <w:lang w:eastAsia="en-GB"/>
              </w:rPr>
              <w:t>4</w:t>
            </w:r>
          </w:p>
        </w:tc>
        <w:tc>
          <w:tcPr>
            <w:tcW w:w="4508" w:type="dxa"/>
          </w:tcPr>
          <w:p w14:paraId="13694588"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 xml:space="preserve">Full review </w:t>
            </w:r>
          </w:p>
        </w:tc>
      </w:tr>
    </w:tbl>
    <w:p w14:paraId="4FCD3052" w14:textId="77777777" w:rsidR="00E4549F" w:rsidRPr="00093756" w:rsidRDefault="00E4549F" w:rsidP="00A66865">
      <w:pPr>
        <w:rPr>
          <w:rFonts w:ascii="Open Sans" w:eastAsiaTheme="minorEastAsia" w:hAnsi="Open Sans" w:cs="Open Sans"/>
          <w:lang w:eastAsia="en-GB"/>
        </w:rPr>
      </w:pPr>
    </w:p>
    <w:p w14:paraId="0DC397E7" w14:textId="5E2A591C"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Dated:</w:t>
      </w:r>
      <w:r w:rsidRPr="00A66865">
        <w:rPr>
          <w:rFonts w:ascii="Open Sans" w:eastAsiaTheme="minorEastAsia" w:hAnsi="Open Sans" w:cs="Open Sans"/>
          <w:lang w:eastAsia="en-GB"/>
        </w:rPr>
        <w:t xml:space="preserve"> </w:t>
      </w:r>
      <w:r w:rsidR="00484A2E">
        <w:rPr>
          <w:rFonts w:ascii="Open Sans" w:eastAsiaTheme="minorEastAsia" w:hAnsi="Open Sans" w:cs="Open Sans"/>
          <w:lang w:eastAsia="en-GB"/>
        </w:rPr>
        <w:t>June</w:t>
      </w:r>
      <w:r w:rsidR="007529CC" w:rsidRPr="00A66865">
        <w:rPr>
          <w:rFonts w:ascii="Open Sans" w:eastAsiaTheme="minorEastAsia" w:hAnsi="Open Sans" w:cs="Open Sans"/>
          <w:lang w:eastAsia="en-GB"/>
        </w:rPr>
        <w:t xml:space="preserve"> 2023</w:t>
      </w:r>
    </w:p>
    <w:p w14:paraId="23A731CA" w14:textId="77777777" w:rsidR="00E4549F" w:rsidRPr="00093756" w:rsidRDefault="00E4549F" w:rsidP="00A66865">
      <w:pPr>
        <w:rPr>
          <w:rFonts w:ascii="Open Sans" w:eastAsiaTheme="minorEastAsia" w:hAnsi="Open Sans" w:cs="Open Sans"/>
          <w:lang w:eastAsia="en-GB"/>
        </w:rPr>
      </w:pPr>
    </w:p>
    <w:p w14:paraId="602DE70D" w14:textId="2DEF1E81"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Signed: </w:t>
      </w:r>
      <w:r w:rsidR="003F361A">
        <w:rPr>
          <w:noProof/>
          <w:lang w:eastAsia="en-GB"/>
        </w:rPr>
        <w:drawing>
          <wp:inline distT="0" distB="0" distL="0" distR="0" wp14:anchorId="4971FE99" wp14:editId="66442584">
            <wp:extent cx="777667" cy="742950"/>
            <wp:effectExtent l="0" t="0" r="3810" b="0"/>
            <wp:docPr id="3" name="Picture 3" descr="A spider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ider on a white su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80788" cy="745931"/>
                    </a:xfrm>
                    <a:prstGeom prst="rect">
                      <a:avLst/>
                    </a:prstGeom>
                  </pic:spPr>
                </pic:pic>
              </a:graphicData>
            </a:graphic>
          </wp:inline>
        </w:drawing>
      </w:r>
    </w:p>
    <w:p w14:paraId="5C05C14D" w14:textId="77777777" w:rsidR="00E4549F" w:rsidRPr="00093756" w:rsidRDefault="00E4549F" w:rsidP="00A66865">
      <w:pPr>
        <w:rPr>
          <w:rFonts w:ascii="Open Sans" w:eastAsiaTheme="minorEastAsia" w:hAnsi="Open Sans" w:cs="Open Sans"/>
          <w:lang w:eastAsia="en-GB"/>
        </w:rPr>
      </w:pPr>
    </w:p>
    <w:p w14:paraId="63D5902C" w14:textId="709FA04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Name:</w:t>
      </w:r>
      <w:r w:rsidRPr="00A66865">
        <w:rPr>
          <w:rFonts w:ascii="Open Sans" w:eastAsiaTheme="minorEastAsia" w:hAnsi="Open Sans" w:cs="Open Sans"/>
          <w:lang w:eastAsia="en-GB"/>
        </w:rPr>
        <w:t xml:space="preserve"> </w:t>
      </w:r>
      <w:r w:rsidR="007529CC" w:rsidRPr="00A66865">
        <w:rPr>
          <w:rFonts w:ascii="Open Sans" w:eastAsiaTheme="minorEastAsia" w:hAnsi="Open Sans" w:cs="Open Sans"/>
          <w:lang w:eastAsia="en-GB"/>
        </w:rPr>
        <w:t>Garry Brown</w:t>
      </w:r>
    </w:p>
    <w:p w14:paraId="7C1635FB" w14:textId="39B0B5EC" w:rsidR="00D61A13" w:rsidRPr="00A66865" w:rsidRDefault="00E4549F" w:rsidP="00A66865">
      <w:pPr>
        <w:ind w:left="360"/>
        <w:rPr>
          <w:rFonts w:ascii="Arial" w:hAnsi="Arial" w:cs="Arial"/>
          <w:sz w:val="20"/>
        </w:rPr>
      </w:pPr>
      <w:r w:rsidRPr="00A66865">
        <w:rPr>
          <w:rFonts w:ascii="Open Sans" w:eastAsiaTheme="minorEastAsia" w:hAnsi="Open Sans" w:cs="Open Sans"/>
          <w:b/>
          <w:bCs/>
          <w:lang w:eastAsia="en-GB"/>
        </w:rPr>
        <w:t>Position:</w:t>
      </w:r>
      <w:r w:rsidRPr="00A66865">
        <w:rPr>
          <w:rFonts w:ascii="Open Sans" w:eastAsiaTheme="minorEastAsia" w:hAnsi="Open Sans" w:cs="Open Sans"/>
          <w:lang w:eastAsia="en-GB"/>
        </w:rPr>
        <w:t xml:space="preserve"> Director</w:t>
      </w:r>
      <w:r w:rsidR="007529CC" w:rsidRPr="00A66865">
        <w:rPr>
          <w:rFonts w:ascii="Open Sans" w:eastAsiaTheme="minorEastAsia" w:hAnsi="Open Sans" w:cs="Open Sans"/>
          <w:lang w:eastAsia="en-GB"/>
        </w:rPr>
        <w:t xml:space="preserve"> of Skills</w:t>
      </w:r>
    </w:p>
    <w:sectPr w:rsidR="00D61A13" w:rsidRPr="00A66865">
      <w:headerReference w:type="default" r:id="rId11"/>
      <w:footerReference w:type="default" r:id="rId12"/>
      <w:pgSz w:w="11910" w:h="16840"/>
      <w:pgMar w:top="2000" w:right="1320" w:bottom="1420" w:left="1340" w:header="20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DB436" w14:textId="77777777" w:rsidR="00A9111A" w:rsidRDefault="00A9111A">
      <w:r>
        <w:separator/>
      </w:r>
    </w:p>
  </w:endnote>
  <w:endnote w:type="continuationSeparator" w:id="0">
    <w:p w14:paraId="43C6BBE2" w14:textId="77777777" w:rsidR="00A9111A" w:rsidRDefault="00A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CA894" w14:textId="6B69CDFC" w:rsidR="00D61A13" w:rsidRDefault="00DD1914">
    <w:pPr>
      <w:pStyle w:val="BodyText"/>
      <w:spacing w:line="14" w:lineRule="auto"/>
      <w:ind w:left="0"/>
      <w:rPr>
        <w:sz w:val="20"/>
      </w:rPr>
    </w:pPr>
    <w:r>
      <w:rPr>
        <w:noProof/>
      </w:rPr>
      <mc:AlternateContent>
        <mc:Choice Requires="wps">
          <w:drawing>
            <wp:anchor distT="0" distB="0" distL="114300" distR="114300" simplePos="0" relativeHeight="487512064" behindDoc="1" locked="0" layoutInCell="1" allowOverlap="1" wp14:anchorId="4817BDD2" wp14:editId="561F8580">
              <wp:simplePos x="0" y="0"/>
              <wp:positionH relativeFrom="page">
                <wp:posOffset>533400</wp:posOffset>
              </wp:positionH>
              <wp:positionV relativeFrom="page">
                <wp:posOffset>9944100</wp:posOffset>
              </wp:positionV>
              <wp:extent cx="1590675" cy="669290"/>
              <wp:effectExtent l="0" t="0" r="9525" b="1651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BDD2" id="_x0000_t202" coordsize="21600,21600" o:spt="202" path="m,l,21600r21600,l21600,xe">
              <v:stroke joinstyle="miter"/>
              <v:path gradientshapeok="t" o:connecttype="rect"/>
            </v:shapetype>
            <v:shape id="docshape4" o:spid="_x0000_s1026" type="#_x0000_t202" style="position:absolute;margin-left:42pt;margin-top:783pt;width:125.25pt;height:5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" filled="f" stroked="f">
              <v:textbox inset="0,0,0,0">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v:textbox>
              <w10:wrap anchorx="page" anchory="page"/>
            </v:shape>
          </w:pict>
        </mc:Fallback>
      </mc:AlternateContent>
    </w:r>
    <w:r w:rsidR="00E82E53">
      <w:rPr>
        <w:noProof/>
      </w:rPr>
      <mc:AlternateContent>
        <mc:Choice Requires="wps">
          <w:drawing>
            <wp:anchor distT="0" distB="0" distL="114300" distR="114300" simplePos="0" relativeHeight="487511040" behindDoc="1" locked="0" layoutInCell="1" allowOverlap="1" wp14:anchorId="6110D1EF" wp14:editId="2083FC76">
              <wp:simplePos x="0" y="0"/>
              <wp:positionH relativeFrom="page">
                <wp:posOffset>0</wp:posOffset>
              </wp:positionH>
              <wp:positionV relativeFrom="page">
                <wp:posOffset>9782175</wp:posOffset>
              </wp:positionV>
              <wp:extent cx="7560310" cy="78740"/>
              <wp:effectExtent l="0" t="0" r="254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90AE1" id="docshape2" o:spid="_x0000_s1026" style="position:absolute;margin-left:0;margin-top:770.25pt;width:595.3pt;height:6.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" fillcolor="red" stroked="f">
              <w10:wrap anchorx="page" anchory="page"/>
            </v:rect>
          </w:pict>
        </mc:Fallback>
      </mc:AlternateContent>
    </w:r>
    <w:r w:rsidR="00E82E53">
      <w:rPr>
        <w:noProof/>
      </w:rPr>
      <mc:AlternateContent>
        <mc:Choice Requires="wps">
          <w:drawing>
            <wp:anchor distT="0" distB="0" distL="114300" distR="114300" simplePos="0" relativeHeight="487511552" behindDoc="1" locked="0" layoutInCell="1" allowOverlap="1" wp14:anchorId="5D52AF30" wp14:editId="61571588">
              <wp:simplePos x="0" y="0"/>
              <wp:positionH relativeFrom="page">
                <wp:posOffset>5631815</wp:posOffset>
              </wp:positionH>
              <wp:positionV relativeFrom="page">
                <wp:posOffset>9922510</wp:posOffset>
              </wp:positionV>
              <wp:extent cx="1592580" cy="688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B059" w14:textId="067360AF" w:rsidR="00D61A13" w:rsidRDefault="00000000">
                          <w:pPr>
                            <w:spacing w:before="19" w:line="256" w:lineRule="auto"/>
                            <w:ind w:left="77" w:right="18" w:hanging="58"/>
                            <w:jc w:val="right"/>
                            <w:rPr>
                              <w:rFonts w:ascii="Abel"/>
                              <w:sz w:val="26"/>
                            </w:rPr>
                          </w:pPr>
                          <w:hyperlink r:id="rId1"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F30" id="docshape3" o:spid="_x0000_s1027" type="#_x0000_t202" style="position:absolute;margin-left:443.45pt;margin-top:781.3pt;width:125.4pt;height:54.2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J2AEAAJgDAAAOAAAAZHJzL2Uyb0RvYy54bWysU1Fv0zAQfkfiP1h+p2kLm0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" filled="f" stroked="f">
              <v:textbox inset="0,0,0,0">
                <w:txbxContent>
                  <w:p w14:paraId="674FB059" w14:textId="067360AF" w:rsidR="00D61A13" w:rsidRDefault="00000000">
                    <w:pPr>
                      <w:spacing w:before="19" w:line="256" w:lineRule="auto"/>
                      <w:ind w:left="77" w:right="18" w:hanging="58"/>
                      <w:jc w:val="right"/>
                      <w:rPr>
                        <w:rFonts w:ascii="Abel"/>
                        <w:sz w:val="26"/>
                      </w:rPr>
                    </w:pPr>
                    <w:hyperlink r:id="rId2"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4C825" w14:textId="77777777" w:rsidR="00A9111A" w:rsidRDefault="00A9111A">
      <w:r>
        <w:separator/>
      </w:r>
    </w:p>
  </w:footnote>
  <w:footnote w:type="continuationSeparator" w:id="0">
    <w:p w14:paraId="12F64A8D" w14:textId="77777777" w:rsidR="00A9111A" w:rsidRDefault="00A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B369F" w14:textId="6FDF1EEE" w:rsidR="00866DD3" w:rsidRDefault="00DD1914" w:rsidP="00866DD3">
    <w:pPr>
      <w:pStyle w:val="Footer"/>
      <w:ind w:left="720"/>
      <w:jc w:val="center"/>
      <w:rPr>
        <w:rFonts w:ascii="Britannic Bold" w:hAnsi="Britannic Bold"/>
        <w:sz w:val="36"/>
        <w:szCs w:val="36"/>
      </w:rPr>
    </w:pPr>
    <w:r>
      <w:rPr>
        <w:noProof/>
      </w:rPr>
      <w:drawing>
        <wp:anchor distT="0" distB="0" distL="114300" distR="114300" simplePos="0" relativeHeight="487513088" behindDoc="0" locked="0" layoutInCell="1" allowOverlap="1" wp14:anchorId="19E909A2" wp14:editId="5DB2790F">
          <wp:simplePos x="0" y="0"/>
          <wp:positionH relativeFrom="margin">
            <wp:align>center</wp:align>
          </wp:positionH>
          <wp:positionV relativeFrom="paragraph">
            <wp:posOffset>137160</wp:posOffset>
          </wp:positionV>
          <wp:extent cx="2191056" cy="39058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91056" cy="390580"/>
                  </a:xfrm>
                  <a:prstGeom prst="rect">
                    <a:avLst/>
                  </a:prstGeom>
                </pic:spPr>
              </pic:pic>
            </a:graphicData>
          </a:graphic>
        </wp:anchor>
      </w:drawing>
    </w:r>
  </w:p>
  <w:p w14:paraId="41E04C9D" w14:textId="6939F7AA" w:rsidR="00D61A13" w:rsidRDefault="00E82E53">
    <w:pPr>
      <w:pStyle w:val="BodyText"/>
      <w:spacing w:line="14" w:lineRule="auto"/>
      <w:ind w:left="0"/>
      <w:rPr>
        <w:sz w:val="20"/>
      </w:rPr>
    </w:pPr>
    <w:r>
      <w:rPr>
        <w:noProof/>
      </w:rPr>
      <mc:AlternateContent>
        <mc:Choice Requires="wps">
          <w:drawing>
            <wp:anchor distT="0" distB="0" distL="114300" distR="114300" simplePos="0" relativeHeight="487510528" behindDoc="1" locked="0" layoutInCell="1" allowOverlap="1" wp14:anchorId="5E5E41D8" wp14:editId="341434E7">
              <wp:simplePos x="0" y="0"/>
              <wp:positionH relativeFrom="page">
                <wp:posOffset>0</wp:posOffset>
              </wp:positionH>
              <wp:positionV relativeFrom="page">
                <wp:posOffset>911225</wp:posOffset>
              </wp:positionV>
              <wp:extent cx="7560310" cy="78740"/>
              <wp:effectExtent l="0" t="0" r="25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4FA75" id="docshape1" o:spid="_x0000_s1026" style="position:absolute;margin-left:0;margin-top:71.75pt;width:595.3pt;height:6.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F7FB5"/>
    <w:multiLevelType w:val="hybridMultilevel"/>
    <w:tmpl w:val="30E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C2170"/>
    <w:multiLevelType w:val="hybridMultilevel"/>
    <w:tmpl w:val="F2B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E3302"/>
    <w:multiLevelType w:val="hybridMultilevel"/>
    <w:tmpl w:val="2AE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B57AF"/>
    <w:multiLevelType w:val="hybridMultilevel"/>
    <w:tmpl w:val="111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0DEFBEE">
      <w:numFmt w:val="bullet"/>
      <w:lvlText w:val="•"/>
      <w:lvlJc w:val="left"/>
      <w:pPr>
        <w:ind w:left="2370" w:hanging="57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9064B"/>
    <w:multiLevelType w:val="hybridMultilevel"/>
    <w:tmpl w:val="276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5D06"/>
    <w:multiLevelType w:val="hybridMultilevel"/>
    <w:tmpl w:val="117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31067"/>
    <w:multiLevelType w:val="hybridMultilevel"/>
    <w:tmpl w:val="F686067C"/>
    <w:lvl w:ilvl="0" w:tplc="215E6F3E">
      <w:numFmt w:val="bullet"/>
      <w:lvlText w:val="•"/>
      <w:lvlJc w:val="left"/>
      <w:pPr>
        <w:ind w:left="1540" w:hanging="720"/>
      </w:pPr>
      <w:rPr>
        <w:rFonts w:ascii="Lucida Sans" w:eastAsia="Lucida Sans" w:hAnsi="Lucida Sans" w:cs="Lucida Sans" w:hint="default"/>
        <w:b w:val="0"/>
        <w:bCs w:val="0"/>
        <w:i w:val="0"/>
        <w:iCs w:val="0"/>
        <w:w w:val="59"/>
        <w:sz w:val="22"/>
        <w:szCs w:val="22"/>
        <w:lang w:val="en-US" w:eastAsia="en-US" w:bidi="ar-SA"/>
      </w:rPr>
    </w:lvl>
    <w:lvl w:ilvl="1" w:tplc="13A05A2E">
      <w:numFmt w:val="bullet"/>
      <w:lvlText w:val="•"/>
      <w:lvlJc w:val="left"/>
      <w:pPr>
        <w:ind w:left="2310" w:hanging="720"/>
      </w:pPr>
      <w:rPr>
        <w:rFonts w:hint="default"/>
        <w:lang w:val="en-US" w:eastAsia="en-US" w:bidi="ar-SA"/>
      </w:rPr>
    </w:lvl>
    <w:lvl w:ilvl="2" w:tplc="FCFC0BD8">
      <w:numFmt w:val="bullet"/>
      <w:lvlText w:val="•"/>
      <w:lvlJc w:val="left"/>
      <w:pPr>
        <w:ind w:left="3081" w:hanging="720"/>
      </w:pPr>
      <w:rPr>
        <w:rFonts w:hint="default"/>
        <w:lang w:val="en-US" w:eastAsia="en-US" w:bidi="ar-SA"/>
      </w:rPr>
    </w:lvl>
    <w:lvl w:ilvl="3" w:tplc="CBB6BBFE">
      <w:numFmt w:val="bullet"/>
      <w:lvlText w:val="•"/>
      <w:lvlJc w:val="left"/>
      <w:pPr>
        <w:ind w:left="3851" w:hanging="720"/>
      </w:pPr>
      <w:rPr>
        <w:rFonts w:hint="default"/>
        <w:lang w:val="en-US" w:eastAsia="en-US" w:bidi="ar-SA"/>
      </w:rPr>
    </w:lvl>
    <w:lvl w:ilvl="4" w:tplc="7F4C1C26">
      <w:numFmt w:val="bullet"/>
      <w:lvlText w:val="•"/>
      <w:lvlJc w:val="left"/>
      <w:pPr>
        <w:ind w:left="4622" w:hanging="720"/>
      </w:pPr>
      <w:rPr>
        <w:rFonts w:hint="default"/>
        <w:lang w:val="en-US" w:eastAsia="en-US" w:bidi="ar-SA"/>
      </w:rPr>
    </w:lvl>
    <w:lvl w:ilvl="5" w:tplc="6828296C">
      <w:numFmt w:val="bullet"/>
      <w:lvlText w:val="•"/>
      <w:lvlJc w:val="left"/>
      <w:pPr>
        <w:ind w:left="5393" w:hanging="720"/>
      </w:pPr>
      <w:rPr>
        <w:rFonts w:hint="default"/>
        <w:lang w:val="en-US" w:eastAsia="en-US" w:bidi="ar-SA"/>
      </w:rPr>
    </w:lvl>
    <w:lvl w:ilvl="6" w:tplc="5B5AE626">
      <w:numFmt w:val="bullet"/>
      <w:lvlText w:val="•"/>
      <w:lvlJc w:val="left"/>
      <w:pPr>
        <w:ind w:left="6163" w:hanging="720"/>
      </w:pPr>
      <w:rPr>
        <w:rFonts w:hint="default"/>
        <w:lang w:val="en-US" w:eastAsia="en-US" w:bidi="ar-SA"/>
      </w:rPr>
    </w:lvl>
    <w:lvl w:ilvl="7" w:tplc="C88C1810">
      <w:numFmt w:val="bullet"/>
      <w:lvlText w:val="•"/>
      <w:lvlJc w:val="left"/>
      <w:pPr>
        <w:ind w:left="6934" w:hanging="720"/>
      </w:pPr>
      <w:rPr>
        <w:rFonts w:hint="default"/>
        <w:lang w:val="en-US" w:eastAsia="en-US" w:bidi="ar-SA"/>
      </w:rPr>
    </w:lvl>
    <w:lvl w:ilvl="8" w:tplc="9648CB68">
      <w:numFmt w:val="bullet"/>
      <w:lvlText w:val="•"/>
      <w:lvlJc w:val="left"/>
      <w:pPr>
        <w:ind w:left="7705" w:hanging="720"/>
      </w:pPr>
      <w:rPr>
        <w:rFonts w:hint="default"/>
        <w:lang w:val="en-US" w:eastAsia="en-US" w:bidi="ar-SA"/>
      </w:rPr>
    </w:lvl>
  </w:abstractNum>
  <w:abstractNum w:abstractNumId="8" w15:restartNumberingAfterBreak="0">
    <w:nsid w:val="5BD4273F"/>
    <w:multiLevelType w:val="hybridMultilevel"/>
    <w:tmpl w:val="A450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D5761"/>
    <w:multiLevelType w:val="hybridMultilevel"/>
    <w:tmpl w:val="81C8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47C2D"/>
    <w:multiLevelType w:val="hybridMultilevel"/>
    <w:tmpl w:val="5E74FB68"/>
    <w:lvl w:ilvl="0" w:tplc="D1DEBF1C">
      <w:numFmt w:val="bullet"/>
      <w:lvlText w:val="•"/>
      <w:lvlJc w:val="left"/>
      <w:pPr>
        <w:ind w:left="1080" w:hanging="720"/>
      </w:pPr>
      <w:rPr>
        <w:rFonts w:ascii="Open Sans" w:eastAsiaTheme="minorHAnsi" w:hAnsi="Open Sans" w:cs="Open Sans" w:hint="default"/>
      </w:rPr>
    </w:lvl>
    <w:lvl w:ilvl="1" w:tplc="77E87734">
      <w:numFmt w:val="bullet"/>
      <w:lvlText w:val=""/>
      <w:lvlJc w:val="left"/>
      <w:pPr>
        <w:ind w:left="1800" w:hanging="720"/>
      </w:pPr>
      <w:rPr>
        <w:rFonts w:ascii="Symbol" w:eastAsiaTheme="minorHAnsi"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B1CE9"/>
    <w:multiLevelType w:val="hybridMultilevel"/>
    <w:tmpl w:val="B74A22CC"/>
    <w:lvl w:ilvl="0" w:tplc="D1DEBF1C">
      <w:numFmt w:val="bullet"/>
      <w:lvlText w:val="•"/>
      <w:lvlJc w:val="left"/>
      <w:pPr>
        <w:ind w:left="1440" w:hanging="720"/>
      </w:pPr>
      <w:rPr>
        <w:rFonts w:ascii="Open Sans" w:eastAsiaTheme="minorHAnsi"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6373EB"/>
    <w:multiLevelType w:val="hybridMultilevel"/>
    <w:tmpl w:val="9C3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5837">
    <w:abstractNumId w:val="7"/>
  </w:num>
  <w:num w:numId="2" w16cid:durableId="1238785783">
    <w:abstractNumId w:val="6"/>
  </w:num>
  <w:num w:numId="3" w16cid:durableId="2126608990">
    <w:abstractNumId w:val="1"/>
  </w:num>
  <w:num w:numId="4" w16cid:durableId="648285020">
    <w:abstractNumId w:val="10"/>
  </w:num>
  <w:num w:numId="5" w16cid:durableId="1151867407">
    <w:abstractNumId w:val="11"/>
  </w:num>
  <w:num w:numId="6" w16cid:durableId="1785073032">
    <w:abstractNumId w:val="3"/>
  </w:num>
  <w:num w:numId="7" w16cid:durableId="1300458338">
    <w:abstractNumId w:val="9"/>
  </w:num>
  <w:num w:numId="8" w16cid:durableId="1496993549">
    <w:abstractNumId w:val="12"/>
  </w:num>
  <w:num w:numId="9" w16cid:durableId="1525632206">
    <w:abstractNumId w:val="5"/>
  </w:num>
  <w:num w:numId="10" w16cid:durableId="1321887514">
    <w:abstractNumId w:val="0"/>
  </w:num>
  <w:num w:numId="11" w16cid:durableId="184825994">
    <w:abstractNumId w:val="2"/>
  </w:num>
  <w:num w:numId="12" w16cid:durableId="479924609">
    <w:abstractNumId w:val="4"/>
  </w:num>
  <w:num w:numId="13" w16cid:durableId="1764060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3"/>
    <w:rsid w:val="000C6823"/>
    <w:rsid w:val="000D7BD7"/>
    <w:rsid w:val="00120148"/>
    <w:rsid w:val="002039E6"/>
    <w:rsid w:val="00270B02"/>
    <w:rsid w:val="002D628A"/>
    <w:rsid w:val="0030157E"/>
    <w:rsid w:val="00393799"/>
    <w:rsid w:val="003F361A"/>
    <w:rsid w:val="004116B2"/>
    <w:rsid w:val="00484A2E"/>
    <w:rsid w:val="004E53E9"/>
    <w:rsid w:val="004F1962"/>
    <w:rsid w:val="00556A7E"/>
    <w:rsid w:val="005E553A"/>
    <w:rsid w:val="00633829"/>
    <w:rsid w:val="006A5624"/>
    <w:rsid w:val="0074051B"/>
    <w:rsid w:val="0074701C"/>
    <w:rsid w:val="007529CC"/>
    <w:rsid w:val="00866DD3"/>
    <w:rsid w:val="008A160F"/>
    <w:rsid w:val="009C5CA1"/>
    <w:rsid w:val="009D25B5"/>
    <w:rsid w:val="00A242F8"/>
    <w:rsid w:val="00A66865"/>
    <w:rsid w:val="00A9111A"/>
    <w:rsid w:val="00AC0D59"/>
    <w:rsid w:val="00B274F3"/>
    <w:rsid w:val="00BF363E"/>
    <w:rsid w:val="00C2404C"/>
    <w:rsid w:val="00C34E29"/>
    <w:rsid w:val="00C71061"/>
    <w:rsid w:val="00CA71CE"/>
    <w:rsid w:val="00D61A13"/>
    <w:rsid w:val="00D81804"/>
    <w:rsid w:val="00D846D1"/>
    <w:rsid w:val="00D91073"/>
    <w:rsid w:val="00DD1914"/>
    <w:rsid w:val="00DD317F"/>
    <w:rsid w:val="00E4549F"/>
    <w:rsid w:val="00E82E53"/>
    <w:rsid w:val="00E9052C"/>
    <w:rsid w:val="00E93F38"/>
    <w:rsid w:val="00ED06AD"/>
    <w:rsid w:val="00F253A2"/>
    <w:rsid w:val="00F419C1"/>
    <w:rsid w:val="00FA60DE"/>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7017"/>
  <w15:docId w15:val="{D1031042-9402-4EF0-99D4-6D5DA4F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18"/>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
      <w:ind w:right="18" w:hanging="58"/>
      <w:jc w:val="right"/>
    </w:pPr>
    <w:rPr>
      <w:rFonts w:ascii="Abel" w:eastAsia="Abel" w:hAnsi="Abel" w:cs="Abel"/>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22" w:line="257" w:lineRule="exact"/>
      <w:ind w:left="107"/>
    </w:pPr>
  </w:style>
  <w:style w:type="paragraph" w:styleId="Header">
    <w:name w:val="header"/>
    <w:basedOn w:val="Normal"/>
    <w:link w:val="HeaderChar"/>
    <w:uiPriority w:val="99"/>
    <w:unhideWhenUsed/>
    <w:rsid w:val="00866DD3"/>
    <w:pPr>
      <w:tabs>
        <w:tab w:val="center" w:pos="4513"/>
        <w:tab w:val="right" w:pos="9026"/>
      </w:tabs>
    </w:pPr>
  </w:style>
  <w:style w:type="character" w:customStyle="1" w:styleId="HeaderChar">
    <w:name w:val="Header Char"/>
    <w:basedOn w:val="DefaultParagraphFont"/>
    <w:link w:val="Header"/>
    <w:uiPriority w:val="99"/>
    <w:rsid w:val="00866DD3"/>
    <w:rPr>
      <w:rFonts w:ascii="Lucida Sans" w:eastAsia="Lucida Sans" w:hAnsi="Lucida Sans" w:cs="Lucida Sans"/>
    </w:rPr>
  </w:style>
  <w:style w:type="paragraph" w:styleId="Footer">
    <w:name w:val="footer"/>
    <w:basedOn w:val="Normal"/>
    <w:link w:val="FooterChar"/>
    <w:uiPriority w:val="99"/>
    <w:unhideWhenUsed/>
    <w:rsid w:val="00866DD3"/>
    <w:pPr>
      <w:tabs>
        <w:tab w:val="center" w:pos="4513"/>
        <w:tab w:val="right" w:pos="9026"/>
      </w:tabs>
    </w:pPr>
  </w:style>
  <w:style w:type="character" w:customStyle="1" w:styleId="FooterChar">
    <w:name w:val="Footer Char"/>
    <w:basedOn w:val="DefaultParagraphFont"/>
    <w:link w:val="Footer"/>
    <w:uiPriority w:val="99"/>
    <w:rsid w:val="00866DD3"/>
    <w:rPr>
      <w:rFonts w:ascii="Lucida Sans" w:eastAsia="Lucida Sans" w:hAnsi="Lucida Sans" w:cs="Lucida Sans"/>
    </w:rPr>
  </w:style>
  <w:style w:type="character" w:styleId="Hyperlink">
    <w:name w:val="Hyperlink"/>
    <w:basedOn w:val="DefaultParagraphFont"/>
    <w:uiPriority w:val="99"/>
    <w:unhideWhenUsed/>
    <w:rsid w:val="00DD1914"/>
    <w:rPr>
      <w:color w:val="0000FF" w:themeColor="hyperlink"/>
      <w:u w:val="single"/>
    </w:rPr>
  </w:style>
  <w:style w:type="character" w:styleId="UnresolvedMention">
    <w:name w:val="Unresolved Mention"/>
    <w:basedOn w:val="DefaultParagraphFont"/>
    <w:uiPriority w:val="99"/>
    <w:semiHidden/>
    <w:unhideWhenUsed/>
    <w:rsid w:val="00DD1914"/>
    <w:rPr>
      <w:color w:val="605E5C"/>
      <w:shd w:val="clear" w:color="auto" w:fill="E1DFDD"/>
    </w:rPr>
  </w:style>
  <w:style w:type="table" w:styleId="TableGrid">
    <w:name w:val="Table Grid"/>
    <w:basedOn w:val="TableNormal"/>
    <w:uiPriority w:val="39"/>
    <w:rsid w:val="00E45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49F"/>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2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talfutures.co.uk" TargetMode="External"/><Relationship Id="rId1" Type="http://schemas.openxmlformats.org/officeDocument/2006/relationships/hyperlink" Target="http://www.total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9e3ce0-0746-4baa-af5e-06f1cea8fdc7" xsi:nil="true"/>
    <lcf76f155ced4ddcb4097134ff3c332f xmlns="28a091be-be22-4938-a573-fd6904b3fc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F7E4202CABF409672E21C9045EEE6" ma:contentTypeVersion="12" ma:contentTypeDescription="Create a new document." ma:contentTypeScope="" ma:versionID="7892d29901791cf2a8fba1625d05414b">
  <xsd:schema xmlns:xsd="http://www.w3.org/2001/XMLSchema" xmlns:xs="http://www.w3.org/2001/XMLSchema" xmlns:p="http://schemas.microsoft.com/office/2006/metadata/properties" xmlns:ns2="28a091be-be22-4938-a573-fd6904b3fcf8" xmlns:ns3="409e3ce0-0746-4baa-af5e-06f1cea8fdc7" targetNamespace="http://schemas.microsoft.com/office/2006/metadata/properties" ma:root="true" ma:fieldsID="8ba4247f138cb52ba4faf340aa56ede1" ns2:_="" ns3:_="">
    <xsd:import namespace="28a091be-be22-4938-a573-fd6904b3fcf8"/>
    <xsd:import namespace="409e3ce0-0746-4baa-af5e-06f1cea8fdc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091be-be22-4938-a573-fd6904b3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dc2d1d-9a91-4270-b8eb-40862ae1a95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e3ce0-0746-4baa-af5e-06f1cea8fd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30a14-212c-49f9-882c-f9d06484787d}" ma:internalName="TaxCatchAll" ma:showField="CatchAllData" ma:web="409e3ce0-0746-4baa-af5e-06f1cea8f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F81E-B4F0-4A24-9127-039152414833}">
  <ds:schemaRefs>
    <ds:schemaRef ds:uri="http://schemas.microsoft.com/office/2006/metadata/properties"/>
    <ds:schemaRef ds:uri="http://schemas.microsoft.com/office/infopath/2007/PartnerControls"/>
    <ds:schemaRef ds:uri="409e3ce0-0746-4baa-af5e-06f1cea8fdc7"/>
    <ds:schemaRef ds:uri="28a091be-be22-4938-a573-fd6904b3fcf8"/>
  </ds:schemaRefs>
</ds:datastoreItem>
</file>

<file path=customXml/itemProps2.xml><?xml version="1.0" encoding="utf-8"?>
<ds:datastoreItem xmlns:ds="http://schemas.openxmlformats.org/officeDocument/2006/customXml" ds:itemID="{09EF8749-D7B6-4A7A-BD57-A3A5E467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091be-be22-4938-a573-fd6904b3fcf8"/>
    <ds:schemaRef ds:uri="409e3ce0-0746-4baa-af5e-06f1cea8f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3E9A-FB3C-4325-9868-3490EBB1B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Garry Brown</cp:lastModifiedBy>
  <cp:revision>5</cp:revision>
  <dcterms:created xsi:type="dcterms:W3CDTF">2024-05-10T08:48:00Z</dcterms:created>
  <dcterms:modified xsi:type="dcterms:W3CDTF">2024-05-10T08:50:00Z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y fmtid="{D5CDD505-2E9C-101B-9397-08002B2CF9AE}" pid="6" name="ContentTypeId">
    <vt:lpwstr>0x010100921F7E4202CABF409672E21C9045EEE6</vt:lpwstr>
  </property>
  <property fmtid="{D5CDD505-2E9C-101B-9397-08002B2CF9AE}" pid="7" name="MediaServiceImageTags">
    <vt:lpwstr/>
  </property>
</Properties>
</file>