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363A1D57"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2616D2C0" w:rsid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49FCD91" w14:textId="244476CB" w:rsidR="003D06AD" w:rsidRPr="00807254" w:rsidRDefault="00812E35" w:rsidP="00807254">
      <w:pPr>
        <w:spacing w:after="120"/>
        <w:jc w:val="center"/>
        <w:rPr>
          <w:rFonts w:ascii="PermianSlabSerifTypeface" w:hAnsi="PermianSlabSerifTypeface" w:cs="Open Sans"/>
          <w:b/>
          <w:bCs/>
          <w:sz w:val="32"/>
        </w:rPr>
      </w:pPr>
      <w:r w:rsidRPr="00711A11">
        <w:rPr>
          <w:rFonts w:ascii="PermianSlabSerifTypeface" w:hAnsi="PermianSlabSerifTypeface" w:cs="Open Sans"/>
          <w:b/>
          <w:bCs/>
          <w:sz w:val="32"/>
        </w:rPr>
        <w:t>2022-2023</w:t>
      </w:r>
    </w:p>
    <w:p w14:paraId="5CB7D9F4" w14:textId="1CE5F758"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rsidRPr="00711A11">
        <w:rPr>
          <w:rFonts w:ascii="Open Sans" w:hAnsi="Open Sans" w:cs="Open Sans"/>
          <w:sz w:val="20"/>
          <w:szCs w:val="20"/>
        </w:rPr>
        <w:t xml:space="preserve">Each time, </w:t>
      </w:r>
      <w:r w:rsidR="004332C4">
        <w:rPr>
          <w:rFonts w:ascii="Open Sans" w:hAnsi="Open Sans" w:cs="Open Sans"/>
          <w:sz w:val="20"/>
          <w:szCs w:val="20"/>
        </w:rPr>
        <w:t>local education agencies (</w:t>
      </w:r>
      <w:r w:rsidR="006A3BE2" w:rsidRPr="00711A11">
        <w:rPr>
          <w:rFonts w:ascii="Open Sans" w:hAnsi="Open Sans" w:cs="Open Sans"/>
          <w:sz w:val="20"/>
          <w:szCs w:val="20"/>
        </w:rPr>
        <w:t>LEAs</w:t>
      </w:r>
      <w:r w:rsidR="00F66161">
        <w:rPr>
          <w:rFonts w:ascii="Open Sans" w:hAnsi="Open Sans" w:cs="Open Sans"/>
          <w:sz w:val="20"/>
          <w:szCs w:val="20"/>
        </w:rPr>
        <w:t>)</w:t>
      </w:r>
      <w:r w:rsidR="006A3BE2" w:rsidRPr="00711A11">
        <w:rPr>
          <w:rFonts w:ascii="Open Sans" w:hAnsi="Open Sans" w:cs="Open Sans"/>
          <w:b/>
          <w:sz w:val="20"/>
          <w:szCs w:val="20"/>
        </w:rPr>
        <w:t xml:space="preserve"> </w:t>
      </w:r>
      <w:r w:rsidR="006A3BE2" w:rsidRPr="00711A11">
        <w:rPr>
          <w:rFonts w:ascii="Open Sans" w:hAnsi="Open Sans" w:cs="Open Sans"/>
          <w:sz w:val="20"/>
          <w:szCs w:val="20"/>
        </w:rPr>
        <w:t>must seek public input on the plan and any revisions and must take such input into account.</w:t>
      </w:r>
      <w:r w:rsidR="006A3BE2">
        <w:t xml:space="preserve"> </w:t>
      </w:r>
      <w:r w:rsidRPr="00807254">
        <w:rPr>
          <w:rFonts w:ascii="Open Sans" w:hAnsi="Open Sans" w:cs="Open Sans"/>
          <w:sz w:val="20"/>
          <w:szCs w:val="20"/>
        </w:rPr>
        <w:t>The purpose of the plan is to keep stakeholders informed.</w:t>
      </w:r>
    </w:p>
    <w:bookmarkEnd w:id="0"/>
    <w:p w14:paraId="14314FBE" w14:textId="68F034B6" w:rsidR="00807254" w:rsidRPr="00807254" w:rsidRDefault="66FBBC6C" w:rsidP="00807254">
      <w:pPr>
        <w:rPr>
          <w:rFonts w:ascii="Open Sans" w:hAnsi="Open Sans" w:cs="Open Sans"/>
          <w:sz w:val="20"/>
          <w:szCs w:val="20"/>
        </w:rPr>
      </w:pPr>
      <w:r w:rsidRPr="4614C3A4">
        <w:rPr>
          <w:rFonts w:ascii="Open Sans" w:hAnsi="Open Sans" w:cs="Open Sans"/>
          <w:sz w:val="20"/>
          <w:szCs w:val="20"/>
        </w:rPr>
        <w:t xml:space="preserve">Every </w:t>
      </w:r>
      <w:bookmarkStart w:id="1" w:name="_Int_AuhuuoUV"/>
      <w:r w:rsidRPr="4614C3A4">
        <w:rPr>
          <w:rFonts w:ascii="Open Sans" w:hAnsi="Open Sans" w:cs="Open Sans"/>
          <w:sz w:val="20"/>
          <w:szCs w:val="20"/>
        </w:rPr>
        <w:t>LEA</w:t>
      </w:r>
      <w:bookmarkEnd w:id="1"/>
      <w:r w:rsidRPr="4614C3A4">
        <w:rPr>
          <w:rFonts w:ascii="Open Sans" w:hAnsi="Open Sans" w:cs="Open Sans"/>
          <w:sz w:val="20"/>
          <w:szCs w:val="20"/>
        </w:rPr>
        <w:t xml:space="preserve"> should complete the addendum and upload</w:t>
      </w:r>
      <w:r w:rsidR="001D6C5B" w:rsidRPr="4614C3A4">
        <w:rPr>
          <w:rFonts w:ascii="Open Sans" w:hAnsi="Open Sans" w:cs="Open Sans"/>
          <w:sz w:val="20"/>
          <w:szCs w:val="20"/>
        </w:rPr>
        <w:t xml:space="preserve"> it to </w:t>
      </w:r>
      <w:proofErr w:type="spellStart"/>
      <w:r w:rsidR="001D6C5B" w:rsidRPr="4614C3A4">
        <w:rPr>
          <w:rFonts w:ascii="Open Sans" w:hAnsi="Open Sans" w:cs="Open Sans"/>
          <w:sz w:val="20"/>
          <w:szCs w:val="20"/>
        </w:rPr>
        <w:t>ePlan</w:t>
      </w:r>
      <w:proofErr w:type="spellEnd"/>
      <w:r w:rsidRPr="4614C3A4">
        <w:rPr>
          <w:rFonts w:ascii="Open Sans" w:hAnsi="Open Sans" w:cs="Open Sans"/>
          <w:sz w:val="20"/>
          <w:szCs w:val="20"/>
        </w:rPr>
        <w:t xml:space="preserve"> in the LEA document library and post </w:t>
      </w:r>
      <w:r w:rsidR="001D6C5B" w:rsidRPr="4614C3A4">
        <w:rPr>
          <w:rFonts w:ascii="Open Sans" w:hAnsi="Open Sans" w:cs="Open Sans"/>
          <w:sz w:val="20"/>
          <w:szCs w:val="20"/>
        </w:rPr>
        <w:t xml:space="preserve">it </w:t>
      </w:r>
      <w:r w:rsidRPr="4614C3A4">
        <w:rPr>
          <w:rFonts w:ascii="Open Sans" w:hAnsi="Open Sans" w:cs="Open Sans"/>
          <w:sz w:val="20"/>
          <w:szCs w:val="20"/>
        </w:rPr>
        <w:t>to the LEA’s web</w:t>
      </w:r>
      <w:r w:rsidR="218F90AE" w:rsidRPr="4614C3A4">
        <w:rPr>
          <w:rFonts w:ascii="Open Sans" w:hAnsi="Open Sans" w:cs="Open Sans"/>
          <w:sz w:val="20"/>
          <w:szCs w:val="20"/>
        </w:rPr>
        <w:t>site</w:t>
      </w:r>
      <w:r w:rsidR="1A1B70B4" w:rsidRPr="4614C3A4">
        <w:rPr>
          <w:rFonts w:ascii="Open Sans" w:hAnsi="Open Sans" w:cs="Open Sans"/>
          <w:sz w:val="20"/>
          <w:szCs w:val="20"/>
        </w:rPr>
        <w:t xml:space="preserve"> (</w:t>
      </w:r>
      <w:r w:rsidR="001D6C5B" w:rsidRPr="4614C3A4">
        <w:rPr>
          <w:rFonts w:ascii="Open Sans" w:hAnsi="Open Sans" w:cs="Open Sans"/>
          <w:sz w:val="20"/>
          <w:szCs w:val="20"/>
        </w:rPr>
        <w:t xml:space="preserve">Feb. </w:t>
      </w:r>
      <w:r w:rsidR="1A1B70B4" w:rsidRPr="71C117F8">
        <w:rPr>
          <w:rFonts w:ascii="Open Sans" w:hAnsi="Open Sans" w:cs="Open Sans"/>
          <w:sz w:val="20"/>
          <w:szCs w:val="20"/>
        </w:rPr>
        <w:t>15</w:t>
      </w:r>
      <w:r w:rsidR="1A1B70B4" w:rsidRPr="4614C3A4">
        <w:rPr>
          <w:rFonts w:ascii="Open Sans" w:hAnsi="Open Sans" w:cs="Open Sans"/>
          <w:sz w:val="20"/>
          <w:szCs w:val="20"/>
        </w:rPr>
        <w:t xml:space="preserve"> and </w:t>
      </w:r>
      <w:r w:rsidR="001D6C5B" w:rsidRPr="00711A11">
        <w:rPr>
          <w:rFonts w:ascii="Open Sans" w:hAnsi="Open Sans" w:cs="Open Sans"/>
          <w:sz w:val="20"/>
          <w:szCs w:val="20"/>
        </w:rPr>
        <w:t xml:space="preserve">Sept. </w:t>
      </w:r>
      <w:r w:rsidR="1A1B70B4" w:rsidRPr="71C117F8">
        <w:rPr>
          <w:rFonts w:ascii="Open Sans" w:hAnsi="Open Sans" w:cs="Open Sans"/>
          <w:sz w:val="20"/>
          <w:szCs w:val="20"/>
        </w:rPr>
        <w:t>15</w:t>
      </w:r>
      <w:r w:rsidR="1A1B70B4" w:rsidRPr="4614C3A4">
        <w:rPr>
          <w:rFonts w:ascii="Open Sans" w:hAnsi="Open Sans" w:cs="Open Sans"/>
          <w:sz w:val="20"/>
          <w:szCs w:val="20"/>
        </w:rPr>
        <w:t>)</w:t>
      </w:r>
      <w:r w:rsidRPr="4614C3A4">
        <w:rPr>
          <w:rFonts w:ascii="Open Sans" w:hAnsi="Open Sans" w:cs="Open Sans"/>
          <w:sz w:val="20"/>
          <w:szCs w:val="20"/>
        </w:rPr>
        <w:t>.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20603FBC"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w:t>
      </w:r>
      <w:r w:rsidRPr="003D06AD">
        <w:rPr>
          <w:sz w:val="20"/>
          <w:szCs w:val="20"/>
        </w:rPr>
        <w:t>plan</w:t>
      </w:r>
      <w:r w:rsidR="003D06AD" w:rsidRPr="003D06AD">
        <w:rPr>
          <w:sz w:val="20"/>
          <w:szCs w:val="20"/>
        </w:rPr>
        <w:t xml:space="preserve"> </w:t>
      </w:r>
      <w:r w:rsidR="003D06AD" w:rsidRPr="006879FC">
        <w:rPr>
          <w:rFonts w:eastAsia="Open Sans"/>
          <w:color w:val="000000" w:themeColor="text1"/>
          <w:sz w:val="20"/>
          <w:szCs w:val="20"/>
        </w:rPr>
        <w:t>and when making any significant revisions or updates to the plan.</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018DF1B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 xml:space="preserve">The LEA must engage the health department in the development </w:t>
      </w:r>
      <w:r w:rsidR="003D06AD" w:rsidRPr="006879FC">
        <w:rPr>
          <w:sz w:val="20"/>
          <w:szCs w:val="20"/>
        </w:rPr>
        <w:t>and revision</w:t>
      </w:r>
      <w:r w:rsidR="003D06AD">
        <w:rPr>
          <w:sz w:val="20"/>
          <w:szCs w:val="20"/>
        </w:rPr>
        <w:t xml:space="preserve"> </w:t>
      </w:r>
      <w:r w:rsidRPr="00807254">
        <w:rPr>
          <w:sz w:val="20"/>
          <w:szCs w:val="20"/>
        </w:rPr>
        <w:t>of the plan.</w:t>
      </w:r>
      <w:r>
        <w:rPr>
          <w:sz w:val="20"/>
          <w:szCs w:val="20"/>
        </w:rPr>
        <w:t xml:space="preserve"> </w:t>
      </w:r>
      <w:r w:rsidRPr="00807254">
        <w:rPr>
          <w:sz w:val="20"/>
          <w:szCs w:val="20"/>
        </w:rPr>
        <w:t xml:space="preserve">This is </w:t>
      </w:r>
      <w:r w:rsidRPr="367460DD">
        <w:rPr>
          <w:sz w:val="20"/>
          <w:szCs w:val="20"/>
        </w:rPr>
        <w:t>different from</w:t>
      </w:r>
      <w:r w:rsidRPr="00807254">
        <w:rPr>
          <w:sz w:val="20"/>
          <w:szCs w:val="20"/>
        </w:rPr>
        <w:t xml:space="preserve">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14041E1B"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at least every six months through Sept. 30, 2023, seek public input on the plan and any revisions</w:t>
      </w:r>
      <w:r w:rsidR="0077152A">
        <w:rPr>
          <w:sz w:val="20"/>
          <w:szCs w:val="20"/>
        </w:rPr>
        <w:t>,</w:t>
      </w:r>
      <w:r w:rsidRPr="00807254">
        <w:rPr>
          <w:sz w:val="20"/>
          <w:szCs w:val="20"/>
        </w:rPr>
        <w:t xml:space="preserve"> and take such input into account. All revisions must include an explanation and rationale of why the revisions were made. </w:t>
      </w:r>
    </w:p>
    <w:p w14:paraId="318591EA" w14:textId="590BC4FF" w:rsidR="00807254" w:rsidRPr="00807254" w:rsidRDefault="00807254" w:rsidP="00807254">
      <w:pPr>
        <w:pStyle w:val="Default"/>
        <w:numPr>
          <w:ilvl w:val="0"/>
          <w:numId w:val="2"/>
        </w:numPr>
        <w:rPr>
          <w:sz w:val="20"/>
          <w:szCs w:val="20"/>
        </w:rPr>
      </w:pPr>
      <w:r w:rsidRPr="00807254">
        <w:rPr>
          <w:sz w:val="20"/>
          <w:szCs w:val="20"/>
        </w:rPr>
        <w:t>All revisions must include an explanation and rationale, with meaningful public consultation and in an understandable format</w:t>
      </w:r>
      <w:r w:rsidR="00852FC7">
        <w:rPr>
          <w:sz w:val="20"/>
          <w:szCs w:val="20"/>
        </w:rPr>
        <w:t>.</w:t>
      </w:r>
      <w:r w:rsidRPr="00807254">
        <w:rPr>
          <w:sz w:val="20"/>
          <w:szCs w:val="20"/>
        </w:rPr>
        <w:t xml:space="preserve">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33915E54"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 xml:space="preserve">Funding provided to states and local educational agencies (LEAs) </w:t>
      </w:r>
      <w:r w:rsidR="00776594">
        <w:rPr>
          <w:rFonts w:ascii="Open Sans" w:hAnsi="Open Sans" w:cs="Open Sans"/>
          <w:sz w:val="20"/>
          <w:szCs w:val="20"/>
        </w:rPr>
        <w:t>helps</w:t>
      </w:r>
      <w:r w:rsidR="00776594" w:rsidRPr="00493901">
        <w:rPr>
          <w:rFonts w:ascii="Open Sans" w:hAnsi="Open Sans" w:cs="Open Sans"/>
          <w:sz w:val="20"/>
          <w:szCs w:val="20"/>
        </w:rPr>
        <w:t xml:space="preserve"> </w:t>
      </w:r>
      <w:r w:rsidRPr="00493901">
        <w:rPr>
          <w:rFonts w:ascii="Open Sans" w:hAnsi="Open Sans" w:cs="Open Sans"/>
          <w:sz w:val="20"/>
          <w:szCs w:val="20"/>
        </w:rPr>
        <w:t>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080075DF" w:rsidR="006F7174" w:rsidRPr="00493901" w:rsidRDefault="00AA7FE0" w:rsidP="007411A2">
      <w:pPr>
        <w:rPr>
          <w:rFonts w:ascii="Open Sans" w:hAnsi="Open Sans" w:cs="Open Sans"/>
          <w:sz w:val="20"/>
          <w:szCs w:val="20"/>
        </w:rPr>
      </w:pPr>
      <w:r w:rsidRPr="4614C3A4">
        <w:rPr>
          <w:rFonts w:ascii="Open Sans" w:hAnsi="Open Sans" w:cs="Open Sans"/>
          <w:sz w:val="20"/>
          <w:szCs w:val="20"/>
        </w:rPr>
        <w:t xml:space="preserve">In the fall of </w:t>
      </w:r>
      <w:r w:rsidR="006F7174" w:rsidRPr="4614C3A4">
        <w:rPr>
          <w:rFonts w:ascii="Open Sans" w:hAnsi="Open Sans" w:cs="Open Sans"/>
          <w:sz w:val="20"/>
          <w:szCs w:val="20"/>
        </w:rPr>
        <w:t xml:space="preserve">2021, </w:t>
      </w:r>
      <w:r w:rsidR="007411A2" w:rsidRPr="4614C3A4">
        <w:rPr>
          <w:rFonts w:ascii="Open Sans" w:hAnsi="Open Sans" w:cs="Open Sans"/>
          <w:sz w:val="20"/>
          <w:szCs w:val="20"/>
        </w:rPr>
        <w:t>LEAs</w:t>
      </w:r>
      <w:r w:rsidR="006F7174" w:rsidRPr="4614C3A4">
        <w:rPr>
          <w:rFonts w:ascii="Open Sans" w:hAnsi="Open Sans" w:cs="Open Sans"/>
          <w:sz w:val="20"/>
          <w:szCs w:val="20"/>
        </w:rPr>
        <w:t xml:space="preserve"> </w:t>
      </w:r>
      <w:r w:rsidR="007411A2" w:rsidRPr="4614C3A4">
        <w:rPr>
          <w:rFonts w:ascii="Open Sans" w:hAnsi="Open Sans" w:cs="Open Sans"/>
          <w:sz w:val="20"/>
          <w:szCs w:val="20"/>
        </w:rPr>
        <w:t>develop</w:t>
      </w:r>
      <w:r w:rsidR="006F7174" w:rsidRPr="4614C3A4">
        <w:rPr>
          <w:rFonts w:ascii="Open Sans" w:hAnsi="Open Sans" w:cs="Open Sans"/>
          <w:sz w:val="20"/>
          <w:szCs w:val="20"/>
        </w:rPr>
        <w:t>ed</w:t>
      </w:r>
      <w:r w:rsidR="007411A2" w:rsidRPr="4614C3A4">
        <w:rPr>
          <w:rFonts w:ascii="Open Sans" w:hAnsi="Open Sans" w:cs="Open Sans"/>
          <w:sz w:val="20"/>
          <w:szCs w:val="20"/>
        </w:rPr>
        <w:t xml:space="preserve"> and ma</w:t>
      </w:r>
      <w:r w:rsidR="006F7174" w:rsidRPr="4614C3A4">
        <w:rPr>
          <w:rFonts w:ascii="Open Sans" w:hAnsi="Open Sans" w:cs="Open Sans"/>
          <w:sz w:val="20"/>
          <w:szCs w:val="20"/>
        </w:rPr>
        <w:t>d</w:t>
      </w:r>
      <w:r w:rsidR="007411A2" w:rsidRPr="4614C3A4">
        <w:rPr>
          <w:rFonts w:ascii="Open Sans" w:hAnsi="Open Sans" w:cs="Open Sans"/>
          <w:sz w:val="20"/>
          <w:szCs w:val="20"/>
        </w:rPr>
        <w:t>e publicly available a Safe Return to In-Person Instruction and Continuity of Services Plan.</w:t>
      </w:r>
      <w:r w:rsidR="00807254" w:rsidRPr="4614C3A4">
        <w:rPr>
          <w:rFonts w:ascii="Open Sans" w:hAnsi="Open Sans" w:cs="Open Sans"/>
          <w:sz w:val="20"/>
          <w:szCs w:val="20"/>
        </w:rPr>
        <w:t xml:space="preserve"> </w:t>
      </w:r>
      <w:r w:rsidR="007411A2" w:rsidRPr="4614C3A4">
        <w:rPr>
          <w:rFonts w:ascii="Open Sans" w:hAnsi="Open Sans" w:cs="Open Sans"/>
          <w:sz w:val="20"/>
          <w:szCs w:val="20"/>
        </w:rPr>
        <w:t xml:space="preserve">All plans </w:t>
      </w:r>
      <w:r w:rsidR="006F7174" w:rsidRPr="4614C3A4">
        <w:rPr>
          <w:rFonts w:ascii="Open Sans" w:hAnsi="Open Sans" w:cs="Open Sans"/>
          <w:sz w:val="20"/>
          <w:szCs w:val="20"/>
        </w:rPr>
        <w:t>were</w:t>
      </w:r>
      <w:r w:rsidR="007411A2" w:rsidRPr="4614C3A4">
        <w:rPr>
          <w:rFonts w:ascii="Open Sans" w:hAnsi="Open Sans" w:cs="Open Sans"/>
          <w:sz w:val="20"/>
          <w:szCs w:val="20"/>
        </w:rPr>
        <w:t xml:space="preserve"> developed with meaningful public consultation with stakeholder groups.</w:t>
      </w:r>
      <w:r w:rsidR="00807254" w:rsidRPr="4614C3A4">
        <w:rPr>
          <w:rFonts w:ascii="Open Sans" w:hAnsi="Open Sans" w:cs="Open Sans"/>
          <w:sz w:val="20"/>
          <w:szCs w:val="20"/>
        </w:rPr>
        <w:t xml:space="preserve"> </w:t>
      </w:r>
      <w:r w:rsidR="004E4FCF" w:rsidRPr="4614C3A4">
        <w:rPr>
          <w:rFonts w:ascii="Open Sans" w:hAnsi="Open Sans" w:cs="Open Sans"/>
          <w:sz w:val="20"/>
          <w:szCs w:val="20"/>
        </w:rPr>
        <w:t xml:space="preserve">LEAs are required to update the plan every six months through </w:t>
      </w:r>
      <w:r w:rsidR="00EA7154" w:rsidRPr="4614C3A4">
        <w:rPr>
          <w:rFonts w:ascii="Open Sans" w:hAnsi="Open Sans" w:cs="Open Sans"/>
          <w:sz w:val="20"/>
          <w:szCs w:val="20"/>
        </w:rPr>
        <w:t xml:space="preserve">Sept. </w:t>
      </w:r>
      <w:r w:rsidR="2C708CD5" w:rsidRPr="4614C3A4">
        <w:rPr>
          <w:rFonts w:ascii="Open Sans" w:hAnsi="Open Sans" w:cs="Open Sans"/>
          <w:sz w:val="20"/>
          <w:szCs w:val="20"/>
        </w:rPr>
        <w:t>30, 2023</w:t>
      </w:r>
      <w:r w:rsidR="00EA7154" w:rsidRPr="4614C3A4">
        <w:rPr>
          <w:rFonts w:ascii="Open Sans" w:hAnsi="Open Sans" w:cs="Open Sans"/>
          <w:sz w:val="20"/>
          <w:szCs w:val="20"/>
        </w:rPr>
        <w:t>,</w:t>
      </w:r>
      <w:r w:rsidR="2C708CD5" w:rsidRPr="4614C3A4">
        <w:rPr>
          <w:rFonts w:ascii="Open Sans" w:hAnsi="Open Sans" w:cs="Open Sans"/>
          <w:sz w:val="20"/>
          <w:szCs w:val="20"/>
        </w:rPr>
        <w:t xml:space="preserve"> and</w:t>
      </w:r>
      <w:r w:rsidR="004E4FCF" w:rsidRPr="4614C3A4">
        <w:rPr>
          <w:rFonts w:ascii="Open Sans" w:hAnsi="Open Sans" w:cs="Open Sans"/>
          <w:sz w:val="20"/>
          <w:szCs w:val="20"/>
        </w:rPr>
        <w:t xml:space="preserve"> must seek public input on the plan and any </w:t>
      </w:r>
      <w:r w:rsidR="677FEB02" w:rsidRPr="4614C3A4">
        <w:rPr>
          <w:rFonts w:ascii="Open Sans" w:hAnsi="Open Sans" w:cs="Open Sans"/>
          <w:sz w:val="20"/>
          <w:szCs w:val="20"/>
        </w:rPr>
        <w:t>revisions and</w:t>
      </w:r>
      <w:r w:rsidR="004E4FCF" w:rsidRPr="4614C3A4">
        <w:rPr>
          <w:rFonts w:ascii="Open Sans" w:hAnsi="Open Sans" w:cs="Open Sans"/>
          <w:sz w:val="20"/>
          <w:szCs w:val="20"/>
        </w:rPr>
        <w:t xml:space="preserve"> must take such input into account.</w:t>
      </w:r>
      <w:r w:rsidR="00807254" w:rsidRPr="4614C3A4">
        <w:rPr>
          <w:rFonts w:ascii="Open Sans" w:hAnsi="Open Sans" w:cs="Open Sans"/>
          <w:sz w:val="20"/>
          <w:szCs w:val="20"/>
        </w:rPr>
        <w:t xml:space="preserve"> </w:t>
      </w:r>
      <w:r w:rsidR="00C06BCD" w:rsidRPr="4614C3A4">
        <w:rPr>
          <w:rFonts w:ascii="Open Sans" w:hAnsi="Open Sans" w:cs="Open Sans"/>
          <w:sz w:val="20"/>
          <w:szCs w:val="20"/>
        </w:rPr>
        <w:t xml:space="preserve">LEAs also must review and update their plans and ensure they align </w:t>
      </w:r>
      <w:r w:rsidR="00711A11">
        <w:rPr>
          <w:rFonts w:ascii="Open Sans" w:hAnsi="Open Sans" w:cs="Open Sans"/>
          <w:sz w:val="20"/>
          <w:szCs w:val="20"/>
        </w:rPr>
        <w:t>with</w:t>
      </w:r>
      <w:r w:rsidR="00711A11" w:rsidRPr="4614C3A4">
        <w:rPr>
          <w:rFonts w:ascii="Open Sans" w:hAnsi="Open Sans" w:cs="Open Sans"/>
          <w:sz w:val="20"/>
          <w:szCs w:val="20"/>
        </w:rPr>
        <w:t xml:space="preserve"> </w:t>
      </w:r>
      <w:r w:rsidR="00C06BCD" w:rsidRPr="4614C3A4">
        <w:rPr>
          <w:rFonts w:ascii="Open Sans" w:hAnsi="Open Sans" w:cs="Open Sans"/>
          <w:sz w:val="20"/>
          <w:szCs w:val="20"/>
        </w:rPr>
        <w:t xml:space="preserve">any significant changes to </w:t>
      </w:r>
      <w:bookmarkStart w:id="2" w:name="_Int_hH2skF2k"/>
      <w:r w:rsidR="00C06BCD" w:rsidRPr="4614C3A4">
        <w:rPr>
          <w:rFonts w:ascii="Open Sans" w:hAnsi="Open Sans" w:cs="Open Sans"/>
          <w:sz w:val="20"/>
          <w:szCs w:val="20"/>
        </w:rPr>
        <w:t>CDC</w:t>
      </w:r>
      <w:bookmarkEnd w:id="2"/>
      <w:r w:rsidR="00C06BCD" w:rsidRPr="4614C3A4">
        <w:rPr>
          <w:rFonts w:ascii="Open Sans" w:hAnsi="Open Sans" w:cs="Open Sans"/>
          <w:sz w:val="20"/>
          <w:szCs w:val="20"/>
        </w:rPr>
        <w:t xml:space="preserve"> recommendations for K-12 schools.</w:t>
      </w:r>
      <w:r w:rsidR="00807254" w:rsidRPr="4614C3A4">
        <w:rPr>
          <w:rFonts w:ascii="Open Sans" w:hAnsi="Open Sans" w:cs="Open Sans"/>
          <w:sz w:val="20"/>
          <w:szCs w:val="20"/>
        </w:rPr>
        <w:t xml:space="preserve"> </w:t>
      </w:r>
      <w:r w:rsidR="00C06BCD" w:rsidRPr="4614C3A4">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246B5E01"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5C0A10">
        <w:rPr>
          <w:rFonts w:ascii="Open Sans" w:hAnsi="Open Sans" w:cs="Open Sans"/>
          <w:sz w:val="20"/>
          <w:szCs w:val="20"/>
        </w:rPr>
        <w:t xml:space="preserve"> Hancock</w:t>
      </w:r>
      <w:r w:rsidR="006D78ED">
        <w:tab/>
      </w:r>
    </w:p>
    <w:p w14:paraId="60DAE3ED" w14:textId="0A3BB7E9"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5C0A10">
        <w:rPr>
          <w:rFonts w:ascii="Open Sans" w:hAnsi="Open Sans" w:cs="Open Sans"/>
          <w:sz w:val="20"/>
          <w:szCs w:val="20"/>
        </w:rPr>
        <w:t>9/14/2022</w:t>
      </w:r>
      <w:r w:rsidR="006D78ED" w:rsidRPr="00493901">
        <w:rPr>
          <w:rFonts w:ascii="Open Sans" w:hAnsi="Open Sans" w:cs="Open Sans"/>
          <w:sz w:val="20"/>
          <w:szCs w:val="20"/>
          <w:u w:val="single"/>
        </w:rPr>
        <w:tab/>
      </w:r>
    </w:p>
    <w:p w14:paraId="03D69ED2" w14:textId="5069E502"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D16EA6">
        <w:rPr>
          <w:rFonts w:ascii="Open Sans" w:hAnsi="Open Sans" w:cs="Open Sans"/>
          <w:b/>
          <w:bCs/>
          <w:sz w:val="20"/>
          <w:szCs w:val="20"/>
        </w:rPr>
        <w:t>how the LEA</w:t>
      </w:r>
      <w:r w:rsidR="19EEA9C4" w:rsidRPr="00D16EA6">
        <w:rPr>
          <w:rFonts w:ascii="Open Sans" w:hAnsi="Open Sans" w:cs="Open Sans"/>
          <w:b/>
          <w:bCs/>
          <w:sz w:val="20"/>
          <w:szCs w:val="20"/>
        </w:rPr>
        <w:t xml:space="preserve"> </w:t>
      </w:r>
      <w:r w:rsidR="00D16EA6" w:rsidRPr="00711A11">
        <w:rPr>
          <w:rFonts w:ascii="Open Sans" w:hAnsi="Open Sans" w:cs="Open Sans"/>
          <w:b/>
          <w:bCs/>
          <w:sz w:val="20"/>
          <w:szCs w:val="20"/>
        </w:rPr>
        <w:t>has continued to engage</w:t>
      </w:r>
      <w:r w:rsidR="00EC04B0" w:rsidRPr="00D16EA6">
        <w:rPr>
          <w:rFonts w:ascii="Open Sans" w:hAnsi="Open Sans" w:cs="Open Sans"/>
          <w:b/>
          <w:bCs/>
          <w:sz w:val="20"/>
          <w:szCs w:val="20"/>
        </w:rPr>
        <w:t xml:space="preserve"> in</w:t>
      </w:r>
      <w:r w:rsidR="00EC04B0" w:rsidRPr="00493901">
        <w:rPr>
          <w:rFonts w:ascii="Open Sans" w:hAnsi="Open Sans" w:cs="Open Sans"/>
          <w:b/>
          <w:bCs/>
          <w:sz w:val="20"/>
          <w:szCs w:val="20"/>
        </w:rPr>
        <w:t xml:space="preserve">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w:t>
      </w:r>
      <w:r w:rsidR="00E300C8">
        <w:rPr>
          <w:rFonts w:ascii="Open Sans" w:hAnsi="Open Sans" w:cs="Open Sans"/>
          <w:b/>
          <w:bCs/>
          <w:sz w:val="20"/>
          <w:szCs w:val="20"/>
        </w:rPr>
        <w:t xml:space="preserve">the </w:t>
      </w:r>
      <w:r w:rsidR="024FAF44" w:rsidRPr="00493901">
        <w:rPr>
          <w:rFonts w:ascii="Open Sans" w:hAnsi="Open Sans" w:cs="Open Sans"/>
          <w:b/>
          <w:bCs/>
          <w:sz w:val="20"/>
          <w:szCs w:val="20"/>
        </w:rPr>
        <w:t xml:space="preserve">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BE3E61" w:rsidRPr="00493901" w14:paraId="010D6879" w14:textId="77777777" w:rsidTr="007C0467">
        <w:trPr>
          <w:trHeight w:val="845"/>
        </w:trPr>
        <w:tc>
          <w:tcPr>
            <w:tcW w:w="9350" w:type="dxa"/>
          </w:tcPr>
          <w:p w14:paraId="06247087" w14:textId="77777777" w:rsidR="005C0A10" w:rsidRPr="005C0A10" w:rsidRDefault="005C0A10" w:rsidP="005C0A10">
            <w:pPr>
              <w:rPr>
                <w:rFonts w:ascii="Times New Roman" w:eastAsia="Times New Roman" w:hAnsi="Times New Roman" w:cs="Times New Roman"/>
              </w:rPr>
            </w:pPr>
            <w:r w:rsidRPr="005C0A10">
              <w:rPr>
                <w:rFonts w:ascii="Times New Roman" w:eastAsia="Times New Roman" w:hAnsi="Times New Roman" w:cs="Times New Roman"/>
              </w:rPr>
              <w:t>The LEA has conducted and will continue to conduct the following events directly related to the opening of schools, the instructional conduct, and use of ARP ESSER funds for the 2022-2023 school year.</w:t>
            </w:r>
          </w:p>
          <w:p w14:paraId="547836F7" w14:textId="77777777" w:rsidR="005C0A10" w:rsidRPr="005C0A10" w:rsidRDefault="005C0A10" w:rsidP="005C0A10">
            <w:pPr>
              <w:pStyle w:val="ListParagraph"/>
              <w:ind w:left="360"/>
              <w:rPr>
                <w:rFonts w:ascii="Times New Roman" w:eastAsia="Times New Roman" w:hAnsi="Times New Roman" w:cs="Times New Roman"/>
              </w:rPr>
            </w:pPr>
          </w:p>
          <w:p w14:paraId="3F0EEB78" w14:textId="18BE3808"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Community Forum 7/13/2022</w:t>
            </w:r>
          </w:p>
          <w:p w14:paraId="3A6C303D"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Community Forum/County Commissioners 7/11/2022</w:t>
            </w:r>
          </w:p>
          <w:p w14:paraId="63835F3D"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Continuous Learning Plan Family/School Group 7/28/2022</w:t>
            </w:r>
          </w:p>
          <w:p w14:paraId="41E98126"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School/Community Engagement Group: 7/29/2022</w:t>
            </w:r>
          </w:p>
          <w:p w14:paraId="360C6E6A"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 Teachers and Staff Meeting: 7/29/2022</w:t>
            </w:r>
          </w:p>
          <w:p w14:paraId="15F4A9A8"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School/Community Engagement Groups: 8/2/2022</w:t>
            </w:r>
          </w:p>
          <w:p w14:paraId="661D6101"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 Board Meetings: Monthly</w:t>
            </w:r>
          </w:p>
          <w:p w14:paraId="101F4E70"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Principal Meetings: Monthly</w:t>
            </w:r>
          </w:p>
          <w:p w14:paraId="1C10E7D2"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Coaches' Meetings: Monthly</w:t>
            </w:r>
          </w:p>
          <w:p w14:paraId="4F9A218E"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Social Media Postings Soliciting Parent and Community Input involving surveys posted online and in-person at meetings.</w:t>
            </w:r>
          </w:p>
          <w:p w14:paraId="13997440" w14:textId="77777777" w:rsidR="00BE3E61" w:rsidRPr="005C0A10" w:rsidRDefault="00BE3E61" w:rsidP="005C0A10">
            <w:pPr>
              <w:pStyle w:val="ListParagraph"/>
              <w:ind w:left="360"/>
              <w:rPr>
                <w:rFonts w:ascii="Open Sans" w:hAnsi="Open Sans" w:cs="Open Sans"/>
                <w:sz w:val="20"/>
                <w:szCs w:val="20"/>
              </w:rPr>
            </w:pP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007C0467">
        <w:trPr>
          <w:trHeight w:val="3482"/>
        </w:trPr>
        <w:tc>
          <w:tcPr>
            <w:tcW w:w="9350" w:type="dxa"/>
          </w:tcPr>
          <w:p w14:paraId="7A685679" w14:textId="77777777" w:rsidR="009844A3" w:rsidRPr="00FD4C0A" w:rsidRDefault="009844A3" w:rsidP="009844A3">
            <w:pPr>
              <w:pStyle w:val="ListParagraph"/>
              <w:numPr>
                <w:ilvl w:val="0"/>
                <w:numId w:val="7"/>
              </w:numPr>
              <w:rPr>
                <w:rFonts w:ascii="Times New Roman" w:eastAsia="Times New Roman" w:hAnsi="Times New Roman" w:cs="Times New Roman"/>
              </w:rPr>
            </w:pPr>
            <w:r w:rsidRPr="00FD4C0A">
              <w:rPr>
                <w:rFonts w:ascii="Times New Roman" w:eastAsia="Times New Roman" w:hAnsi="Times New Roman" w:cs="Times New Roman"/>
              </w:rPr>
              <w:lastRenderedPageBreak/>
              <w:t xml:space="preserve">Hancock County Schools has been part of weekly collaborative meetings with the regional health department and also communicates frequently with the local health department. This communication is ongoing. </w:t>
            </w:r>
          </w:p>
          <w:p w14:paraId="765F6A26" w14:textId="77777777" w:rsidR="00BE3E61" w:rsidRPr="00493901" w:rsidRDefault="00BE3E61" w:rsidP="782C1AF9">
            <w:pPr>
              <w:rPr>
                <w:rFonts w:ascii="Open Sans" w:hAnsi="Open Sans" w:cs="Open Sans"/>
                <w:sz w:val="20"/>
                <w:szCs w:val="20"/>
              </w:rPr>
            </w:pPr>
          </w:p>
        </w:tc>
      </w:tr>
    </w:tbl>
    <w:p w14:paraId="5995D548" w14:textId="77777777" w:rsidR="00242ED5" w:rsidRDefault="00242ED5">
      <w:pPr>
        <w:rPr>
          <w:rFonts w:ascii="Open Sans" w:hAnsi="Open Sans" w:cs="Open Sans"/>
          <w:sz w:val="20"/>
          <w:szCs w:val="20"/>
        </w:rPr>
      </w:pPr>
      <w:r>
        <w:rPr>
          <w:rFonts w:ascii="Open Sans" w:hAnsi="Open Sans" w:cs="Open Sans"/>
          <w:sz w:val="20"/>
          <w:szCs w:val="20"/>
        </w:rPr>
        <w:br w:type="page"/>
      </w:r>
    </w:p>
    <w:p w14:paraId="0DA38ACE" w14:textId="374A9929"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lastRenderedPageBreak/>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173BE974">
        <w:trPr>
          <w:trHeight w:val="288"/>
        </w:trPr>
        <w:tc>
          <w:tcPr>
            <w:tcW w:w="4675" w:type="dxa"/>
          </w:tcPr>
          <w:p w14:paraId="66117DD4" w14:textId="1BCEA3EF" w:rsidR="006D78ED" w:rsidRPr="00493901" w:rsidRDefault="2F84A497" w:rsidP="173BE974">
            <w:pPr>
              <w:autoSpaceDE w:val="0"/>
              <w:autoSpaceDN w:val="0"/>
              <w:adjustRightInd w:val="0"/>
              <w:rPr>
                <w:rFonts w:ascii="Open Sans" w:hAnsi="Open Sans" w:cs="Open Sans"/>
                <w:i/>
                <w:iCs/>
                <w:sz w:val="20"/>
                <w:szCs w:val="20"/>
              </w:rPr>
            </w:pPr>
            <w:r w:rsidRPr="173BE974">
              <w:rPr>
                <w:rFonts w:ascii="Open Sans" w:hAnsi="Open Sans" w:cs="Open Sans"/>
                <w:i/>
                <w:iCs/>
                <w:sz w:val="20"/>
                <w:szCs w:val="20"/>
              </w:rPr>
              <w:t xml:space="preserve"> Appropriate accommodations for children with disabilities with respect to health and safety policies</w:t>
            </w:r>
          </w:p>
        </w:tc>
      </w:tr>
      <w:tr w:rsidR="006D78ED" w:rsidRPr="00493901" w14:paraId="6218CAFA" w14:textId="77777777" w:rsidTr="173BE974">
        <w:trPr>
          <w:trHeight w:val="864"/>
        </w:trPr>
        <w:tc>
          <w:tcPr>
            <w:tcW w:w="4675" w:type="dxa"/>
          </w:tcPr>
          <w:p w14:paraId="06767587" w14:textId="77777777" w:rsidR="005C0A10" w:rsidRPr="00451D13" w:rsidRDefault="005C0A10" w:rsidP="005C0A10">
            <w:pPr>
              <w:numPr>
                <w:ilvl w:val="0"/>
                <w:numId w:val="4"/>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 xml:space="preserve">Hancock County Schools </w:t>
            </w:r>
            <w:r>
              <w:rPr>
                <w:rFonts w:ascii="Times New Roman" w:eastAsia="Times New Roman" w:hAnsi="Times New Roman" w:cs="Times New Roman"/>
                <w:color w:val="000000"/>
              </w:rPr>
              <w:t xml:space="preserve">began schools in person. </w:t>
            </w:r>
          </w:p>
          <w:p w14:paraId="09876E40" w14:textId="77777777" w:rsidR="005C0A10" w:rsidRPr="00EE513E" w:rsidRDefault="005C0A10" w:rsidP="005C0A10">
            <w:pPr>
              <w:numPr>
                <w:ilvl w:val="0"/>
                <w:numId w:val="4"/>
              </w:numPr>
              <w:textAlignment w:val="baseline"/>
              <w:rPr>
                <w:rFonts w:ascii="Times New Roman" w:eastAsia="Times New Roman" w:hAnsi="Times New Roman" w:cs="Times New Roman"/>
              </w:rPr>
            </w:pPr>
            <w:r w:rsidRPr="00451D13">
              <w:rPr>
                <w:rFonts w:ascii="Times New Roman" w:eastAsia="Times New Roman" w:hAnsi="Times New Roman" w:cs="Times New Roman"/>
                <w:color w:val="000000"/>
              </w:rPr>
              <w:t xml:space="preserve">Make-up work and assignments will be given to students who are </w:t>
            </w:r>
            <w:r>
              <w:rPr>
                <w:rFonts w:ascii="Times New Roman" w:eastAsia="Times New Roman" w:hAnsi="Times New Roman" w:cs="Times New Roman"/>
                <w:color w:val="000000"/>
              </w:rPr>
              <w:t>absent.</w:t>
            </w:r>
          </w:p>
          <w:p w14:paraId="1F876E37" w14:textId="0484C025"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328EBC51" w14:textId="77777777" w:rsidTr="173BE974">
        <w:trPr>
          <w:trHeight w:val="288"/>
        </w:trPr>
        <w:tc>
          <w:tcPr>
            <w:tcW w:w="4675"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173BE974">
        <w:trPr>
          <w:trHeight w:val="864"/>
        </w:trPr>
        <w:tc>
          <w:tcPr>
            <w:tcW w:w="4675" w:type="dxa"/>
          </w:tcPr>
          <w:p w14:paraId="05F79586" w14:textId="77777777" w:rsidR="009844A3" w:rsidRDefault="009844A3" w:rsidP="009844A3">
            <w:pPr>
              <w:numPr>
                <w:ilvl w:val="0"/>
                <w:numId w:val="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Physical distancing will be maintained throughout classrooms, cafeterias and other common areas as feasible. Lines will be staggered throughout schools. </w:t>
            </w:r>
          </w:p>
          <w:p w14:paraId="062FDD9F"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will be given handwashing breaks where needed.</w:t>
            </w:r>
          </w:p>
          <w:p w14:paraId="7555C91E"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Signage will be posted in all buildings encouraging frequent handwashing and social distancing. </w:t>
            </w:r>
          </w:p>
          <w:p w14:paraId="1A96EC6B" w14:textId="67AEB39C" w:rsidR="006D78ED" w:rsidRPr="00493901" w:rsidRDefault="006D78ED" w:rsidP="009844A3">
            <w:pPr>
              <w:textAlignment w:val="baseline"/>
              <w:rPr>
                <w:rFonts w:ascii="Open Sans" w:hAnsi="Open Sans" w:cs="Open Sans"/>
                <w:i/>
                <w:iCs/>
                <w:sz w:val="20"/>
                <w:szCs w:val="20"/>
              </w:rPr>
            </w:pPr>
          </w:p>
        </w:tc>
      </w:tr>
      <w:tr w:rsidR="006D78ED" w:rsidRPr="00493901" w14:paraId="6DC2FFFD" w14:textId="77777777" w:rsidTr="173BE974">
        <w:trPr>
          <w:trHeight w:val="288"/>
        </w:trPr>
        <w:tc>
          <w:tcPr>
            <w:tcW w:w="4675"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173BE974">
        <w:trPr>
          <w:trHeight w:val="864"/>
        </w:trPr>
        <w:tc>
          <w:tcPr>
            <w:tcW w:w="4675" w:type="dxa"/>
          </w:tcPr>
          <w:p w14:paraId="4A2B1A77"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will be given handwashing breaks where needed.</w:t>
            </w:r>
          </w:p>
          <w:p w14:paraId="72A3214B"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Signage will be posted in all buildings encouraging frequent handwashing and social distancing. </w:t>
            </w:r>
          </w:p>
          <w:p w14:paraId="7ADEDBB6" w14:textId="1A886DA4"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7A897AE6" w14:textId="77777777" w:rsidTr="173BE974">
        <w:trPr>
          <w:trHeight w:val="288"/>
        </w:trPr>
        <w:tc>
          <w:tcPr>
            <w:tcW w:w="4675"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173BE974">
        <w:trPr>
          <w:trHeight w:val="864"/>
        </w:trPr>
        <w:tc>
          <w:tcPr>
            <w:tcW w:w="4675" w:type="dxa"/>
          </w:tcPr>
          <w:p w14:paraId="354280B2" w14:textId="77777777" w:rsidR="009844A3" w:rsidRPr="005B6177" w:rsidRDefault="009844A3" w:rsidP="009844A3">
            <w:pPr>
              <w:pStyle w:val="ListParagraph"/>
              <w:numPr>
                <w:ilvl w:val="0"/>
                <w:numId w:val="6"/>
              </w:numPr>
              <w:textAlignment w:val="baseline"/>
              <w:rPr>
                <w:rFonts w:ascii="Times New Roman" w:eastAsia="Times New Roman" w:hAnsi="Times New Roman" w:cs="Times New Roman"/>
                <w:i/>
                <w:iCs/>
                <w:color w:val="000000"/>
              </w:rPr>
            </w:pPr>
            <w:r w:rsidRPr="00506E09">
              <w:rPr>
                <w:rFonts w:ascii="Times New Roman" w:eastAsia="Times New Roman" w:hAnsi="Times New Roman" w:cs="Times New Roman"/>
                <w:color w:val="000000"/>
              </w:rPr>
              <w:t>Frequently touched surfaces will be regularly cleaned and sanitized. This includes door handles, sink handles, bathroom fixtures, desks/tables, and playground equipment.</w:t>
            </w:r>
          </w:p>
          <w:p w14:paraId="69C0F984" w14:textId="62555843"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7F702806" w14:textId="77777777" w:rsidTr="173BE974">
        <w:trPr>
          <w:trHeight w:val="288"/>
        </w:trPr>
        <w:tc>
          <w:tcPr>
            <w:tcW w:w="4675"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173BE974">
        <w:trPr>
          <w:trHeight w:val="864"/>
        </w:trPr>
        <w:tc>
          <w:tcPr>
            <w:tcW w:w="4675" w:type="dxa"/>
          </w:tcPr>
          <w:p w14:paraId="7B74682E" w14:textId="77777777" w:rsidR="009844A3" w:rsidRDefault="009844A3" w:rsidP="009844A3">
            <w:pPr>
              <w:numPr>
                <w:ilvl w:val="0"/>
                <w:numId w:val="7"/>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current CDC and TN Health Department guidelines </w:t>
            </w:r>
            <w:r w:rsidRPr="00451D13">
              <w:rPr>
                <w:rFonts w:ascii="Times New Roman" w:eastAsia="Times New Roman" w:hAnsi="Times New Roman" w:cs="Times New Roman"/>
                <w:color w:val="000000"/>
              </w:rPr>
              <w:t>Hancock County Schools</w:t>
            </w:r>
            <w:r>
              <w:rPr>
                <w:rFonts w:ascii="Times New Roman" w:eastAsia="Times New Roman" w:hAnsi="Times New Roman" w:cs="Times New Roman"/>
                <w:color w:val="000000"/>
              </w:rPr>
              <w:t xml:space="preserve"> no longer contact traces or quarantines students or staff.</w:t>
            </w:r>
            <w:r w:rsidRPr="00451D13">
              <w:rPr>
                <w:rFonts w:ascii="Times New Roman" w:eastAsia="Times New Roman" w:hAnsi="Times New Roman" w:cs="Times New Roman"/>
                <w:color w:val="000000"/>
              </w:rPr>
              <w:t xml:space="preserve"> </w:t>
            </w:r>
          </w:p>
          <w:p w14:paraId="59C61D7A" w14:textId="77777777" w:rsidR="009844A3" w:rsidRPr="00451D13" w:rsidRDefault="009844A3" w:rsidP="009844A3">
            <w:pPr>
              <w:numPr>
                <w:ilvl w:val="0"/>
                <w:numId w:val="7"/>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Please contact the local health department for guidance on quarantine or isolation periods.</w:t>
            </w:r>
          </w:p>
          <w:p w14:paraId="17CF02D9" w14:textId="3AD438BE"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0CEAE32" w14:textId="77777777" w:rsidTr="173BE974">
        <w:trPr>
          <w:trHeight w:val="288"/>
        </w:trPr>
        <w:tc>
          <w:tcPr>
            <w:tcW w:w="4675"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173BE974">
        <w:trPr>
          <w:trHeight w:val="864"/>
        </w:trPr>
        <w:tc>
          <w:tcPr>
            <w:tcW w:w="4675" w:type="dxa"/>
          </w:tcPr>
          <w:p w14:paraId="771A8AAF" w14:textId="77777777" w:rsidR="009844A3" w:rsidRPr="00451D13" w:rsidRDefault="009844A3" w:rsidP="009844A3">
            <w:pPr>
              <w:numPr>
                <w:ilvl w:val="0"/>
                <w:numId w:val="8"/>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Parents are asked to be diligent in monitoring their child’s health. Anyone who feels sick should remain home. </w:t>
            </w:r>
          </w:p>
          <w:p w14:paraId="50475D20" w14:textId="77777777" w:rsidR="009844A3" w:rsidRDefault="009844A3" w:rsidP="009844A3">
            <w:pPr>
              <w:numPr>
                <w:ilvl w:val="0"/>
                <w:numId w:val="8"/>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If a student becomes ill during the course of the school day, he or she will be taken to a safe area of isolation while a parent or guardian is contacted. </w:t>
            </w:r>
          </w:p>
          <w:p w14:paraId="5CCC70B6" w14:textId="77777777" w:rsidR="009844A3" w:rsidRPr="00451D13" w:rsidRDefault="009844A3" w:rsidP="009844A3">
            <w:pPr>
              <w:numPr>
                <w:ilvl w:val="0"/>
                <w:numId w:val="8"/>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Hancock County Schools has a school-based health clinic located on site at the elementary school and at the middle/high school.</w:t>
            </w:r>
          </w:p>
          <w:p w14:paraId="2A0CD906" w14:textId="77777777" w:rsidR="009844A3" w:rsidRPr="00EE513E" w:rsidRDefault="009844A3" w:rsidP="009844A3">
            <w:pPr>
              <w:numPr>
                <w:ilvl w:val="0"/>
                <w:numId w:val="8"/>
              </w:numPr>
              <w:textAlignment w:val="baseline"/>
              <w:rPr>
                <w:rFonts w:ascii="Times New Roman" w:eastAsia="Times New Roman" w:hAnsi="Times New Roman" w:cs="Times New Roman"/>
              </w:rPr>
            </w:pPr>
            <w:r w:rsidRPr="00EE513E">
              <w:rPr>
                <w:rFonts w:ascii="Times New Roman" w:eastAsia="Times New Roman" w:hAnsi="Times New Roman" w:cs="Times New Roman"/>
                <w:color w:val="000000"/>
              </w:rPr>
              <w:t>The clinics will provide medical consultation as necessary</w:t>
            </w:r>
            <w:r>
              <w:rPr>
                <w:rFonts w:ascii="Times New Roman" w:eastAsia="Times New Roman" w:hAnsi="Times New Roman" w:cs="Times New Roman"/>
                <w:color w:val="000000"/>
              </w:rPr>
              <w:t xml:space="preserve">. </w:t>
            </w:r>
          </w:p>
          <w:p w14:paraId="5CD13835" w14:textId="3DDF59CA"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4AE91A50" w14:textId="77777777" w:rsidTr="173BE974">
        <w:trPr>
          <w:trHeight w:val="288"/>
        </w:trPr>
        <w:tc>
          <w:tcPr>
            <w:tcW w:w="4675"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6D78ED" w:rsidRPr="00493901" w14:paraId="1257B165" w14:textId="77777777" w:rsidTr="173BE974">
        <w:trPr>
          <w:trHeight w:val="864"/>
        </w:trPr>
        <w:tc>
          <w:tcPr>
            <w:tcW w:w="4675" w:type="dxa"/>
          </w:tcPr>
          <w:p w14:paraId="455A7EDF" w14:textId="77777777" w:rsidR="009844A3" w:rsidRPr="00451D13" w:rsidRDefault="009844A3" w:rsidP="009844A3">
            <w:pPr>
              <w:numPr>
                <w:ilvl w:val="0"/>
                <w:numId w:val="9"/>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 xml:space="preserve">The Hancock County Health Department has provided multiple opportunities for vaccination for educators and staff as well as children ages </w:t>
            </w:r>
            <w:r>
              <w:rPr>
                <w:rFonts w:ascii="Times New Roman" w:eastAsia="Times New Roman" w:hAnsi="Times New Roman" w:cs="Times New Roman"/>
                <w:color w:val="000000"/>
              </w:rPr>
              <w:t>5</w:t>
            </w:r>
            <w:r w:rsidRPr="00451D13">
              <w:rPr>
                <w:rFonts w:ascii="Times New Roman" w:eastAsia="Times New Roman" w:hAnsi="Times New Roman" w:cs="Times New Roman"/>
                <w:color w:val="000000"/>
              </w:rPr>
              <w:t xml:space="preserve"> and above.</w:t>
            </w:r>
          </w:p>
          <w:p w14:paraId="3BC20502" w14:textId="77777777" w:rsidR="009844A3" w:rsidRDefault="009844A3" w:rsidP="009844A3">
            <w:pPr>
              <w:numPr>
                <w:ilvl w:val="0"/>
                <w:numId w:val="9"/>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Each employee of Hancock County Schools and students who are eligible have had and continue to have multiple opportunities to become vaccinated. </w:t>
            </w:r>
          </w:p>
          <w:p w14:paraId="5E93EE8E" w14:textId="40DE7B35"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15EAB04" w14:textId="77777777" w:rsidTr="173BE974">
        <w:trPr>
          <w:trHeight w:val="288"/>
        </w:trPr>
        <w:tc>
          <w:tcPr>
            <w:tcW w:w="4675" w:type="dxa"/>
          </w:tcPr>
          <w:p w14:paraId="68389ADF" w14:textId="3F4B97E1" w:rsidR="006D78ED" w:rsidRPr="00493901" w:rsidRDefault="66EAE71F" w:rsidP="5E84FD41">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6D78ED" w:rsidRPr="00493901" w14:paraId="389BD02E" w14:textId="77777777" w:rsidTr="173BE974">
        <w:trPr>
          <w:trHeight w:val="864"/>
        </w:trPr>
        <w:tc>
          <w:tcPr>
            <w:tcW w:w="4675" w:type="dxa"/>
          </w:tcPr>
          <w:p w14:paraId="71637563" w14:textId="77777777" w:rsidR="009844A3" w:rsidRPr="00893E14" w:rsidRDefault="009844A3" w:rsidP="009844A3">
            <w:pPr>
              <w:pStyle w:val="ListParagraph"/>
              <w:numPr>
                <w:ilvl w:val="0"/>
                <w:numId w:val="6"/>
              </w:numPr>
              <w:rPr>
                <w:rFonts w:ascii="Times New Roman" w:eastAsia="Times New Roman" w:hAnsi="Times New Roman" w:cs="Times New Roman"/>
              </w:rPr>
            </w:pPr>
            <w:r w:rsidRPr="00893E14">
              <w:rPr>
                <w:rFonts w:ascii="Times New Roman" w:eastAsia="Times New Roman" w:hAnsi="Times New Roman" w:cs="Times New Roman"/>
                <w:color w:val="000000"/>
              </w:rPr>
              <w:t xml:space="preserve">At this time, masks are </w:t>
            </w:r>
            <w:r>
              <w:rPr>
                <w:rFonts w:ascii="Times New Roman" w:eastAsia="Times New Roman" w:hAnsi="Times New Roman" w:cs="Times New Roman"/>
                <w:color w:val="000000"/>
              </w:rPr>
              <w:t xml:space="preserve">optional </w:t>
            </w:r>
            <w:r w:rsidRPr="00893E14">
              <w:rPr>
                <w:rFonts w:ascii="Times New Roman" w:eastAsia="Times New Roman" w:hAnsi="Times New Roman" w:cs="Times New Roman"/>
                <w:color w:val="000000"/>
              </w:rPr>
              <w:t>for all students, staff and visitors.</w:t>
            </w:r>
          </w:p>
          <w:p w14:paraId="5A7BED43" w14:textId="7A7790D2" w:rsidR="006D78ED" w:rsidRPr="00493901" w:rsidRDefault="006D78ED" w:rsidP="00BF0E88">
            <w:pPr>
              <w:autoSpaceDE w:val="0"/>
              <w:autoSpaceDN w:val="0"/>
              <w:adjustRightInd w:val="0"/>
              <w:rPr>
                <w:rFonts w:ascii="Open Sans" w:hAnsi="Open Sans" w:cs="Open Sans"/>
                <w:i/>
                <w:iCs/>
                <w:sz w:val="20"/>
                <w:szCs w:val="20"/>
              </w:rPr>
            </w:pP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4D8A072D"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 xml:space="preserve">how the LEA is ensuring continuity of services including but not limited to services </w:t>
      </w:r>
      <w:r w:rsidR="002F126E">
        <w:rPr>
          <w:rFonts w:ascii="Open Sans" w:hAnsi="Open Sans" w:cs="Open Sans"/>
          <w:b/>
          <w:bCs/>
          <w:sz w:val="20"/>
          <w:szCs w:val="20"/>
        </w:rPr>
        <w:t>that</w:t>
      </w:r>
      <w:r w:rsidR="002F126E" w:rsidRPr="00CF10D1">
        <w:rPr>
          <w:rFonts w:ascii="Open Sans" w:hAnsi="Open Sans" w:cs="Open Sans"/>
          <w:b/>
          <w:bCs/>
          <w:sz w:val="20"/>
          <w:szCs w:val="20"/>
        </w:rPr>
        <w:t xml:space="preserve"> </w:t>
      </w:r>
      <w:r w:rsidR="00BF0E88" w:rsidRPr="00CF10D1">
        <w:rPr>
          <w:rFonts w:ascii="Open Sans" w:hAnsi="Open Sans" w:cs="Open Sans"/>
          <w:b/>
          <w:bCs/>
          <w:sz w:val="20"/>
          <w:szCs w:val="20"/>
        </w:rPr>
        <w:t xml:space="preserve">address students’ academic needs and students’ and </w:t>
      </w:r>
      <w:r w:rsidR="007C64A1">
        <w:rPr>
          <w:rFonts w:ascii="Open Sans" w:hAnsi="Open Sans" w:cs="Open Sans"/>
          <w:b/>
          <w:bCs/>
          <w:sz w:val="20"/>
          <w:szCs w:val="20"/>
        </w:rPr>
        <w:t>staff’s</w:t>
      </w:r>
      <w:r w:rsidR="007C64A1" w:rsidRPr="00CF10D1">
        <w:rPr>
          <w:rFonts w:ascii="Open Sans" w:hAnsi="Open Sans" w:cs="Open Sans"/>
          <w:b/>
          <w:bCs/>
          <w:sz w:val="20"/>
          <w:szCs w:val="20"/>
        </w:rPr>
        <w:t xml:space="preserve"> </w:t>
      </w:r>
      <w:r w:rsidR="00BF0E88" w:rsidRPr="00CF10D1">
        <w:rPr>
          <w:rFonts w:ascii="Open Sans" w:hAnsi="Open Sans" w:cs="Open Sans"/>
          <w:b/>
          <w:bCs/>
          <w:sz w:val="20"/>
          <w:szCs w:val="20"/>
        </w:rPr>
        <w:t>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6E4B307A"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Based on our plan we began school in-person on August 1, 2022. We expect to be able to provide all services to students and families in accordance with policies, statutes, and all regulations. Common sense infectious disease prevention efforts will remain in place based on CDC and Tennessee Department of Health guidelines. Our reopening plan has been publicly released.</w:t>
            </w:r>
          </w:p>
          <w:p w14:paraId="558FA770"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 </w:t>
            </w:r>
          </w:p>
          <w:p w14:paraId="03175BEB"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Student academic needs, including learning loss and acceleration, will be addressed through Tier I, II, and III instruction and research-based interventions. The district has hired focus teachers to add to these strategies. Using ESSER funding, student and staff social and emotional support will be enhanced with additional resources. Both of our schools have school counselors. Both schools also have a school-based health center on site to address health concerns and conduct any necessary action against Covid-19. Food service operations will be provided, per regulations, in all schools. Any need to provide remote meals will be met. </w:t>
            </w:r>
          </w:p>
          <w:p w14:paraId="322DECE3" w14:textId="77777777" w:rsidR="005C0A10" w:rsidRPr="005C0A10" w:rsidRDefault="005C0A10" w:rsidP="005C0A10">
            <w:pPr>
              <w:pStyle w:val="ListParagraph"/>
              <w:ind w:left="360"/>
              <w:rPr>
                <w:rFonts w:ascii="Times New Roman" w:eastAsia="Times New Roman" w:hAnsi="Times New Roman" w:cs="Times New Roman"/>
              </w:rPr>
            </w:pPr>
          </w:p>
          <w:p w14:paraId="26E581E2"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Additional ESSER funding has been allocated to purchase and implement research-based, results-proven skills and standards-based interventions and curriculum to help address learning loss and student acceleration. These programs include, BrainPOP, Reflex Math, and IXL and other programs selected and approved by the district. These programs will primarily benefit our subgroups including SWD and ED. </w:t>
            </w:r>
          </w:p>
          <w:p w14:paraId="4DB4752C" w14:textId="77777777" w:rsidR="005C0A10" w:rsidRPr="005C0A10" w:rsidRDefault="005C0A10" w:rsidP="005C0A10">
            <w:pPr>
              <w:pStyle w:val="ListParagraph"/>
              <w:ind w:left="360"/>
              <w:rPr>
                <w:rFonts w:ascii="Times New Roman" w:eastAsia="Times New Roman" w:hAnsi="Times New Roman" w:cs="Times New Roman"/>
              </w:rPr>
            </w:pPr>
          </w:p>
          <w:p w14:paraId="1EFFEA0F"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Foundational Literacy Skills Plan: This plan articulates our process for ensuring our K-5 students receive the best possible instruction in foundational literacy. It is posted on our district website: </w:t>
            </w:r>
            <w:hyperlink r:id="rId10" w:history="1">
              <w:r w:rsidRPr="005C0A10">
                <w:rPr>
                  <w:rStyle w:val="Hyperlink"/>
                  <w:rFonts w:ascii="Times New Roman" w:eastAsia="Times New Roman" w:hAnsi="Times New Roman" w:cs="Times New Roman"/>
                </w:rPr>
                <w:t>www.hancockcountyschools.com</w:t>
              </w:r>
            </w:hyperlink>
            <w:r w:rsidRPr="005C0A10">
              <w:rPr>
                <w:rFonts w:ascii="Times New Roman" w:eastAsia="Times New Roman" w:hAnsi="Times New Roman" w:cs="Times New Roman"/>
              </w:rPr>
              <w:t>.</w:t>
            </w:r>
          </w:p>
          <w:p w14:paraId="5AC30974" w14:textId="77777777" w:rsidR="005C0A10" w:rsidRPr="005C0A10" w:rsidRDefault="005C0A10" w:rsidP="005C0A10">
            <w:pPr>
              <w:pStyle w:val="ListParagraph"/>
              <w:ind w:left="360"/>
              <w:rPr>
                <w:rFonts w:ascii="Times New Roman" w:eastAsia="Times New Roman" w:hAnsi="Times New Roman" w:cs="Times New Roman"/>
              </w:rPr>
            </w:pPr>
          </w:p>
          <w:p w14:paraId="074E9657"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 The Director of Schools has also created an Early Literacy Working Group comprised of principals, teachers, and academic coaches. This working group will focus on addressing district concerns around early literacy, identifying challenges, and implementing best practices. </w:t>
            </w:r>
          </w:p>
          <w:p w14:paraId="61BCED10" w14:textId="77777777" w:rsidR="006D78ED" w:rsidRPr="005C0A10" w:rsidRDefault="006D78ED" w:rsidP="005C0A10">
            <w:pPr>
              <w:pStyle w:val="ListParagraph"/>
              <w:autoSpaceDE w:val="0"/>
              <w:autoSpaceDN w:val="0"/>
              <w:adjustRightInd w:val="0"/>
              <w:ind w:left="360"/>
              <w:rPr>
                <w:rFonts w:ascii="Open Sans" w:hAnsi="Open Sans" w:cs="Open Sans"/>
                <w:sz w:val="20"/>
                <w:szCs w:val="20"/>
              </w:rPr>
            </w:pPr>
          </w:p>
        </w:tc>
      </w:tr>
    </w:tbl>
    <w:p w14:paraId="6156D206" w14:textId="3DA04865" w:rsidR="006D78ED" w:rsidRPr="00711A11" w:rsidRDefault="006D78ED" w:rsidP="00493901">
      <w:pPr>
        <w:rPr>
          <w:rFonts w:ascii="Open Sans" w:hAnsi="Open Sans" w:cs="Open Sans"/>
          <w:b/>
          <w:bCs/>
          <w:sz w:val="2"/>
          <w:szCs w:val="2"/>
        </w:rPr>
      </w:pPr>
    </w:p>
    <w:sectPr w:rsidR="006D78ED" w:rsidRPr="00711A11" w:rsidSect="00C25ED8">
      <w:headerReference w:type="default" r:id="rId11"/>
      <w:footerReference w:type="default" r:id="rId1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DA1F" w14:textId="77777777" w:rsidR="005065EC" w:rsidRDefault="005065EC" w:rsidP="000D7E9E">
      <w:pPr>
        <w:spacing w:after="0" w:line="240" w:lineRule="auto"/>
      </w:pPr>
      <w:r>
        <w:separator/>
      </w:r>
    </w:p>
  </w:endnote>
  <w:endnote w:type="continuationSeparator" w:id="0">
    <w:p w14:paraId="110816B0" w14:textId="77777777" w:rsidR="005065EC" w:rsidRDefault="005065EC" w:rsidP="000D7E9E">
      <w:pPr>
        <w:spacing w:after="0" w:line="240" w:lineRule="auto"/>
      </w:pPr>
      <w:r>
        <w:continuationSeparator/>
      </w:r>
    </w:p>
  </w:endnote>
  <w:endnote w:type="continuationNotice" w:id="1">
    <w:p w14:paraId="06A981D5" w14:textId="77777777" w:rsidR="005065EC" w:rsidRDefault="00506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ermianSlabSerifTypeface">
    <w:altName w:val="Calibri"/>
    <w:panose1 w:val="020B0604020202020204"/>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" stroked="f">
              <v:textbox style="mso-fit-shape-to-text:t">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1D327" id="Straight Connector 5"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" strokecolor="#c82630" strokeweight=".5pt">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8D4F" w14:textId="77777777" w:rsidR="005065EC" w:rsidRDefault="005065EC" w:rsidP="000D7E9E">
      <w:pPr>
        <w:spacing w:after="0" w:line="240" w:lineRule="auto"/>
      </w:pPr>
      <w:r>
        <w:separator/>
      </w:r>
    </w:p>
  </w:footnote>
  <w:footnote w:type="continuationSeparator" w:id="0">
    <w:p w14:paraId="0F026520" w14:textId="77777777" w:rsidR="005065EC" w:rsidRDefault="005065EC" w:rsidP="000D7E9E">
      <w:pPr>
        <w:spacing w:after="0" w:line="240" w:lineRule="auto"/>
      </w:pPr>
      <w:r>
        <w:continuationSeparator/>
      </w:r>
    </w:p>
  </w:footnote>
  <w:footnote w:type="continuationNotice" w:id="1">
    <w:p w14:paraId="6FD53CD7" w14:textId="77777777" w:rsidR="005065EC" w:rsidRDefault="00506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H2skF2k" int2:invalidationBookmarkName="" int2:hashCode="bjy124o04G58Ve" int2:id="CHP8zZzB">
      <int2:state int2:value="Rejected" int2:type="AugLoop_Acronyms_AcronymsCritique"/>
    </int2:bookmark>
    <int2:bookmark int2:bookmarkName="_Int_AuhuuoUV" int2:invalidationBookmarkName="" int2:hashCode="h+Y/ksHtcNReFW" int2:id="3Vqratq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881"/>
    <w:multiLevelType w:val="multilevel"/>
    <w:tmpl w:val="99B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070"/>
    <w:multiLevelType w:val="multilevel"/>
    <w:tmpl w:val="7B4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3" w15:restartNumberingAfterBreak="0">
    <w:nsid w:val="3A436D63"/>
    <w:multiLevelType w:val="multilevel"/>
    <w:tmpl w:val="6016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83D2C"/>
    <w:multiLevelType w:val="hybridMultilevel"/>
    <w:tmpl w:val="022A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348EE"/>
    <w:multiLevelType w:val="multilevel"/>
    <w:tmpl w:val="AA6C70A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E5C7A"/>
    <w:multiLevelType w:val="multilevel"/>
    <w:tmpl w:val="1C4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5339">
    <w:abstractNumId w:val="2"/>
  </w:num>
  <w:num w:numId="2" w16cid:durableId="1923174735">
    <w:abstractNumId w:val="8"/>
  </w:num>
  <w:num w:numId="3" w16cid:durableId="1197623857">
    <w:abstractNumId w:val="4"/>
  </w:num>
  <w:num w:numId="4" w16cid:durableId="124353131">
    <w:abstractNumId w:val="0"/>
  </w:num>
  <w:num w:numId="5" w16cid:durableId="244613064">
    <w:abstractNumId w:val="1"/>
  </w:num>
  <w:num w:numId="6" w16cid:durableId="1494639891">
    <w:abstractNumId w:val="5"/>
  </w:num>
  <w:num w:numId="7" w16cid:durableId="588077647">
    <w:abstractNumId w:val="7"/>
  </w:num>
  <w:num w:numId="8" w16cid:durableId="1709335946">
    <w:abstractNumId w:val="3"/>
  </w:num>
  <w:num w:numId="9" w16cid:durableId="1860045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wUAGnSyBiwAAAA="/>
  </w:docVars>
  <w:rsids>
    <w:rsidRoot w:val="00EC04B0"/>
    <w:rsid w:val="00005A4C"/>
    <w:rsid w:val="0004469F"/>
    <w:rsid w:val="000469F3"/>
    <w:rsid w:val="00056801"/>
    <w:rsid w:val="00096988"/>
    <w:rsid w:val="000D7E9E"/>
    <w:rsid w:val="000F4863"/>
    <w:rsid w:val="000F7C25"/>
    <w:rsid w:val="00116541"/>
    <w:rsid w:val="001200C4"/>
    <w:rsid w:val="00146D99"/>
    <w:rsid w:val="0016120D"/>
    <w:rsid w:val="001952C5"/>
    <w:rsid w:val="00196483"/>
    <w:rsid w:val="001A4F30"/>
    <w:rsid w:val="001D32F4"/>
    <w:rsid w:val="001D6C5B"/>
    <w:rsid w:val="001F7468"/>
    <w:rsid w:val="00213479"/>
    <w:rsid w:val="00223829"/>
    <w:rsid w:val="00236673"/>
    <w:rsid w:val="00242ED5"/>
    <w:rsid w:val="0024473D"/>
    <w:rsid w:val="002E0809"/>
    <w:rsid w:val="002F126E"/>
    <w:rsid w:val="002F73F8"/>
    <w:rsid w:val="00370F5E"/>
    <w:rsid w:val="003859C3"/>
    <w:rsid w:val="003C61A2"/>
    <w:rsid w:val="003D06AD"/>
    <w:rsid w:val="004332C4"/>
    <w:rsid w:val="00483C49"/>
    <w:rsid w:val="00493901"/>
    <w:rsid w:val="004E4FCF"/>
    <w:rsid w:val="004F2F59"/>
    <w:rsid w:val="005065EC"/>
    <w:rsid w:val="00550296"/>
    <w:rsid w:val="005A4D21"/>
    <w:rsid w:val="005C0A10"/>
    <w:rsid w:val="005D6FEC"/>
    <w:rsid w:val="005E1E89"/>
    <w:rsid w:val="0064605A"/>
    <w:rsid w:val="006879FC"/>
    <w:rsid w:val="006A3BE2"/>
    <w:rsid w:val="006C32EA"/>
    <w:rsid w:val="006D78ED"/>
    <w:rsid w:val="006F7174"/>
    <w:rsid w:val="007025BC"/>
    <w:rsid w:val="00706238"/>
    <w:rsid w:val="00711A11"/>
    <w:rsid w:val="00722F1A"/>
    <w:rsid w:val="007411A2"/>
    <w:rsid w:val="0077152A"/>
    <w:rsid w:val="00776594"/>
    <w:rsid w:val="007924E0"/>
    <w:rsid w:val="007976B8"/>
    <w:rsid w:val="007C0467"/>
    <w:rsid w:val="007C64A1"/>
    <w:rsid w:val="007F2524"/>
    <w:rsid w:val="00806807"/>
    <w:rsid w:val="00807254"/>
    <w:rsid w:val="00812E35"/>
    <w:rsid w:val="00832507"/>
    <w:rsid w:val="00852FC7"/>
    <w:rsid w:val="008B41A8"/>
    <w:rsid w:val="008C793A"/>
    <w:rsid w:val="008F0BD8"/>
    <w:rsid w:val="00910E06"/>
    <w:rsid w:val="00934128"/>
    <w:rsid w:val="009575C2"/>
    <w:rsid w:val="00963D55"/>
    <w:rsid w:val="009844A3"/>
    <w:rsid w:val="00987F12"/>
    <w:rsid w:val="00A00529"/>
    <w:rsid w:val="00A009F8"/>
    <w:rsid w:val="00A241FF"/>
    <w:rsid w:val="00A6242A"/>
    <w:rsid w:val="00A736C0"/>
    <w:rsid w:val="00A737B8"/>
    <w:rsid w:val="00A76668"/>
    <w:rsid w:val="00AA446B"/>
    <w:rsid w:val="00AA7FE0"/>
    <w:rsid w:val="00AC4ED9"/>
    <w:rsid w:val="00B05A99"/>
    <w:rsid w:val="00B707B9"/>
    <w:rsid w:val="00BC4D34"/>
    <w:rsid w:val="00BD42D7"/>
    <w:rsid w:val="00BE3E61"/>
    <w:rsid w:val="00BE66F2"/>
    <w:rsid w:val="00BF0E88"/>
    <w:rsid w:val="00C06BCD"/>
    <w:rsid w:val="00C25ED8"/>
    <w:rsid w:val="00C6586B"/>
    <w:rsid w:val="00CC6E6B"/>
    <w:rsid w:val="00CF10D1"/>
    <w:rsid w:val="00D07A1C"/>
    <w:rsid w:val="00D16EA6"/>
    <w:rsid w:val="00D468F2"/>
    <w:rsid w:val="00D524C8"/>
    <w:rsid w:val="00DA36BB"/>
    <w:rsid w:val="00DC40A7"/>
    <w:rsid w:val="00DD669C"/>
    <w:rsid w:val="00DE77AE"/>
    <w:rsid w:val="00E300C8"/>
    <w:rsid w:val="00E4600E"/>
    <w:rsid w:val="00E8076C"/>
    <w:rsid w:val="00E973DE"/>
    <w:rsid w:val="00E97F48"/>
    <w:rsid w:val="00EA7154"/>
    <w:rsid w:val="00EC04B0"/>
    <w:rsid w:val="00ED4112"/>
    <w:rsid w:val="00EE3351"/>
    <w:rsid w:val="00F23B39"/>
    <w:rsid w:val="00F35EDE"/>
    <w:rsid w:val="00F66161"/>
    <w:rsid w:val="00F6630E"/>
    <w:rsid w:val="00F94EE8"/>
    <w:rsid w:val="00FB1816"/>
    <w:rsid w:val="00FC45F7"/>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A1B70B4"/>
    <w:rsid w:val="1E2282D0"/>
    <w:rsid w:val="1E397907"/>
    <w:rsid w:val="1EB64644"/>
    <w:rsid w:val="218F90AE"/>
    <w:rsid w:val="21BE913A"/>
    <w:rsid w:val="21EFF4DA"/>
    <w:rsid w:val="23A9C024"/>
    <w:rsid w:val="23D01BA0"/>
    <w:rsid w:val="2442C479"/>
    <w:rsid w:val="24A11B40"/>
    <w:rsid w:val="24DD099F"/>
    <w:rsid w:val="25D8946E"/>
    <w:rsid w:val="26DF5E50"/>
    <w:rsid w:val="26ED68F5"/>
    <w:rsid w:val="271D2D44"/>
    <w:rsid w:val="28FC5D56"/>
    <w:rsid w:val="2C5148ED"/>
    <w:rsid w:val="2C708CD5"/>
    <w:rsid w:val="2D45F4B4"/>
    <w:rsid w:val="2DEBA06F"/>
    <w:rsid w:val="2ECA59C5"/>
    <w:rsid w:val="2EF8CB3B"/>
    <w:rsid w:val="2F84A497"/>
    <w:rsid w:val="2F8770D0"/>
    <w:rsid w:val="30E81C61"/>
    <w:rsid w:val="317419D8"/>
    <w:rsid w:val="3203461D"/>
    <w:rsid w:val="32991AA4"/>
    <w:rsid w:val="335F4A8E"/>
    <w:rsid w:val="34107E37"/>
    <w:rsid w:val="35F87EC7"/>
    <w:rsid w:val="367460DD"/>
    <w:rsid w:val="36D8B9BD"/>
    <w:rsid w:val="374EB2C5"/>
    <w:rsid w:val="39FB615B"/>
    <w:rsid w:val="3B626EED"/>
    <w:rsid w:val="3C4524F7"/>
    <w:rsid w:val="3CFE3F4E"/>
    <w:rsid w:val="41415281"/>
    <w:rsid w:val="436675D4"/>
    <w:rsid w:val="440ADDB2"/>
    <w:rsid w:val="454CAF22"/>
    <w:rsid w:val="4557AC99"/>
    <w:rsid w:val="4614C3A4"/>
    <w:rsid w:val="46E531D1"/>
    <w:rsid w:val="49CB877F"/>
    <w:rsid w:val="4AB75CEC"/>
    <w:rsid w:val="4CA09EEF"/>
    <w:rsid w:val="4D1C509E"/>
    <w:rsid w:val="50258596"/>
    <w:rsid w:val="523389C0"/>
    <w:rsid w:val="525AC412"/>
    <w:rsid w:val="53011148"/>
    <w:rsid w:val="574B885F"/>
    <w:rsid w:val="581116B1"/>
    <w:rsid w:val="5920757E"/>
    <w:rsid w:val="5995911D"/>
    <w:rsid w:val="5BC41CE4"/>
    <w:rsid w:val="5C581640"/>
    <w:rsid w:val="5CCCE49C"/>
    <w:rsid w:val="5D90D022"/>
    <w:rsid w:val="5E84FD41"/>
    <w:rsid w:val="614BBB3B"/>
    <w:rsid w:val="62E08021"/>
    <w:rsid w:val="65C49F96"/>
    <w:rsid w:val="66EAE71F"/>
    <w:rsid w:val="66FBBC6C"/>
    <w:rsid w:val="677FEB02"/>
    <w:rsid w:val="67B3F144"/>
    <w:rsid w:val="690ACF32"/>
    <w:rsid w:val="69369948"/>
    <w:rsid w:val="6981D65C"/>
    <w:rsid w:val="699CF8B3"/>
    <w:rsid w:val="6A230AA9"/>
    <w:rsid w:val="6A77252D"/>
    <w:rsid w:val="6A8F11E4"/>
    <w:rsid w:val="6AF4E052"/>
    <w:rsid w:val="6CA8DEB9"/>
    <w:rsid w:val="6D80EDD7"/>
    <w:rsid w:val="70A3C0EC"/>
    <w:rsid w:val="71C117F8"/>
    <w:rsid w:val="71CD3E27"/>
    <w:rsid w:val="72B9B171"/>
    <w:rsid w:val="730459EE"/>
    <w:rsid w:val="7305F27D"/>
    <w:rsid w:val="756D0EE2"/>
    <w:rsid w:val="761D09D6"/>
    <w:rsid w:val="777FFC3C"/>
    <w:rsid w:val="782C1AF9"/>
    <w:rsid w:val="78BC5F22"/>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BB837C6F-FE69-42F9-92B8-9FA17A3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character" w:styleId="Hyperlink">
    <w:name w:val="Hyperlink"/>
    <w:basedOn w:val="DefaultParagraphFont"/>
    <w:uiPriority w:val="99"/>
    <w:unhideWhenUsed/>
    <w:rsid w:val="005C0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hancockcountyschool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5D01B4A4-17B1-407F-A024-FD8528C9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Safe Return to In-Person Instruction and Continuity of Services Plan Addendum Year 2</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Return to In-Person Instruction and Continuity of Services Plan Addendum Year 2</dc:title>
  <dc:subject/>
  <dc:creator>Jennifer Rouse</dc:creator>
  <cp:keywords/>
  <dc:description/>
  <cp:lastModifiedBy>Ashely Hopkins</cp:lastModifiedBy>
  <cp:revision>2</cp:revision>
  <dcterms:created xsi:type="dcterms:W3CDTF">2022-09-14T19:01:00Z</dcterms:created>
  <dcterms:modified xsi:type="dcterms:W3CDTF">2022-09-14T19:01:00Z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