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 of the President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president shall be in communication with the music director(s) and all other officers of the organization.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 and distribute all meeting agenda prior to meetings.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Ex-officio member of standing committees.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or approve of all contracts on behalf of the organization.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Writes and/or signs checks, makes payments on behalf of the organization.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Shall keep all contracts on file for current term for 3 years.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 to membership as needed on all Booster related news.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president shall oversee all elections and declare results.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president shall chair the Budget Committee.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president shall cast the deciding vote in case of a tie during general and special meetings.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president shall preside at all executive and general meetings and maintain order.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 of the Vice President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vice president shall perform the duties of the president in his/her absence, upon resignation of the president, or at such times as deemed necessary by the executive committee.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 at the meetings of the board and general membership in the absence of the president.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vice president shall chair the Fundraising Committee.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Handle special projects assigned by the Band Director or President.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 of the Secretary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secretary shall attend all meetings and act as clerk thereof, and record all votes and minutes of its transactions.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all records of the Booster organization to include, but not limited to (physical copies as well as stored on Google Drive):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Membership Roster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 copies from Board Members of Conflict of Interest, Code of Conduct and Acknowledgement of Obligations forms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 Founding Documents (Tax Exemption, IRS Determination Letter, Articles of Incorporation 501c3, Bylaws Etc.)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all records listed above available for inspection by a member of the organization on demand.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instruction from the president, the secretary shall conduct correspondence for the organization.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secretary shall present a written report of minutes at all meetings, including a list of all attendees.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 of the Treasurer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treasurer shall receive all funds due the organization, issue appropriate receipts, be responsible for deposit of funds and shall pay all bills upon authorization of the executive board.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Checks must be signed by the treasurer and the president 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band director.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Two signatures are required on each check.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treasurer shall maintain financial accounts and keep financial records of the organization.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treasurer shall give a financial report at each meeting.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treasurer shall file appropriate tax forms as necessary to preserve the tax-exempt status of the organization.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disbursements will be made by check and all deposits in the name to the Roseville High School Music Boosters.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cash transactions shall be counted by two officers in a safe location.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all financial records for the organization for a minimum of 7 years.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 as the registered agent for the organization with the California Secretary of State (an update must be filed with the SoS for each change of registered agent).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 of the Member at Large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Shall be a full voting member of the Executive Committee.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Shall be familiar with parliamentary procedures.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in the recruitment of new membership.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member at large shall chair the Volunteer/Chaperon Committee.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Facilitate communication(s) with Band staff.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acknowledge the obligations for the position in which I have volunteered.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Printed Name</w:t>
        <w:tab/>
        <w:tab/>
        <w:tab/>
        <w:t xml:space="preserve">                                  Signature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Date</w:t>
        <w:tab/>
        <w:tab/>
        <w:tab/>
        <w:tab/>
        <w:tab/>
        <w:tab/>
        <w:t xml:space="preserve">       Position Held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Roseville High School Music Booster Club </w:t>
    </w:r>
  </w:p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Executive Board</w:t>
    </w:r>
  </w:p>
  <w:p w:rsidR="00000000" w:rsidDel="00000000" w:rsidP="00000000" w:rsidRDefault="00000000" w:rsidRPr="00000000" w14:paraId="0000003D">
    <w:pPr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Acknowledgement of Obligations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