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Manifest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W poparciu dla Fundacji Etyczne AI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My, artyści, twórcy i ludzie sztuki, wierzymy, że sztuka ma niezwykłą moc zmieniania świata. </w:t>
        <w:br w:type="textWrapping"/>
        <w:t xml:space="preserve">W obliczu dynamicznego rozwoju technologii, w tym sztucznej inteligencji, jesteśmy przekonani, że postęp technologiczny musi odbywać się w zgodzie z zasadami etyki, przejrzystości oraz poszanowania praw człowieka. Dlatego z pełnym zaangażowaniem wyrażamy nasze poparcie dla Fundacji Etyczne AI, która wyznacza standardy etycznego wykorzystania nowoczesnych technologii.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auto" w:val="clear"/>
        <w:spacing w:after="80" w:before="36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ni0yo395jugu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Nasze wartości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120" w:line="276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Etyka i transparentność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  <w:t xml:space="preserve">Wierzymy, że rozwój technologiczny powinien opierać się na uczciwości, przejrzystości oraz poszanowaniu godności ludzkiej. Fundacja Etyczne AI promuje odpowiedzialne podejście do wdrażania rozwiązań opartych na sztucznej inteligencji, co jest zgodne z naszymi przekonaniami.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="276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Ochrona praw jednostki</w:t>
        <w:br w:type="textWrapping"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Naszym celem jest wspieranie rozwiązań technologicznych, które respektują prawa człowieka, zapewniają ró+wny dostęp do nowoczesnych narzędzi oraz minimalizują ryzyko wynikające z ich nieodpowiedzialnego użycia.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0" w:line="276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Harmonia sztuki i technologii</w:t>
        <w:br w:type="textWrapping"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Wierzymy, że sztuka i technologia mogą współistnieć w harmonii, tworząc przestrzeń dla innowacji i inspiracji. Współpraca z Fundacją Etyczne AI dowodzi, że kreatywność i etyczne technologie mogą wspólnie działać na rzecz lepszej przyszłości.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line="276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Odpowiedzialność społeczna</w:t>
        <w:br w:type="textWrapping"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Świadomi wpływu mediów i sztuki na kształtowanie opinii publicznej, zobowiązujemy się do promowania idei wspierających rozwój społeczny, edukację oraz ochronę środowiska. </w:t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line="276" w:lineRule="auto"/>
        <w:ind w:left="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line="276" w:lineRule="auto"/>
        <w:ind w:left="0" w:firstLine="0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Nasze zobowiązanie</w:t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Podpisując ten manifest, deklarujemy pełne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poparcie dla misji i działań Fundacji Etyczne AI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oraz zobowiązujemy się do:</w:t>
      </w:r>
    </w:p>
    <w:p w:rsidR="00000000" w:rsidDel="00000000" w:rsidP="00000000" w:rsidRDefault="00000000" w:rsidRPr="00000000" w14:paraId="0000000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12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12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Współtworzenie wizerunku Fundacji Etyczne.AI w przestrzeni publicznej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12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Aktywnego udziału w inicjatywach edukacyjnych oraz kampaniach społecznych promujących wartości Fundacji Etyczne.AI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120" w:line="276" w:lineRule="auto"/>
        <w:ind w:left="72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Propagowania idei etycznego wykorzystywania sztucznej inteligencji we wszystkich dziedzinach życia społecznego.</w:t>
      </w:r>
    </w:p>
    <w:p w:rsidR="00000000" w:rsidDel="00000000" w:rsidP="00000000" w:rsidRDefault="00000000" w:rsidRPr="00000000" w14:paraId="0000001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before="120" w:line="276" w:lineRule="auto"/>
        <w:ind w:left="72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Jesteśmy przekonani, że wspólnymi siłami możemy stworzyć świat, w którym technologia służy ludziom, a nie odwrotnie. Razem możemy połączyć siły sztuki i technologii w trosce o prawa twórców oraz przyszłość kolejnych pokoleń.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Podpisz się pod Manifestem: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(imię i nazwisko / pseudonim artystyczny)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(rola / zawód)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Zapraszamy wszystkich przedstawicieli środowisk artystycznych, aby dołączyli do naszej inicjatywy i wspólnie wspierali Fundację Etyczne AI, przyczyniając się do etycznego i zrównoważonego rozwoju technologii.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Barlow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1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06"/>
      <w:gridCol w:w="5206"/>
      <w:tblGridChange w:id="0">
        <w:tblGrid>
          <w:gridCol w:w="5206"/>
          <w:gridCol w:w="5206"/>
        </w:tblGrid>
      </w:tblGridChange>
    </w:tblGrid>
    <w:tr>
      <w:trPr>
        <w:cantSplit w:val="0"/>
        <w:trHeight w:val="835" w:hRule="atLeast"/>
        <w:tblHeader w:val="0"/>
      </w:trPr>
      <w:tc>
        <w:tcPr/>
        <w:p w:rsidR="00000000" w:rsidDel="00000000" w:rsidP="00000000" w:rsidRDefault="00000000" w:rsidRPr="00000000" w14:paraId="00000029">
          <w:pPr>
            <w:rPr>
              <w:rFonts w:ascii="Barlow" w:cs="Barlow" w:eastAsia="Barlow" w:hAnsi="Barlow"/>
              <w:color w:val="0f4cff"/>
              <w:sz w:val="20"/>
              <w:szCs w:val="20"/>
            </w:rPr>
          </w:pPr>
          <w:r w:rsidDel="00000000" w:rsidR="00000000" w:rsidRPr="00000000">
            <w:rPr>
              <w:rFonts w:ascii="Barlow" w:cs="Barlow" w:eastAsia="Barlow" w:hAnsi="Barlow"/>
              <w:color w:val="0f4cff"/>
              <w:sz w:val="20"/>
              <w:szCs w:val="20"/>
              <w:rtl w:val="0"/>
            </w:rPr>
            <w:t xml:space="preserve">Fundacja Etyczne AI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KRS: 0001156547 NIP: 5253036806 REGON: 540997245   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www.etyczne.ai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biuro@etyczne.ai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arlow" w:cs="Barlow" w:eastAsia="Barlow" w:hAnsi="Barlow"/>
              <w:b w:val="0"/>
              <w:i w:val="0"/>
              <w:smallCaps w:val="0"/>
              <w:strike w:val="0"/>
              <w:color w:val="0f4cff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Aleja Wojska Polskiego 11, 01-524 Warszawa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14400" cy="571963"/>
          <wp:effectExtent b="0" l="0" r="0" t="0"/>
          <wp:docPr id="11023846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571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824BE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824BE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824BE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824BE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824BE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824BE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824BE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824BE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824BE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824BE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824BE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824BE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824BE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824BEF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824BE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824BEF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824BE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824BEF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824BE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24BE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824BEF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24BE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824BE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824BEF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824BEF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824BEF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824BE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24BEF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824BEF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2550E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550E6"/>
  </w:style>
  <w:style w:type="paragraph" w:styleId="Stopka">
    <w:name w:val="footer"/>
    <w:basedOn w:val="Normalny"/>
    <w:link w:val="StopkaZnak"/>
    <w:uiPriority w:val="99"/>
    <w:unhideWhenUsed w:val="1"/>
    <w:rsid w:val="002550E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550E6"/>
  </w:style>
  <w:style w:type="table" w:styleId="Tabela-Siatka">
    <w:name w:val="Table Grid"/>
    <w:basedOn w:val="Standardowy"/>
    <w:uiPriority w:val="39"/>
    <w:rsid w:val="00986C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semiHidden w:val="1"/>
    <w:unhideWhenUsed w:val="1"/>
    <w:rsid w:val="00580C87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Barlow-regular.ttf"/><Relationship Id="rId10" Type="http://schemas.openxmlformats.org/officeDocument/2006/relationships/font" Target="fonts/Montserrat-boldItalic.ttf"/><Relationship Id="rId13" Type="http://schemas.openxmlformats.org/officeDocument/2006/relationships/font" Target="fonts/Barlow-italic.ttf"/><Relationship Id="rId12" Type="http://schemas.openxmlformats.org/officeDocument/2006/relationships/font" Target="fonts/Barlow-bold.ttf"/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Montserrat-italic.ttf"/><Relationship Id="rId14" Type="http://schemas.openxmlformats.org/officeDocument/2006/relationships/font" Target="fonts/Barlow-bold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Montserrat-regular.ttf"/><Relationship Id="rId8" Type="http://schemas.openxmlformats.org/officeDocument/2006/relationships/font" Target="fonts/Montserr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ARGNGjHBTIVrX0vUVLWofdX3Q==">CgMxLjAyDmgubmkweW8zOTVqdWd1OAByITFDNU5wQ3QweTEtdEtIa3dSRzZlbThCUHVOSGxiOWJPaQ==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2025-03-24T12:18:00Z</dcterms:created>
  <dc:creator>Ravenetics sp. z o.o.</dc:creator>
</cp:coreProperties>
</file>