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libri" w:cs="Calibri" w:eastAsia="Calibri" w:hAnsi="Calibri"/>
          <w:b w:val="1"/>
          <w:i w:val="0"/>
          <w:smallCaps w:val="1"/>
          <w:strike w:val="0"/>
          <w:color w:val="000000"/>
          <w:sz w:val="36"/>
          <w:szCs w:val="36"/>
          <w:u w:val="none"/>
          <w:shd w:fill="auto" w:val="clear"/>
          <w:vertAlign w:val="baseline"/>
        </w:rPr>
      </w:pPr>
      <w:r w:rsidDel="00000000" w:rsidR="00000000" w:rsidRPr="00000000">
        <w:rPr>
          <w:rFonts w:ascii="Calibri" w:cs="Calibri" w:eastAsia="Calibri" w:hAnsi="Calibri"/>
          <w:b w:val="1"/>
          <w:sz w:val="36"/>
          <w:szCs w:val="36"/>
          <w:rtl w:val="0"/>
        </w:rPr>
        <w:t xml:space="preserve">Risk Assessment</w:t>
      </w:r>
      <w:r w:rsidDel="00000000" w:rsidR="00000000" w:rsidRPr="00000000">
        <w:rPr>
          <w:rFonts w:ascii="Calibri" w:cs="Calibri" w:eastAsia="Calibri" w:hAnsi="Calibri"/>
          <w:b w:val="1"/>
          <w:sz w:val="36"/>
          <w:szCs w:val="36"/>
          <w:rtl w:val="0"/>
        </w:rPr>
        <w:t xml:space="preserve"> Policy</w:t>
      </w:r>
      <w:r w:rsidDel="00000000" w:rsidR="00000000" w:rsidRPr="00000000">
        <w:rPr>
          <w:rtl w:val="0"/>
        </w:rPr>
      </w:r>
    </w:p>
    <w:p w:rsidR="00000000" w:rsidDel="00000000" w:rsidP="00000000" w:rsidRDefault="00000000" w:rsidRPr="00000000" w14:paraId="00000002">
      <w:pPr>
        <w:pStyle w:val="Heading1"/>
        <w:pageBreakBefore w:val="0"/>
        <w:rPr/>
      </w:pPr>
      <w:r w:rsidDel="00000000" w:rsidR="00000000" w:rsidRPr="00000000">
        <w:rPr>
          <w:rtl w:val="0"/>
        </w:rPr>
        <w:t xml:space="preserve">Purpose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This </w:t>
      </w:r>
      <w:r w:rsidDel="00000000" w:rsidR="00000000" w:rsidRPr="00000000">
        <w:rPr>
          <w:rFonts w:ascii="Lato" w:cs="Lato" w:eastAsia="Lato" w:hAnsi="Lato"/>
          <w:rtl w:val="0"/>
        </w:rPr>
        <w:t xml:space="preserve">P</w:t>
      </w:r>
      <w:r w:rsidDel="00000000" w:rsidR="00000000" w:rsidRPr="00000000">
        <w:rPr>
          <w:rFonts w:ascii="Lato" w:cs="Lato" w:eastAsia="Lato" w:hAnsi="Lato"/>
          <w:i w:val="0"/>
          <w:smallCaps w:val="0"/>
          <w:strike w:val="0"/>
          <w:color w:val="000000"/>
          <w:u w:val="none"/>
          <w:shd w:fill="auto" w:val="clear"/>
          <w:vertAlign w:val="baseline"/>
          <w:rtl w:val="0"/>
        </w:rPr>
        <w:t xml:space="preserve">olicy </w:t>
      </w:r>
      <w:r w:rsidDel="00000000" w:rsidR="00000000" w:rsidRPr="00000000">
        <w:rPr>
          <w:rFonts w:ascii="Lato" w:cs="Lato" w:eastAsia="Lato" w:hAnsi="Lato"/>
          <w:rtl w:val="0"/>
        </w:rPr>
        <w:t xml:space="preserve">provides baseline requirements for risk assessments of the</w:t>
      </w:r>
      <w:r w:rsidDel="00000000" w:rsidR="00000000" w:rsidRPr="00000000">
        <w:rPr>
          <w:rFonts w:ascii="Lato" w:cs="Lato" w:eastAsia="Lato" w:hAnsi="Lato"/>
          <w:i w:val="0"/>
          <w:smallCaps w:val="0"/>
          <w:strike w:val="0"/>
          <w:color w:val="000000"/>
          <w:u w:val="none"/>
          <w:shd w:fill="auto" w:val="clear"/>
          <w:vertAlign w:val="baseline"/>
          <w:rtl w:val="0"/>
        </w:rPr>
        <w:t xml:space="preserve"> </w:t>
      </w:r>
      <w:r w:rsidDel="00000000" w:rsidR="00000000" w:rsidRPr="00000000">
        <w:rPr>
          <w:rFonts w:ascii="Lato" w:cs="Lato" w:eastAsia="Lato" w:hAnsi="Lato"/>
          <w:rtl w:val="0"/>
        </w:rPr>
        <w:t xml:space="preserve">SLEDS Environment. Risk assessments are performed to identify potential or realized weaknesses as a result of inadvertent misconfiguration, weak authentication, insufficient error handling, and sensitive information leakage.</w:t>
      </w:r>
      <w:r w:rsidDel="00000000" w:rsidR="00000000" w:rsidRPr="00000000">
        <w:rPr>
          <w:rtl w:val="0"/>
        </w:rPr>
      </w:r>
    </w:p>
    <w:p w:rsidR="00000000" w:rsidDel="00000000" w:rsidP="00000000" w:rsidRDefault="00000000" w:rsidRPr="00000000" w14:paraId="00000004">
      <w:pPr>
        <w:pStyle w:val="Heading1"/>
        <w:pageBreakBefore w:val="0"/>
        <w:rPr/>
      </w:pPr>
      <w:r w:rsidDel="00000000" w:rsidR="00000000" w:rsidRPr="00000000">
        <w:rPr>
          <w:rtl w:val="0"/>
        </w:rPr>
        <w:t xml:space="preserve">Scope</w:t>
      </w:r>
    </w:p>
    <w:p w:rsidR="00000000" w:rsidDel="00000000" w:rsidP="00000000" w:rsidRDefault="00000000" w:rsidRPr="00000000" w14:paraId="00000005">
      <w:pPr>
        <w:pageBreakBefore w:val="0"/>
        <w:rPr>
          <w:rFonts w:ascii="Lato" w:cs="Lato" w:eastAsia="Lato" w:hAnsi="Lato"/>
        </w:rPr>
      </w:pPr>
      <w:r w:rsidDel="00000000" w:rsidR="00000000" w:rsidRPr="00000000">
        <w:rPr>
          <w:rFonts w:ascii="Lato" w:cs="Lato" w:eastAsia="Lato" w:hAnsi="Lato"/>
          <w:rtl w:val="0"/>
        </w:rPr>
        <w:t xml:space="preserve">This Policy applies to the SLEDS Environment, SLEDS Information, Participating Entities, and other parties authorized or responsible for carrying out SLEDS Policies.</w:t>
      </w:r>
    </w:p>
    <w:p w:rsidR="00000000" w:rsidDel="00000000" w:rsidP="00000000" w:rsidRDefault="00000000" w:rsidRPr="00000000" w14:paraId="00000006">
      <w:pPr>
        <w:pStyle w:val="Heading1"/>
        <w:pageBreakBefore w:val="0"/>
        <w:rPr/>
      </w:pPr>
      <w:bookmarkStart w:colFirst="0" w:colLast="0" w:name="_u9j6ioxvli6g" w:id="0"/>
      <w:bookmarkEnd w:id="0"/>
      <w:r w:rsidDel="00000000" w:rsidR="00000000" w:rsidRPr="00000000">
        <w:rPr>
          <w:rtl w:val="0"/>
        </w:rPr>
        <w:t xml:space="preserve">Applicable Standards and Regulations</w:t>
      </w:r>
    </w:p>
    <w:p w:rsidR="00000000" w:rsidDel="00000000" w:rsidP="00000000" w:rsidRDefault="00000000" w:rsidRPr="00000000" w14:paraId="00000007">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after="120" w:before="200" w:lineRule="auto"/>
        <w:ind w:left="720" w:hanging="360"/>
        <w:rPr>
          <w:rFonts w:ascii="Avenir" w:cs="Avenir" w:eastAsia="Avenir" w:hAnsi="Avenir"/>
        </w:rPr>
      </w:pPr>
      <w:r w:rsidDel="00000000" w:rsidR="00000000" w:rsidRPr="00000000">
        <w:rPr>
          <w:rFonts w:ascii="Lato" w:cs="Lato" w:eastAsia="Lato" w:hAnsi="Lato"/>
          <w:rtl w:val="0"/>
        </w:rPr>
        <w:t xml:space="preserve">Federal Education Rights and Privacy Act (FERPA),  </w:t>
      </w:r>
      <w:hyperlink r:id="rId6">
        <w:r w:rsidDel="00000000" w:rsidR="00000000" w:rsidRPr="00000000">
          <w:rPr>
            <w:rFonts w:ascii="Lato" w:cs="Lato" w:eastAsia="Lato" w:hAnsi="Lato"/>
            <w:color w:val="1155cc"/>
            <w:u w:val="single"/>
            <w:rtl w:val="0"/>
          </w:rPr>
          <w:t xml:space="preserve">§20 U.S.C. § 1232g; 34 CFR Part 99</w:t>
        </w:r>
      </w:hyperlink>
      <w:r w:rsidDel="00000000" w:rsidR="00000000" w:rsidRPr="00000000">
        <w:rPr>
          <w:rFonts w:ascii="Lato" w:cs="Lato" w:eastAsia="Lato" w:hAnsi="Lato"/>
          <w:rtl w:val="0"/>
        </w:rPr>
        <w:t xml:space="preserve">.</w:t>
      </w:r>
    </w:p>
    <w:p w:rsidR="00000000" w:rsidDel="00000000" w:rsidP="00000000" w:rsidRDefault="00000000" w:rsidRPr="00000000" w14:paraId="00000008">
      <w:pPr>
        <w:pageBreakBefore w:val="0"/>
        <w:numPr>
          <w:ilvl w:val="0"/>
          <w:numId w:val="1"/>
        </w:numPr>
        <w:spacing w:after="120" w:before="120" w:lineRule="auto"/>
        <w:ind w:left="720" w:hanging="360"/>
        <w:rPr>
          <w:rFonts w:ascii="Lato" w:cs="Lato" w:eastAsia="Lato" w:hAnsi="Lato"/>
        </w:rPr>
      </w:pPr>
      <w:hyperlink r:id="rId7">
        <w:r w:rsidDel="00000000" w:rsidR="00000000" w:rsidRPr="00000000">
          <w:rPr>
            <w:rFonts w:ascii="Lato" w:cs="Lato" w:eastAsia="Lato" w:hAnsi="Lato"/>
            <w:color w:val="1155cc"/>
            <w:highlight w:val="white"/>
            <w:u w:val="single"/>
            <w:rtl w:val="0"/>
          </w:rPr>
          <w:t xml:space="preserve">Unemployment Insurance Program Letter, No. 14-17</w:t>
        </w:r>
      </w:hyperlink>
      <w:r w:rsidDel="00000000" w:rsidR="00000000" w:rsidRPr="00000000">
        <w:rPr>
          <w:rFonts w:ascii="Lato" w:cs="Lato" w:eastAsia="Lato" w:hAnsi="Lato"/>
          <w:color w:val="222222"/>
          <w:highlight w:val="white"/>
          <w:rtl w:val="0"/>
        </w:rPr>
        <w:t xml:space="preserve"> (dated March 23, 2017) regarding States' Responsibilities for Internal Security in the UI Program</w:t>
      </w:r>
      <w:r w:rsidDel="00000000" w:rsidR="00000000" w:rsidRPr="00000000">
        <w:rPr>
          <w:rtl w:val="0"/>
        </w:rPr>
      </w:r>
    </w:p>
    <w:p w:rsidR="00000000" w:rsidDel="00000000" w:rsidP="00000000" w:rsidRDefault="00000000" w:rsidRPr="00000000" w14:paraId="00000009">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after="120" w:before="200" w:lineRule="auto"/>
        <w:ind w:left="720" w:hanging="360"/>
        <w:rPr>
          <w:rFonts w:ascii="Avenir" w:cs="Avenir" w:eastAsia="Avenir" w:hAnsi="Avenir"/>
        </w:rPr>
      </w:pPr>
      <w:r w:rsidDel="00000000" w:rsidR="00000000" w:rsidRPr="00000000">
        <w:rPr>
          <w:rFonts w:ascii="Lato" w:cs="Lato" w:eastAsia="Lato" w:hAnsi="Lato"/>
          <w:rtl w:val="0"/>
        </w:rPr>
        <w:t xml:space="preserve">Federal and State privacy and security rules and regulations governing SLEDS Information including, but not limited to e-CFR  </w:t>
      </w:r>
      <w:hyperlink r:id="rId8">
        <w:r w:rsidDel="00000000" w:rsidR="00000000" w:rsidRPr="00000000">
          <w:rPr>
            <w:rFonts w:ascii="Lato" w:cs="Lato" w:eastAsia="Lato" w:hAnsi="Lato"/>
            <w:color w:val="1155cc"/>
            <w:u w:val="single"/>
            <w:rtl w:val="0"/>
          </w:rPr>
          <w:t xml:space="preserve">§§ 99.1 - 99.67</w:t>
        </w:r>
      </w:hyperlink>
      <w:r w:rsidDel="00000000" w:rsidR="00000000" w:rsidRPr="00000000">
        <w:rPr>
          <w:rFonts w:ascii="Lato" w:cs="Lato" w:eastAsia="Lato" w:hAnsi="Lato"/>
          <w:rtl w:val="0"/>
        </w:rPr>
        <w:t xml:space="preserve"> </w:t>
      </w:r>
    </w:p>
    <w:p w:rsidR="00000000" w:rsidDel="00000000" w:rsidP="00000000" w:rsidRDefault="00000000" w:rsidRPr="00000000" w14:paraId="0000000A">
      <w:pPr>
        <w:pageBreakBefore w:val="0"/>
        <w:numPr>
          <w:ilvl w:val="0"/>
          <w:numId w:val="1"/>
        </w:numPr>
        <w:spacing w:before="200" w:lineRule="auto"/>
        <w:ind w:left="720" w:hanging="360"/>
        <w:rPr>
          <w:rFonts w:ascii="Lato" w:cs="Lato" w:eastAsia="Lato" w:hAnsi="Lato"/>
        </w:rPr>
      </w:pPr>
      <w:hyperlink r:id="rId9">
        <w:r w:rsidDel="00000000" w:rsidR="00000000" w:rsidRPr="00000000">
          <w:rPr>
            <w:rFonts w:ascii="Lato" w:cs="Lato" w:eastAsia="Lato" w:hAnsi="Lato"/>
            <w:color w:val="1155cc"/>
            <w:u w:val="single"/>
            <w:rtl w:val="0"/>
          </w:rPr>
          <w:t xml:space="preserve">NIST (SP) 800-171, Rev. 2</w:t>
        </w:r>
      </w:hyperlink>
      <w:r w:rsidDel="00000000" w:rsidR="00000000" w:rsidRPr="00000000">
        <w:rPr>
          <w:rFonts w:ascii="Lato" w:cs="Lato" w:eastAsia="Lato" w:hAnsi="Lato"/>
          <w:rtl w:val="0"/>
        </w:rPr>
        <w:t xml:space="preserve"> requirements and corresponding International Organization for Standardization/ International Electrotechnical Commission (ISO/ IEC) 27001 Security Controls</w:t>
      </w:r>
    </w:p>
    <w:p w:rsidR="00000000" w:rsidDel="00000000" w:rsidP="00000000" w:rsidRDefault="00000000" w:rsidRPr="00000000" w14:paraId="0000000B">
      <w:pPr>
        <w:pageBreakBefore w:val="0"/>
        <w:numPr>
          <w:ilvl w:val="0"/>
          <w:numId w:val="1"/>
        </w:numPr>
        <w:spacing w:before="200" w:lineRule="auto"/>
        <w:ind w:left="720" w:hanging="360"/>
        <w:rPr>
          <w:rFonts w:ascii="Lato" w:cs="Lato" w:eastAsia="Lato" w:hAnsi="Lato"/>
        </w:rPr>
      </w:pPr>
      <w:r w:rsidDel="00000000" w:rsidR="00000000" w:rsidRPr="00000000">
        <w:rPr>
          <w:rFonts w:ascii="Lato" w:cs="Lato" w:eastAsia="Lato" w:hAnsi="Lato"/>
          <w:rtl w:val="0"/>
        </w:rPr>
        <w:t xml:space="preserve">State of Wyoming Information Technology Policies and Standards, including but not limited to:</w:t>
      </w:r>
    </w:p>
    <w:p w:rsidR="00000000" w:rsidDel="00000000" w:rsidP="00000000" w:rsidRDefault="00000000" w:rsidRPr="00000000" w14:paraId="0000000C">
      <w:pPr>
        <w:pageBreakBefore w:val="0"/>
        <w:numPr>
          <w:ilvl w:val="1"/>
          <w:numId w:val="1"/>
        </w:numPr>
        <w:ind w:left="1440" w:hanging="360"/>
        <w:rPr>
          <w:rFonts w:ascii="Lato" w:cs="Lato" w:eastAsia="Lato" w:hAnsi="Lato"/>
        </w:rPr>
      </w:pPr>
      <w:hyperlink r:id="rId10">
        <w:r w:rsidDel="00000000" w:rsidR="00000000" w:rsidRPr="00000000">
          <w:rPr>
            <w:rFonts w:ascii="Lato" w:cs="Lato" w:eastAsia="Lato" w:hAnsi="Lato"/>
            <w:color w:val="1155cc"/>
            <w:u w:val="single"/>
            <w:rtl w:val="0"/>
          </w:rPr>
          <w:t xml:space="preserve">General Policies and Standards</w:t>
        </w:r>
      </w:hyperlink>
      <w:r w:rsidDel="00000000" w:rsidR="00000000" w:rsidRPr="00000000">
        <w:rPr>
          <w:rtl w:val="0"/>
        </w:rPr>
      </w:r>
    </w:p>
    <w:p w:rsidR="00000000" w:rsidDel="00000000" w:rsidP="00000000" w:rsidRDefault="00000000" w:rsidRPr="00000000" w14:paraId="0000000D">
      <w:pPr>
        <w:pageBreakBefore w:val="0"/>
        <w:numPr>
          <w:ilvl w:val="1"/>
          <w:numId w:val="1"/>
        </w:numPr>
        <w:ind w:left="1440" w:hanging="360"/>
        <w:rPr>
          <w:rFonts w:ascii="Lato" w:cs="Lato" w:eastAsia="Lato" w:hAnsi="Lato"/>
        </w:rPr>
      </w:pPr>
      <w:hyperlink r:id="rId11">
        <w:r w:rsidDel="00000000" w:rsidR="00000000" w:rsidRPr="00000000">
          <w:rPr>
            <w:rFonts w:ascii="Lato" w:cs="Lato" w:eastAsia="Lato" w:hAnsi="Lato"/>
            <w:color w:val="1155cc"/>
            <w:u w:val="single"/>
            <w:rtl w:val="0"/>
          </w:rPr>
          <w:t xml:space="preserve">Security and Privacy Policies and Standards</w:t>
        </w:r>
      </w:hyperlink>
      <w:r w:rsidDel="00000000" w:rsidR="00000000" w:rsidRPr="00000000">
        <w:rPr>
          <w:rtl w:val="0"/>
        </w:rPr>
      </w:r>
    </w:p>
    <w:p w:rsidR="00000000" w:rsidDel="00000000" w:rsidP="00000000" w:rsidRDefault="00000000" w:rsidRPr="00000000" w14:paraId="0000000E">
      <w:pPr>
        <w:pageBreakBefore w:val="0"/>
        <w:numPr>
          <w:ilvl w:val="1"/>
          <w:numId w:val="1"/>
        </w:numPr>
        <w:ind w:left="1440" w:hanging="360"/>
        <w:rPr>
          <w:rFonts w:ascii="Lato" w:cs="Lato" w:eastAsia="Lato" w:hAnsi="Lato"/>
        </w:rPr>
      </w:pPr>
      <w:hyperlink r:id="rId12">
        <w:r w:rsidDel="00000000" w:rsidR="00000000" w:rsidRPr="00000000">
          <w:rPr>
            <w:rFonts w:ascii="Lato" w:cs="Lato" w:eastAsia="Lato" w:hAnsi="Lato"/>
            <w:color w:val="1155cc"/>
            <w:u w:val="single"/>
            <w:rtl w:val="0"/>
          </w:rPr>
          <w:t xml:space="preserve">Information Management and Control, Document Management Policies and Standards</w:t>
        </w:r>
      </w:hyperlink>
      <w:r w:rsidDel="00000000" w:rsidR="00000000" w:rsidRPr="00000000">
        <w:rPr>
          <w:rtl w:val="0"/>
        </w:rPr>
      </w:r>
    </w:p>
    <w:p w:rsidR="00000000" w:rsidDel="00000000" w:rsidP="00000000" w:rsidRDefault="00000000" w:rsidRPr="00000000" w14:paraId="0000000F">
      <w:pPr>
        <w:pageBreakBefore w:val="0"/>
        <w:numPr>
          <w:ilvl w:val="1"/>
          <w:numId w:val="1"/>
        </w:numPr>
        <w:ind w:left="1440" w:hanging="360"/>
        <w:rPr>
          <w:rFonts w:ascii="Lato" w:cs="Lato" w:eastAsia="Lato" w:hAnsi="Lato"/>
        </w:rPr>
      </w:pPr>
      <w:hyperlink r:id="rId13">
        <w:r w:rsidDel="00000000" w:rsidR="00000000" w:rsidRPr="00000000">
          <w:rPr>
            <w:rFonts w:ascii="Lato" w:cs="Lato" w:eastAsia="Lato" w:hAnsi="Lato"/>
            <w:color w:val="1155cc"/>
            <w:u w:val="single"/>
            <w:rtl w:val="0"/>
          </w:rPr>
          <w:t xml:space="preserve">Facilities, Logistics, Natural Resources and Environmental Policies and Standards</w:t>
        </w:r>
      </w:hyperlink>
      <w:r w:rsidDel="00000000" w:rsidR="00000000" w:rsidRPr="00000000">
        <w:rPr>
          <w:rtl w:val="0"/>
        </w:rPr>
      </w:r>
    </w:p>
    <w:p w:rsidR="00000000" w:rsidDel="00000000" w:rsidP="00000000" w:rsidRDefault="00000000" w:rsidRPr="00000000" w14:paraId="00000010">
      <w:pPr>
        <w:pageBreakBefore w:val="0"/>
        <w:numPr>
          <w:ilvl w:val="1"/>
          <w:numId w:val="1"/>
        </w:numPr>
        <w:ind w:left="1440" w:hanging="360"/>
        <w:rPr>
          <w:rFonts w:ascii="Lato" w:cs="Lato" w:eastAsia="Lato" w:hAnsi="Lato"/>
        </w:rPr>
      </w:pPr>
      <w:hyperlink r:id="rId14">
        <w:r w:rsidDel="00000000" w:rsidR="00000000" w:rsidRPr="00000000">
          <w:rPr>
            <w:rFonts w:ascii="Lato" w:cs="Lato" w:eastAsia="Lato" w:hAnsi="Lato"/>
            <w:color w:val="1155cc"/>
            <w:u w:val="single"/>
            <w:rtl w:val="0"/>
          </w:rPr>
          <w:t xml:space="preserve">Plans and Operations; Research and Development Policies</w:t>
        </w:r>
      </w:hyperlink>
      <w:r w:rsidDel="00000000" w:rsidR="00000000" w:rsidRPr="00000000">
        <w:rPr>
          <w:rtl w:val="0"/>
        </w:rPr>
      </w:r>
    </w:p>
    <w:p w:rsidR="00000000" w:rsidDel="00000000" w:rsidP="00000000" w:rsidRDefault="00000000" w:rsidRPr="00000000" w14:paraId="00000011">
      <w:pPr>
        <w:pageBreakBefore w:val="0"/>
        <w:numPr>
          <w:ilvl w:val="1"/>
          <w:numId w:val="1"/>
        </w:numPr>
        <w:ind w:left="1440" w:hanging="360"/>
        <w:rPr>
          <w:rFonts w:ascii="Lato" w:cs="Lato" w:eastAsia="Lato" w:hAnsi="Lato"/>
        </w:rPr>
      </w:pPr>
      <w:hyperlink r:id="rId15">
        <w:r w:rsidDel="00000000" w:rsidR="00000000" w:rsidRPr="00000000">
          <w:rPr>
            <w:rFonts w:ascii="Lato" w:cs="Lato" w:eastAsia="Lato" w:hAnsi="Lato"/>
            <w:color w:val="1155cc"/>
            <w:u w:val="single"/>
            <w:rtl w:val="0"/>
          </w:rPr>
          <w:t xml:space="preserve">Manpower and Personnel Policies and Standards</w:t>
        </w:r>
      </w:hyperlink>
      <w:r w:rsidDel="00000000" w:rsidR="00000000" w:rsidRPr="00000000">
        <w:rPr>
          <w:rtl w:val="0"/>
        </w:rPr>
      </w:r>
    </w:p>
    <w:p w:rsidR="00000000" w:rsidDel="00000000" w:rsidP="00000000" w:rsidRDefault="00000000" w:rsidRPr="00000000" w14:paraId="00000012">
      <w:pPr>
        <w:pStyle w:val="Heading1"/>
        <w:pageBreakBefore w:val="0"/>
        <w:rPr/>
      </w:pPr>
      <w:bookmarkStart w:colFirst="0" w:colLast="0" w:name="_cg78tr2oat4t" w:id="1"/>
      <w:bookmarkEnd w:id="1"/>
      <w:r w:rsidDel="00000000" w:rsidR="00000000" w:rsidRPr="00000000">
        <w:rPr>
          <w:rtl w:val="0"/>
        </w:rPr>
        <w:t xml:space="preserve">Policy Statements</w:t>
      </w:r>
    </w:p>
    <w:p w:rsidR="00000000" w:rsidDel="00000000" w:rsidP="00000000" w:rsidRDefault="00000000" w:rsidRPr="00000000" w14:paraId="00000013">
      <w:pPr>
        <w:pageBreakBefore w:val="0"/>
        <w:rPr>
          <w:rFonts w:ascii="Lato" w:cs="Lato" w:eastAsia="Lato" w:hAnsi="Lato"/>
        </w:rPr>
      </w:pPr>
      <w:r w:rsidDel="00000000" w:rsidR="00000000" w:rsidRPr="00000000">
        <w:rPr>
          <w:rFonts w:ascii="Lato" w:cs="Lato" w:eastAsia="Lato" w:hAnsi="Lato"/>
          <w:rtl w:val="0"/>
        </w:rPr>
        <w:t xml:space="preserve">The State of Wyoming’s technology policies and standards are the minimum control requirements. More restrictive controls shall apply to the SLEDS Environment as provided in this Policy.</w:t>
      </w:r>
    </w:p>
    <w:p w:rsidR="00000000" w:rsidDel="00000000" w:rsidP="00000000" w:rsidRDefault="00000000" w:rsidRPr="00000000" w14:paraId="00000014">
      <w:pPr>
        <w:pageBreakBefore w:val="0"/>
        <w:rPr>
          <w:rFonts w:ascii="Lato" w:cs="Lato" w:eastAsia="Lato" w:hAnsi="Lato"/>
        </w:rPr>
      </w:pPr>
      <w:r w:rsidDel="00000000" w:rsidR="00000000" w:rsidRPr="00000000">
        <w:rPr>
          <w:rtl w:val="0"/>
        </w:rPr>
      </w:r>
    </w:p>
    <w:tbl>
      <w:tblPr>
        <w:tblStyle w:val="Table1"/>
        <w:tblW w:w="197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9570"/>
        <w:gridCol w:w="9521"/>
        <w:tblGridChange w:id="0">
          <w:tblGrid>
            <w:gridCol w:w="630"/>
            <w:gridCol w:w="9570"/>
            <w:gridCol w:w="9521"/>
          </w:tblGrid>
        </w:tblGridChange>
      </w:tblGrid>
      <w:tr>
        <w:trPr>
          <w:cantSplit w:val="0"/>
          <w:tblHeader w:val="0"/>
        </w:trPr>
        <w:tc>
          <w:tcPr/>
          <w:p w:rsidR="00000000" w:rsidDel="00000000" w:rsidP="00000000" w:rsidRDefault="00000000" w:rsidRPr="00000000" w14:paraId="00000015">
            <w:pPr>
              <w:pageBreakBefore w:val="0"/>
              <w:rPr>
                <w:rFonts w:ascii="Lato" w:cs="Lato" w:eastAsia="Lato" w:hAnsi="Lato"/>
              </w:rPr>
            </w:pPr>
            <w:r w:rsidDel="00000000" w:rsidR="00000000" w:rsidRPr="00000000">
              <w:rPr>
                <w:rFonts w:ascii="Lato" w:cs="Lato" w:eastAsia="Lato" w:hAnsi="Lato"/>
                <w:rtl w:val="0"/>
              </w:rPr>
              <w:t xml:space="preserve">1</w:t>
            </w:r>
          </w:p>
        </w:tc>
        <w:tc>
          <w:tcPr/>
          <w:p w:rsidR="00000000" w:rsidDel="00000000" w:rsidP="00000000" w:rsidRDefault="00000000" w:rsidRPr="00000000" w14:paraId="00000016">
            <w:pPr>
              <w:pageBreakBefore w:val="0"/>
              <w:rPr>
                <w:rFonts w:ascii="Lato" w:cs="Lato" w:eastAsia="Lato" w:hAnsi="Lato"/>
              </w:rPr>
            </w:pPr>
            <w:r w:rsidDel="00000000" w:rsidR="00000000" w:rsidRPr="00000000">
              <w:rPr>
                <w:rFonts w:ascii="Lato" w:cs="Lato" w:eastAsia="Lato" w:hAnsi="Lato"/>
                <w:rtl w:val="0"/>
              </w:rPr>
              <w:t xml:space="preserve">Risk assessments shall be </w:t>
            </w:r>
            <w:r w:rsidDel="00000000" w:rsidR="00000000" w:rsidRPr="00000000">
              <w:rPr>
                <w:rFonts w:ascii="Lato" w:cs="Lato" w:eastAsia="Lato" w:hAnsi="Lato"/>
                <w:rtl w:val="0"/>
              </w:rPr>
              <w:t xml:space="preserve">periodically </w:t>
            </w:r>
            <w:r w:rsidDel="00000000" w:rsidR="00000000" w:rsidRPr="00000000">
              <w:rPr>
                <w:rFonts w:ascii="Lato" w:cs="Lato" w:eastAsia="Lato" w:hAnsi="Lato"/>
                <w:rtl w:val="0"/>
              </w:rPr>
              <w:t xml:space="preserve">performed to identify potential or realized weaknesses as a result of scenarios such as inadvertent misconfiguration, weak authentication, insufficient error handling, and sensitive information leakage. Such assessments should target identification of weaknesses to the confidentiality, integrity, and availability of the information in the SLEDS Environment; and risks to, and availability of, the SLEDS Environment to provide its normal business functions. Such assessments should support and inform the tasks and activities set out in the </w:t>
            </w:r>
            <w:hyperlink r:id="rId16">
              <w:r w:rsidDel="00000000" w:rsidR="00000000" w:rsidRPr="00000000">
                <w:rPr>
                  <w:rFonts w:ascii="Lato" w:cs="Lato" w:eastAsia="Lato" w:hAnsi="Lato"/>
                  <w:color w:val="1155cc"/>
                  <w:u w:val="single"/>
                  <w:rtl w:val="0"/>
                </w:rPr>
                <w:t xml:space="preserve">SLEDS Security Assessment Policy</w:t>
              </w:r>
            </w:hyperlink>
            <w:r w:rsidDel="00000000" w:rsidR="00000000" w:rsidRPr="00000000">
              <w:rPr>
                <w:rFonts w:ascii="Lato" w:cs="Lato" w:eastAsia="Lato" w:hAnsi="Lato"/>
                <w:rtl w:val="0"/>
              </w:rPr>
              <w:t xml:space="preserve">.</w:t>
            </w:r>
          </w:p>
        </w:tc>
      </w:tr>
      <w:tr>
        <w:trPr>
          <w:cantSplit w:val="0"/>
          <w:tblHeader w:val="0"/>
        </w:trPr>
        <w:tc>
          <w:tcPr/>
          <w:p w:rsidR="00000000" w:rsidDel="00000000" w:rsidP="00000000" w:rsidRDefault="00000000" w:rsidRPr="00000000" w14:paraId="00000017">
            <w:pPr>
              <w:pageBreakBefore w:val="0"/>
              <w:rPr>
                <w:rFonts w:ascii="Lato" w:cs="Lato" w:eastAsia="Lato" w:hAnsi="Lato"/>
              </w:rPr>
            </w:pPr>
            <w:r w:rsidDel="00000000" w:rsidR="00000000" w:rsidRPr="00000000">
              <w:rPr>
                <w:rFonts w:ascii="Lato" w:cs="Lato" w:eastAsia="Lato" w:hAnsi="Lato"/>
                <w:rtl w:val="0"/>
              </w:rPr>
              <w:t xml:space="preserve">2</w:t>
            </w:r>
          </w:p>
        </w:tc>
        <w:tc>
          <w:tcPr/>
          <w:p w:rsidR="00000000" w:rsidDel="00000000" w:rsidP="00000000" w:rsidRDefault="00000000" w:rsidRPr="00000000" w14:paraId="00000018">
            <w:pPr>
              <w:pageBreakBefore w:val="0"/>
              <w:rPr>
                <w:rFonts w:ascii="Lato" w:cs="Lato" w:eastAsia="Lato" w:hAnsi="Lato"/>
              </w:rPr>
            </w:pPr>
            <w:r w:rsidDel="00000000" w:rsidR="00000000" w:rsidRPr="00000000">
              <w:rPr>
                <w:rFonts w:ascii="Lato" w:cs="Lato" w:eastAsia="Lato" w:hAnsi="Lato"/>
                <w:rtl w:val="0"/>
              </w:rPr>
              <w:t xml:space="preserve">An operational program or function shall be established to ensure risk assessments against the SLEDS Environment are performed, as well as performing automated and manual scanning for vulnerabilities in alignment with the </w:t>
            </w:r>
            <w:hyperlink r:id="rId17">
              <w:r w:rsidDel="00000000" w:rsidR="00000000" w:rsidRPr="00000000">
                <w:rPr>
                  <w:rFonts w:ascii="Lato" w:cs="Lato" w:eastAsia="Lato" w:hAnsi="Lato"/>
                  <w:color w:val="1155cc"/>
                  <w:u w:val="single"/>
                  <w:rtl w:val="0"/>
                </w:rPr>
                <w:t xml:space="preserve">SLEDS Information Systems Integrity Policy</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9">
            <w:pPr>
              <w:pageBreakBefore w:val="0"/>
              <w:rPr>
                <w:rFonts w:ascii="Lato" w:cs="Lato" w:eastAsia="Lato" w:hAnsi="Lato"/>
              </w:rPr>
            </w:pPr>
            <w:r w:rsidDel="00000000" w:rsidR="00000000" w:rsidRPr="00000000">
              <w:rPr>
                <w:rFonts w:ascii="Lato" w:cs="Lato" w:eastAsia="Lato" w:hAnsi="Lato"/>
                <w:rtl w:val="0"/>
              </w:rPr>
              <w:t xml:space="preserve">3</w:t>
            </w:r>
          </w:p>
        </w:tc>
        <w:tc>
          <w:tcPr/>
          <w:p w:rsidR="00000000" w:rsidDel="00000000" w:rsidP="00000000" w:rsidRDefault="00000000" w:rsidRPr="00000000" w14:paraId="0000001A">
            <w:pPr>
              <w:pageBreakBefore w:val="0"/>
              <w:rPr>
                <w:rFonts w:ascii="Lato" w:cs="Lato" w:eastAsia="Lato" w:hAnsi="Lato"/>
              </w:rPr>
            </w:pPr>
            <w:r w:rsidDel="00000000" w:rsidR="00000000" w:rsidRPr="00000000">
              <w:rPr>
                <w:rFonts w:ascii="Lato" w:cs="Lato" w:eastAsia="Lato" w:hAnsi="Lato"/>
                <w:rtl w:val="0"/>
              </w:rPr>
              <w:t xml:space="preserve">Risk assessments should be conducted for the purposes of maintaining the security posture, compliance, risk management, and change control of technologies in use within the SLEDS Program and/or SLEDS Environment. </w:t>
            </w:r>
          </w:p>
          <w:p w:rsidR="00000000" w:rsidDel="00000000" w:rsidP="00000000" w:rsidRDefault="00000000" w:rsidRPr="00000000" w14:paraId="0000001B">
            <w:pPr>
              <w:pageBreakBefore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All risk assessments will be performed by the SLEDS Security Team or delegate(s).</w:t>
            </w:r>
          </w:p>
          <w:p w:rsidR="00000000" w:rsidDel="00000000" w:rsidP="00000000" w:rsidRDefault="00000000" w:rsidRPr="00000000" w14:paraId="0000001C">
            <w:pPr>
              <w:pageBreakBefore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All risk assessment findings are considered confidential and are to be distributed to individuals on a “need to know” basis. Risk assessment results shall be documented in a risk assessment report, a security compliance report, or in some other format to be provided to the Information Resource Owner and others who have a role and responsibility in SLEDS risk assessments.</w:t>
            </w:r>
          </w:p>
          <w:p w:rsidR="00000000" w:rsidDel="00000000" w:rsidP="00000000" w:rsidRDefault="00000000" w:rsidRPr="00000000" w14:paraId="0000001D">
            <w:pPr>
              <w:pageBreakBefore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Distribution of any findings is strictly prohibited unless approved by the State Chief Information Officer. </w:t>
            </w:r>
          </w:p>
          <w:p w:rsidR="00000000" w:rsidDel="00000000" w:rsidP="00000000" w:rsidRDefault="00000000" w:rsidRPr="00000000" w14:paraId="0000001E">
            <w:pPr>
              <w:pageBreakBefore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Any relationships within multi-tiered applications found during the scoping phase will be included in the assessment unless explicitly limited. Limitations and subsequent justification will be documented prior to the start of the assessment.</w:t>
            </w:r>
          </w:p>
          <w:p w:rsidR="00000000" w:rsidDel="00000000" w:rsidP="00000000" w:rsidRDefault="00000000" w:rsidRPr="00000000" w14:paraId="0000001F">
            <w:pPr>
              <w:pageBreakBefore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The assessment of risks should include the likelihood and magnitude of harm from an event that could compromise the security policies and compliance of the technologies in the SLEDS Environment.</w:t>
            </w:r>
          </w:p>
          <w:p w:rsidR="00000000" w:rsidDel="00000000" w:rsidP="00000000" w:rsidRDefault="00000000" w:rsidRPr="00000000" w14:paraId="00000020">
            <w:pPr>
              <w:pageBreakBefore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Through the SLEDS Governance Structure, Participating Entities should be informed about any known risks and consulted prior to placing new system components into production.</w:t>
            </w:r>
          </w:p>
          <w:p w:rsidR="00000000" w:rsidDel="00000000" w:rsidP="00000000" w:rsidRDefault="00000000" w:rsidRPr="00000000" w14:paraId="00000021">
            <w:pPr>
              <w:pageBreakBefore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The risk assessment shall be updated upon request of the SLEDS Data Governance Committee </w:t>
            </w:r>
            <w:r w:rsidDel="00000000" w:rsidR="00000000" w:rsidRPr="00000000">
              <w:rPr>
                <w:rFonts w:ascii="Lato" w:cs="Lato" w:eastAsia="Lato" w:hAnsi="Lato"/>
                <w:rtl w:val="0"/>
              </w:rPr>
              <w:t xml:space="preserve">as recommended by the SLEDS Security Team</w:t>
            </w:r>
            <w:r w:rsidDel="00000000" w:rsidR="00000000" w:rsidRPr="00000000">
              <w:rPr>
                <w:rFonts w:ascii="Lato" w:cs="Lato" w:eastAsia="Lato" w:hAnsi="Lato"/>
                <w:rtl w:val="0"/>
              </w:rPr>
              <w:t xml:space="preserve">, and whenever there are significant changes to the SLEDS Environment including the identification of new threats and vulnerabilities.</w:t>
            </w:r>
          </w:p>
        </w:tc>
      </w:tr>
      <w:tr>
        <w:trPr>
          <w:cantSplit w:val="0"/>
          <w:tblHeader w:val="0"/>
        </w:trPr>
        <w:tc>
          <w:tcPr/>
          <w:p w:rsidR="00000000" w:rsidDel="00000000" w:rsidP="00000000" w:rsidRDefault="00000000" w:rsidRPr="00000000" w14:paraId="00000022">
            <w:pPr>
              <w:pageBreakBefore w:val="0"/>
              <w:rPr>
                <w:rFonts w:ascii="Lato" w:cs="Lato" w:eastAsia="Lato" w:hAnsi="Lato"/>
              </w:rPr>
            </w:pPr>
            <w:r w:rsidDel="00000000" w:rsidR="00000000" w:rsidRPr="00000000">
              <w:rPr>
                <w:rFonts w:ascii="Lato" w:cs="Lato" w:eastAsia="Lato" w:hAnsi="Lato"/>
                <w:rtl w:val="0"/>
              </w:rPr>
              <w:t xml:space="preserve">4</w:t>
            </w:r>
          </w:p>
        </w:tc>
        <w:tc>
          <w:tcPr/>
          <w:p w:rsidR="00000000" w:rsidDel="00000000" w:rsidP="00000000" w:rsidRDefault="00000000" w:rsidRPr="00000000" w14:paraId="00000023">
            <w:pPr>
              <w:pageBreakBefore w:val="0"/>
              <w:widowControl w:val="0"/>
              <w:pBdr>
                <w:top w:color="auto" w:space="0" w:sz="0" w:val="none"/>
                <w:left w:color="auto" w:space="0" w:sz="0" w:val="none"/>
                <w:bottom w:color="auto" w:space="0" w:sz="0" w:val="none"/>
                <w:right w:color="auto" w:space="0" w:sz="0" w:val="none"/>
                <w:between w:color="auto" w:space="0" w:sz="0" w:val="none"/>
              </w:pBdr>
              <w:rPr>
                <w:rFonts w:ascii="Lato" w:cs="Lato" w:eastAsia="Lato" w:hAnsi="Lato"/>
              </w:rPr>
            </w:pPr>
            <w:r w:rsidDel="00000000" w:rsidR="00000000" w:rsidRPr="00000000">
              <w:rPr>
                <w:rFonts w:ascii="Lato" w:cs="Lato" w:eastAsia="Lato" w:hAnsi="Lato"/>
                <w:rtl w:val="0"/>
              </w:rPr>
              <w:t xml:space="preserve">SLEDS web application assessments shall be performed in alignment with Wyoming State IT Policy </w:t>
            </w:r>
            <w:hyperlink r:id="rId18">
              <w:r w:rsidDel="00000000" w:rsidR="00000000" w:rsidRPr="00000000">
                <w:rPr>
                  <w:rFonts w:ascii="Lato" w:cs="Lato" w:eastAsia="Lato" w:hAnsi="Lato"/>
                  <w:color w:val="1155cc"/>
                  <w:u w:val="single"/>
                  <w:rtl w:val="0"/>
                </w:rPr>
                <w:t xml:space="preserve">03500-P018 Web Application Security</w:t>
              </w:r>
            </w:hyperlink>
            <w:r w:rsidDel="00000000" w:rsidR="00000000" w:rsidRPr="00000000">
              <w:rPr>
                <w:rFonts w:ascii="Lato" w:cs="Lato" w:eastAsia="Lato" w:hAnsi="Lato"/>
                <w:rtl w:val="0"/>
              </w:rPr>
              <w:t xml:space="preserve">. Web applications are subject to assessment based on the following criteria:</w:t>
            </w:r>
          </w:p>
          <w:p w:rsidR="00000000" w:rsidDel="00000000" w:rsidP="00000000" w:rsidRDefault="00000000" w:rsidRPr="00000000" w14:paraId="00000024">
            <w:pPr>
              <w:pageBreakBefore w:val="0"/>
              <w:widowControl w:val="0"/>
              <w:numPr>
                <w:ilvl w:val="0"/>
                <w:numId w:val="6"/>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r w:rsidDel="00000000" w:rsidR="00000000" w:rsidRPr="00000000">
              <w:rPr>
                <w:rFonts w:ascii="Lato" w:cs="Lato" w:eastAsia="Lato" w:hAnsi="Lato"/>
                <w:rtl w:val="0"/>
              </w:rPr>
              <w:t xml:space="preserve">New or Major Application Release – Will be subject to a full assessment prior to approval of the change control documentation and/or release into the live environment. </w:t>
            </w:r>
          </w:p>
          <w:p w:rsidR="00000000" w:rsidDel="00000000" w:rsidP="00000000" w:rsidRDefault="00000000" w:rsidRPr="00000000" w14:paraId="00000025">
            <w:pPr>
              <w:pageBreakBefore w:val="0"/>
              <w:widowControl w:val="0"/>
              <w:numPr>
                <w:ilvl w:val="0"/>
                <w:numId w:val="6"/>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r w:rsidDel="00000000" w:rsidR="00000000" w:rsidRPr="00000000">
              <w:rPr>
                <w:rFonts w:ascii="Lato" w:cs="Lato" w:eastAsia="Lato" w:hAnsi="Lato"/>
                <w:rtl w:val="0"/>
              </w:rPr>
              <w:t xml:space="preserve">Third Party or Acquired Web Application – Will be subject to a full assessment after which it will be bound to policy requirements. </w:t>
            </w:r>
          </w:p>
          <w:p w:rsidR="00000000" w:rsidDel="00000000" w:rsidP="00000000" w:rsidRDefault="00000000" w:rsidRPr="00000000" w14:paraId="00000026">
            <w:pPr>
              <w:pageBreakBefore w:val="0"/>
              <w:widowControl w:val="0"/>
              <w:numPr>
                <w:ilvl w:val="0"/>
                <w:numId w:val="6"/>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r w:rsidDel="00000000" w:rsidR="00000000" w:rsidRPr="00000000">
              <w:rPr>
                <w:rFonts w:ascii="Lato" w:cs="Lato" w:eastAsia="Lato" w:hAnsi="Lato"/>
                <w:rtl w:val="0"/>
              </w:rPr>
              <w:t xml:space="preserve">Point or Minor Releases – Will be subject to an appropriate assessment level based on the risk of the changes in the application functionality and/or architecture. </w:t>
            </w:r>
          </w:p>
          <w:p w:rsidR="00000000" w:rsidDel="00000000" w:rsidP="00000000" w:rsidRDefault="00000000" w:rsidRPr="00000000" w14:paraId="00000027">
            <w:pPr>
              <w:pageBreakBefore w:val="0"/>
              <w:widowControl w:val="0"/>
              <w:numPr>
                <w:ilvl w:val="0"/>
                <w:numId w:val="6"/>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r w:rsidDel="00000000" w:rsidR="00000000" w:rsidRPr="00000000">
              <w:rPr>
                <w:rFonts w:ascii="Lato" w:cs="Lato" w:eastAsia="Lato" w:hAnsi="Lato"/>
                <w:rtl w:val="0"/>
              </w:rPr>
              <w:t xml:space="preserve">Patch Releases – Will be subject to an appropriate assessment level based on the risk of the changes to the application functionality and/or architecture. </w:t>
            </w:r>
          </w:p>
          <w:p w:rsidR="00000000" w:rsidDel="00000000" w:rsidP="00000000" w:rsidRDefault="00000000" w:rsidRPr="00000000" w14:paraId="00000028">
            <w:pPr>
              <w:pageBreakBefore w:val="0"/>
              <w:widowControl w:val="0"/>
              <w:numPr>
                <w:ilvl w:val="0"/>
                <w:numId w:val="6"/>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r w:rsidDel="00000000" w:rsidR="00000000" w:rsidRPr="00000000">
              <w:rPr>
                <w:rFonts w:ascii="Lato" w:cs="Lato" w:eastAsia="Lato" w:hAnsi="Lato"/>
                <w:rtl w:val="0"/>
              </w:rPr>
              <w:t xml:space="preserve">Emergency Releases – An emergency release will be allowed to forgo security assessments and carry the assumed risk until such time that a proper assessment can be carried out. Emergency releases will be designated as such by the State Chief Information Officer or their delegate.</w:t>
            </w:r>
          </w:p>
        </w:tc>
      </w:tr>
      <w:tr>
        <w:trPr>
          <w:cantSplit w:val="0"/>
          <w:tblHeader w:val="0"/>
        </w:trPr>
        <w:tc>
          <w:tcPr/>
          <w:p w:rsidR="00000000" w:rsidDel="00000000" w:rsidP="00000000" w:rsidRDefault="00000000" w:rsidRPr="00000000" w14:paraId="00000029">
            <w:pPr>
              <w:pageBreakBefore w:val="0"/>
              <w:rPr>
                <w:rFonts w:ascii="Lato" w:cs="Lato" w:eastAsia="Lato" w:hAnsi="Lato"/>
              </w:rPr>
            </w:pPr>
            <w:r w:rsidDel="00000000" w:rsidR="00000000" w:rsidRPr="00000000">
              <w:rPr>
                <w:rFonts w:ascii="Lato" w:cs="Lato" w:eastAsia="Lato" w:hAnsi="Lato"/>
                <w:rtl w:val="0"/>
              </w:rPr>
              <w:t xml:space="preserve">5</w:t>
            </w:r>
          </w:p>
        </w:tc>
        <w:tc>
          <w:tcPr/>
          <w:p w:rsidR="00000000" w:rsidDel="00000000" w:rsidP="00000000" w:rsidRDefault="00000000" w:rsidRPr="00000000" w14:paraId="0000002A">
            <w:pPr>
              <w:pageBreakBefore w:val="0"/>
              <w:widowControl w:val="0"/>
              <w:pBdr>
                <w:top w:color="auto" w:space="0" w:sz="0" w:val="none"/>
                <w:left w:color="auto" w:space="0" w:sz="0" w:val="none"/>
                <w:bottom w:color="auto" w:space="0" w:sz="0" w:val="none"/>
                <w:right w:color="auto" w:space="0" w:sz="0" w:val="none"/>
                <w:between w:color="auto" w:space="0" w:sz="0" w:val="none"/>
              </w:pBdr>
              <w:rPr>
                <w:rFonts w:ascii="Lato" w:cs="Lato" w:eastAsia="Lato" w:hAnsi="Lato"/>
              </w:rPr>
            </w:pPr>
            <w:r w:rsidDel="00000000" w:rsidR="00000000" w:rsidRPr="00000000">
              <w:rPr>
                <w:rFonts w:ascii="Lato" w:cs="Lato" w:eastAsia="Lato" w:hAnsi="Lato"/>
                <w:rtl w:val="0"/>
              </w:rPr>
              <w:t xml:space="preserve">All security issues that are discovered during assessments must be mitigated based upon the following risk levels. The Risk Levels are based on the Open Web Application Security Project (OWASP) Risk Rating Methodology. Remediation validation testing will be required to validate fix and/or mitigation strategies for any discovered issues of Medium risk level or greater. </w:t>
            </w:r>
          </w:p>
          <w:p w:rsidR="00000000" w:rsidDel="00000000" w:rsidP="00000000" w:rsidRDefault="00000000" w:rsidRPr="00000000" w14:paraId="0000002B">
            <w:pPr>
              <w:pageBreakBefore w:val="0"/>
              <w:widowControl w:val="0"/>
              <w:numPr>
                <w:ilvl w:val="0"/>
                <w:numId w:val="5"/>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r w:rsidDel="00000000" w:rsidR="00000000" w:rsidRPr="00000000">
              <w:rPr>
                <w:rFonts w:ascii="Lato" w:cs="Lato" w:eastAsia="Lato" w:hAnsi="Lato"/>
                <w:rtl w:val="0"/>
              </w:rPr>
              <w:t xml:space="preserve">High – Any high risk issue must be fixed immediately or other mitigation strategies must be put in place to limit exposure before deployment. Applications with high risk issues are subject to being taken off-line or denied release into the live environment. </w:t>
            </w:r>
          </w:p>
          <w:p w:rsidR="00000000" w:rsidDel="00000000" w:rsidP="00000000" w:rsidRDefault="00000000" w:rsidRPr="00000000" w14:paraId="0000002C">
            <w:pPr>
              <w:pageBreakBefore w:val="0"/>
              <w:widowControl w:val="0"/>
              <w:numPr>
                <w:ilvl w:val="0"/>
                <w:numId w:val="5"/>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r w:rsidDel="00000000" w:rsidR="00000000" w:rsidRPr="00000000">
              <w:rPr>
                <w:rFonts w:ascii="Lato" w:cs="Lato" w:eastAsia="Lato" w:hAnsi="Lato"/>
                <w:rtl w:val="0"/>
              </w:rPr>
              <w:t xml:space="preserve">Medium – Medium risk issues should be reviewed to determine what is required to mitigate and scheduled accordingly. Applications with medium risk issues may be taken off-line or denied release into the live environment based on the number of issues and if multiple issues increase the risk to an unacceptable level. Issues should be fixed in a patch/point release unless other mitigation strategies will limit exposure.</w:t>
            </w:r>
          </w:p>
          <w:p w:rsidR="00000000" w:rsidDel="00000000" w:rsidP="00000000" w:rsidRDefault="00000000" w:rsidRPr="00000000" w14:paraId="0000002D">
            <w:pPr>
              <w:pageBreakBefore w:val="0"/>
              <w:widowControl w:val="0"/>
              <w:numPr>
                <w:ilvl w:val="0"/>
                <w:numId w:val="5"/>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r w:rsidDel="00000000" w:rsidR="00000000" w:rsidRPr="00000000">
              <w:rPr>
                <w:rFonts w:ascii="Lato" w:cs="Lato" w:eastAsia="Lato" w:hAnsi="Lato"/>
                <w:rtl w:val="0"/>
              </w:rPr>
              <w:t xml:space="preserve">Low – Issue should be reviewed to determine what is required to correct the issue and scheduled accordingly.</w:t>
            </w:r>
          </w:p>
        </w:tc>
      </w:tr>
      <w:tr>
        <w:trPr>
          <w:cantSplit w:val="0"/>
          <w:tblHeader w:val="0"/>
        </w:trPr>
        <w:tc>
          <w:tcPr/>
          <w:p w:rsidR="00000000" w:rsidDel="00000000" w:rsidP="00000000" w:rsidRDefault="00000000" w:rsidRPr="00000000" w14:paraId="0000002E">
            <w:pPr>
              <w:pageBreakBefore w:val="0"/>
              <w:rPr>
                <w:rFonts w:ascii="Lato" w:cs="Lato" w:eastAsia="Lato" w:hAnsi="Lato"/>
              </w:rPr>
            </w:pPr>
            <w:r w:rsidDel="00000000" w:rsidR="00000000" w:rsidRPr="00000000">
              <w:rPr>
                <w:rFonts w:ascii="Lato" w:cs="Lato" w:eastAsia="Lato" w:hAnsi="Lato"/>
                <w:rtl w:val="0"/>
              </w:rPr>
              <w:t xml:space="preserve">6</w:t>
            </w:r>
          </w:p>
        </w:tc>
        <w:tc>
          <w:tcPr/>
          <w:p w:rsidR="00000000" w:rsidDel="00000000" w:rsidP="00000000" w:rsidRDefault="00000000" w:rsidRPr="00000000" w14:paraId="0000002F">
            <w:pPr>
              <w:pageBreakBefore w:val="0"/>
              <w:widowControl w:val="0"/>
              <w:pBdr>
                <w:top w:color="auto" w:space="0" w:sz="0" w:val="none"/>
                <w:left w:color="auto" w:space="0" w:sz="0" w:val="none"/>
                <w:bottom w:color="auto" w:space="0" w:sz="0" w:val="none"/>
                <w:right w:color="auto" w:space="0" w:sz="0" w:val="none"/>
                <w:between w:color="auto" w:space="0" w:sz="0" w:val="none"/>
              </w:pBdr>
              <w:rPr>
                <w:rFonts w:ascii="Lato" w:cs="Lato" w:eastAsia="Lato" w:hAnsi="Lato"/>
              </w:rPr>
            </w:pPr>
            <w:r w:rsidDel="00000000" w:rsidR="00000000" w:rsidRPr="00000000">
              <w:rPr>
                <w:rFonts w:ascii="Lato" w:cs="Lato" w:eastAsia="Lato" w:hAnsi="Lato"/>
                <w:rtl w:val="0"/>
              </w:rPr>
              <w:t xml:space="preserve">The following assessment levels shall be established: </w:t>
            </w:r>
          </w:p>
          <w:p w:rsidR="00000000" w:rsidDel="00000000" w:rsidP="00000000" w:rsidRDefault="00000000" w:rsidRPr="00000000" w14:paraId="00000030">
            <w:pPr>
              <w:pageBreakBefore w:val="0"/>
              <w:widowControl w:val="0"/>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r w:rsidDel="00000000" w:rsidR="00000000" w:rsidRPr="00000000">
              <w:rPr>
                <w:rFonts w:ascii="Lato" w:cs="Lato" w:eastAsia="Lato" w:hAnsi="Lato"/>
                <w:rtl w:val="0"/>
              </w:rPr>
              <w:t xml:space="preserve">Full – A full assessment is comprised of tests for all known web application vulnerabilities using both automated and manual tools. A full assessment will use manual penetration testing techniques to validate discovered vulnerabilities to determine the overall risk. </w:t>
            </w:r>
          </w:p>
          <w:p w:rsidR="00000000" w:rsidDel="00000000" w:rsidP="00000000" w:rsidRDefault="00000000" w:rsidRPr="00000000" w14:paraId="00000031">
            <w:pPr>
              <w:pageBreakBefore w:val="0"/>
              <w:widowControl w:val="0"/>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r w:rsidDel="00000000" w:rsidR="00000000" w:rsidRPr="00000000">
              <w:rPr>
                <w:rFonts w:ascii="Lato" w:cs="Lato" w:eastAsia="Lato" w:hAnsi="Lato"/>
                <w:rtl w:val="0"/>
              </w:rPr>
              <w:t xml:space="preserve">Quick – A quick assessment will typically consist of an automated scan of an application for at least the OWASP Top Ten web application security risks. </w:t>
            </w:r>
          </w:p>
          <w:p w:rsidR="00000000" w:rsidDel="00000000" w:rsidP="00000000" w:rsidRDefault="00000000" w:rsidRPr="00000000" w14:paraId="00000032">
            <w:pPr>
              <w:pageBreakBefore w:val="0"/>
              <w:widowControl w:val="0"/>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r w:rsidDel="00000000" w:rsidR="00000000" w:rsidRPr="00000000">
              <w:rPr>
                <w:rFonts w:ascii="Lato" w:cs="Lato" w:eastAsia="Lato" w:hAnsi="Lato"/>
                <w:rtl w:val="0"/>
              </w:rPr>
              <w:t xml:space="preserve">Targeted – A targeted assessment is performed to verify vulnerability remediation changes or new application functionality.</w:t>
            </w:r>
          </w:p>
        </w:tc>
      </w:tr>
      <w:tr>
        <w:trPr>
          <w:cantSplit w:val="0"/>
          <w:tblHeader w:val="0"/>
        </w:trPr>
        <w:tc>
          <w:tcPr/>
          <w:p w:rsidR="00000000" w:rsidDel="00000000" w:rsidP="00000000" w:rsidRDefault="00000000" w:rsidRPr="00000000" w14:paraId="00000033">
            <w:pPr>
              <w:pageBreakBefore w:val="0"/>
              <w:rPr>
                <w:rFonts w:ascii="Lato" w:cs="Lato" w:eastAsia="Lato" w:hAnsi="Lato"/>
              </w:rPr>
            </w:pPr>
            <w:r w:rsidDel="00000000" w:rsidR="00000000" w:rsidRPr="00000000">
              <w:rPr>
                <w:rFonts w:ascii="Lato" w:cs="Lato" w:eastAsia="Lato" w:hAnsi="Lato"/>
                <w:rtl w:val="0"/>
              </w:rPr>
              <w:t xml:space="preserve">7</w:t>
            </w:r>
          </w:p>
        </w:tc>
        <w:tc>
          <w:tcPr/>
          <w:p w:rsidR="00000000" w:rsidDel="00000000" w:rsidP="00000000" w:rsidRDefault="00000000" w:rsidRPr="00000000" w14:paraId="00000034">
            <w:pPr>
              <w:pageBreakBefore w:val="0"/>
              <w:widowControl w:val="0"/>
              <w:pBdr>
                <w:top w:color="auto" w:space="0" w:sz="0" w:val="none"/>
                <w:left w:color="auto" w:space="0" w:sz="0" w:val="none"/>
                <w:bottom w:color="auto" w:space="0" w:sz="0" w:val="none"/>
                <w:right w:color="auto" w:space="0" w:sz="0" w:val="none"/>
                <w:between w:color="auto" w:space="0" w:sz="0" w:val="none"/>
              </w:pBdr>
              <w:rPr>
                <w:rFonts w:ascii="Lato" w:cs="Lato" w:eastAsia="Lato" w:hAnsi="Lato"/>
              </w:rPr>
            </w:pPr>
            <w:r w:rsidDel="00000000" w:rsidR="00000000" w:rsidRPr="00000000">
              <w:rPr>
                <w:rFonts w:ascii="Lato" w:cs="Lato" w:eastAsia="Lato" w:hAnsi="Lato"/>
                <w:rtl w:val="0"/>
              </w:rPr>
              <w:t xml:space="preserve">Risk assessments shall be performed in connection with networking and/or communication resources being connected to the SLEDS Environment to form networks in alignment with the </w:t>
            </w:r>
            <w:hyperlink r:id="rId19">
              <w:r w:rsidDel="00000000" w:rsidR="00000000" w:rsidRPr="00000000">
                <w:rPr>
                  <w:rFonts w:ascii="Lato" w:cs="Lato" w:eastAsia="Lato" w:hAnsi="Lato"/>
                  <w:color w:val="1155cc"/>
                  <w:u w:val="single"/>
                  <w:rtl w:val="0"/>
                </w:rPr>
                <w:t xml:space="preserve">SLEDS System and Communications Protection Policy</w:t>
              </w:r>
            </w:hyperlink>
            <w:r w:rsidDel="00000000" w:rsidR="00000000" w:rsidRPr="00000000">
              <w:rPr>
                <w:rFonts w:ascii="Lato" w:cs="Lato" w:eastAsia="Lato" w:hAnsi="Lato"/>
                <w:rtl w:val="0"/>
              </w:rPr>
              <w:t xml:space="preserve">. ETS shall be responsible for determining the appropriateness of risk when the State Wide Area Network is involved. ETS shall determine the acceptability of risk when there is a perceived conflict between risks to the State Wide Area Network and the SLEDS Program’s assessment of risk.</w:t>
            </w:r>
          </w:p>
        </w:tc>
      </w:tr>
    </w:tbl>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Style w:val="Heading1"/>
        <w:pageBreakBefore w:val="0"/>
        <w:rPr>
          <w:sz w:val="22"/>
          <w:szCs w:val="22"/>
        </w:rPr>
      </w:pPr>
      <w:bookmarkStart w:colFirst="0" w:colLast="0" w:name="_tdx07shf9lqt" w:id="2"/>
      <w:bookmarkEnd w:id="2"/>
      <w:r w:rsidDel="00000000" w:rsidR="00000000" w:rsidRPr="00000000">
        <w:rPr>
          <w:rtl w:val="0"/>
        </w:rPr>
        <w:t xml:space="preserve">Additional Information</w:t>
      </w:r>
      <w:r w:rsidDel="00000000" w:rsidR="00000000" w:rsidRPr="00000000">
        <w:rPr>
          <w:rtl w:val="0"/>
        </w:rPr>
      </w:r>
    </w:p>
    <w:p w:rsidR="00000000" w:rsidDel="00000000" w:rsidP="00000000" w:rsidRDefault="00000000" w:rsidRPr="00000000" w14:paraId="00000037">
      <w:pPr>
        <w:pageBreakBefore w:val="0"/>
        <w:rPr>
          <w:rFonts w:ascii="Lato" w:cs="Lato" w:eastAsia="Lato" w:hAnsi="Lato"/>
        </w:rPr>
      </w:pPr>
      <w:r w:rsidDel="00000000" w:rsidR="00000000" w:rsidRPr="00000000">
        <w:rPr>
          <w:rFonts w:ascii="Lato" w:cs="Lato" w:eastAsia="Lato" w:hAnsi="Lato"/>
          <w:rtl w:val="0"/>
        </w:rPr>
        <w:t xml:space="preserve">Additional and supporting information can be found using the following resources:</w:t>
      </w:r>
    </w:p>
    <w:p w:rsidR="00000000" w:rsidDel="00000000" w:rsidP="00000000" w:rsidRDefault="00000000" w:rsidRPr="00000000" w14:paraId="00000038">
      <w:pPr>
        <w:pageBreakBefore w:val="0"/>
        <w:numPr>
          <w:ilvl w:val="0"/>
          <w:numId w:val="4"/>
        </w:numPr>
        <w:spacing w:before="200" w:lineRule="auto"/>
        <w:ind w:left="720" w:hanging="360"/>
        <w:rPr>
          <w:rFonts w:ascii="Lato" w:cs="Lato" w:eastAsia="Lato" w:hAnsi="Lato"/>
        </w:rPr>
      </w:pPr>
      <w:hyperlink r:id="rId20">
        <w:r w:rsidDel="00000000" w:rsidR="00000000" w:rsidRPr="00000000">
          <w:rPr>
            <w:rFonts w:ascii="Lato" w:cs="Lato" w:eastAsia="Lato" w:hAnsi="Lato"/>
            <w:color w:val="1155cc"/>
            <w:u w:val="single"/>
            <w:rtl w:val="0"/>
          </w:rPr>
          <w:t xml:space="preserve">SLEDS Glossary of Defined Terms</w:t>
        </w:r>
      </w:hyperlink>
      <w:r w:rsidDel="00000000" w:rsidR="00000000" w:rsidRPr="00000000">
        <w:rPr>
          <w:rtl w:val="0"/>
        </w:rPr>
      </w:r>
    </w:p>
    <w:p w:rsidR="00000000" w:rsidDel="00000000" w:rsidP="00000000" w:rsidRDefault="00000000" w:rsidRPr="00000000" w14:paraId="00000039">
      <w:pPr>
        <w:pageBreakBefore w:val="0"/>
        <w:numPr>
          <w:ilvl w:val="0"/>
          <w:numId w:val="4"/>
        </w:numPr>
        <w:ind w:left="720" w:hanging="360"/>
        <w:rPr>
          <w:rFonts w:ascii="Lato" w:cs="Lato" w:eastAsia="Lato" w:hAnsi="Lato"/>
        </w:rPr>
      </w:pPr>
      <w:hyperlink r:id="rId21">
        <w:r w:rsidDel="00000000" w:rsidR="00000000" w:rsidRPr="00000000">
          <w:rPr>
            <w:rFonts w:ascii="Lato" w:cs="Lato" w:eastAsia="Lato" w:hAnsi="Lato"/>
            <w:color w:val="1155cc"/>
            <w:u w:val="single"/>
            <w:rtl w:val="0"/>
          </w:rPr>
          <w:t xml:space="preserve">SLEDS Policy and Procedure Inventory</w:t>
        </w:r>
      </w:hyperlink>
      <w:r w:rsidDel="00000000" w:rsidR="00000000" w:rsidRPr="00000000">
        <w:rPr>
          <w:rtl w:val="0"/>
        </w:rPr>
      </w:r>
    </w:p>
    <w:p w:rsidR="00000000" w:rsidDel="00000000" w:rsidP="00000000" w:rsidRDefault="00000000" w:rsidRPr="00000000" w14:paraId="0000003A">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ind w:left="720" w:hanging="360"/>
        <w:rPr>
          <w:rFonts w:ascii="Lato" w:cs="Lato" w:eastAsia="Lato" w:hAnsi="Lato"/>
        </w:rPr>
      </w:pPr>
      <w:hyperlink r:id="rId22">
        <w:r w:rsidDel="00000000" w:rsidR="00000000" w:rsidRPr="00000000">
          <w:rPr>
            <w:rFonts w:ascii="Lato" w:cs="Lato" w:eastAsia="Lato" w:hAnsi="Lato"/>
            <w:color w:val="1155cc"/>
            <w:highlight w:val="white"/>
            <w:u w:val="single"/>
            <w:rtl w:val="0"/>
          </w:rPr>
          <w:t xml:space="preserve">SLEDS Data Research Request Process</w:t>
        </w:r>
      </w:hyperlink>
      <w:r w:rsidDel="00000000" w:rsidR="00000000" w:rsidRPr="00000000">
        <w:rPr>
          <w:rFonts w:ascii="Lato" w:cs="Lato" w:eastAsia="Lato" w:hAnsi="Lato"/>
          <w:highlight w:val="white"/>
          <w:rtl w:val="0"/>
        </w:rPr>
        <w:t xml:space="preserve"> </w:t>
      </w:r>
      <w:r w:rsidDel="00000000" w:rsidR="00000000" w:rsidRPr="00000000">
        <w:rPr>
          <w:rtl w:val="0"/>
        </w:rPr>
      </w:r>
    </w:p>
    <w:p w:rsidR="00000000" w:rsidDel="00000000" w:rsidP="00000000" w:rsidRDefault="00000000" w:rsidRPr="00000000" w14:paraId="0000003B">
      <w:pPr>
        <w:pageBreakBefore w:val="0"/>
        <w:numPr>
          <w:ilvl w:val="0"/>
          <w:numId w:val="4"/>
        </w:numPr>
        <w:ind w:left="720" w:hanging="360"/>
        <w:rPr>
          <w:rFonts w:ascii="Lato" w:cs="Lato" w:eastAsia="Lato" w:hAnsi="Lato"/>
        </w:rPr>
      </w:pPr>
      <w:hyperlink r:id="rId23">
        <w:r w:rsidDel="00000000" w:rsidR="00000000" w:rsidRPr="00000000">
          <w:rPr>
            <w:rFonts w:ascii="Lato" w:cs="Lato" w:eastAsia="Lato" w:hAnsi="Lato"/>
            <w:color w:val="1155cc"/>
            <w:u w:val="single"/>
            <w:rtl w:val="0"/>
          </w:rPr>
          <w:t xml:space="preserve">U.S. Department of Education FERPA Guidance</w:t>
        </w:r>
      </w:hyperlink>
      <w:r w:rsidDel="00000000" w:rsidR="00000000" w:rsidRPr="00000000">
        <w:rPr>
          <w:rtl w:val="0"/>
        </w:rPr>
      </w:r>
    </w:p>
    <w:p w:rsidR="00000000" w:rsidDel="00000000" w:rsidP="00000000" w:rsidRDefault="00000000" w:rsidRPr="00000000" w14:paraId="0000003C">
      <w:pPr>
        <w:pageBreakBefore w:val="0"/>
        <w:numPr>
          <w:ilvl w:val="0"/>
          <w:numId w:val="4"/>
        </w:numPr>
        <w:ind w:left="720" w:hanging="360"/>
        <w:rPr>
          <w:rFonts w:ascii="Lato" w:cs="Lato" w:eastAsia="Lato" w:hAnsi="Lato"/>
        </w:rPr>
      </w:pPr>
      <w:hyperlink r:id="rId24">
        <w:r w:rsidDel="00000000" w:rsidR="00000000" w:rsidRPr="00000000">
          <w:rPr>
            <w:rFonts w:ascii="Lato" w:cs="Lato" w:eastAsia="Lato" w:hAnsi="Lato"/>
            <w:color w:val="1155cc"/>
            <w:u w:val="single"/>
            <w:rtl w:val="0"/>
          </w:rPr>
          <w:t xml:space="preserve">PTAC Guidance on Integrated Data Systems</w:t>
        </w:r>
      </w:hyperlink>
      <w:r w:rsidDel="00000000" w:rsidR="00000000" w:rsidRPr="00000000">
        <w:rPr>
          <w:rtl w:val="0"/>
        </w:rPr>
      </w:r>
    </w:p>
    <w:p w:rsidR="00000000" w:rsidDel="00000000" w:rsidP="00000000" w:rsidRDefault="00000000" w:rsidRPr="00000000" w14:paraId="0000003D">
      <w:pPr>
        <w:pageBreakBefore w:val="0"/>
        <w:numPr>
          <w:ilvl w:val="0"/>
          <w:numId w:val="4"/>
        </w:numPr>
        <w:spacing w:after="200" w:lineRule="auto"/>
        <w:ind w:left="720" w:hanging="360"/>
        <w:rPr>
          <w:rFonts w:ascii="Lato" w:cs="Lato" w:eastAsia="Lato" w:hAnsi="Lato"/>
        </w:rPr>
      </w:pPr>
      <w:hyperlink r:id="rId25">
        <w:r w:rsidDel="00000000" w:rsidR="00000000" w:rsidRPr="00000000">
          <w:rPr>
            <w:rFonts w:ascii="Lato" w:cs="Lato" w:eastAsia="Lato" w:hAnsi="Lato"/>
            <w:color w:val="1155cc"/>
            <w:u w:val="single"/>
            <w:rtl w:val="0"/>
          </w:rPr>
          <w:t xml:space="preserve">PTAC Summary of FERPA Exceptions</w:t>
        </w:r>
      </w:hyperlink>
      <w:r w:rsidDel="00000000" w:rsidR="00000000" w:rsidRPr="00000000">
        <w:rPr>
          <w:rtl w:val="0"/>
        </w:rPr>
      </w:r>
    </w:p>
    <w:p w:rsidR="00000000" w:rsidDel="00000000" w:rsidP="00000000" w:rsidRDefault="00000000" w:rsidRPr="00000000" w14:paraId="0000003E">
      <w:pPr>
        <w:pageBreakBefore w:val="0"/>
        <w:rPr>
          <w:rFonts w:ascii="Lato" w:cs="Lato" w:eastAsia="Lato" w:hAnsi="Lato"/>
          <w:i w:val="0"/>
          <w:sz w:val="32"/>
          <w:szCs w:val="32"/>
        </w:rPr>
      </w:pPr>
      <w:r w:rsidDel="00000000" w:rsidR="00000000" w:rsidRPr="00000000">
        <w:rPr>
          <w:rFonts w:ascii="Lato" w:cs="Lato" w:eastAsia="Lato" w:hAnsi="Lato"/>
          <w:rtl w:val="0"/>
        </w:rPr>
        <w:t xml:space="preserve">For questions or concerns related to this Policy, please contact the Wyoming Community College Commission Chief Technology Officer (CTO) at (307) 777-7763.</w:t>
      </w:r>
      <w:r w:rsidDel="00000000" w:rsidR="00000000" w:rsidRPr="00000000">
        <w:rPr>
          <w:rtl w:val="0"/>
        </w:rPr>
      </w:r>
    </w:p>
    <w:p w:rsidR="00000000" w:rsidDel="00000000" w:rsidP="00000000" w:rsidRDefault="00000000" w:rsidRPr="00000000" w14:paraId="0000003F">
      <w:pPr>
        <w:pStyle w:val="Heading3"/>
        <w:keepLines w:val="1"/>
        <w:pageBreakBefore w:val="0"/>
        <w:spacing w:after="0" w:before="0" w:line="312" w:lineRule="auto"/>
        <w:rPr>
          <w:rFonts w:ascii="Lato" w:cs="Lato" w:eastAsia="Lato" w:hAnsi="Lato"/>
          <w:b w:val="0"/>
          <w:color w:val="073763"/>
          <w:sz w:val="16"/>
          <w:szCs w:val="16"/>
        </w:rPr>
      </w:pPr>
      <w:bookmarkStart w:colFirst="0" w:colLast="0" w:name="_fmjz8m2wkvgm" w:id="3"/>
      <w:bookmarkEnd w:id="3"/>
      <w:r w:rsidDel="00000000" w:rsidR="00000000" w:rsidRPr="00000000">
        <w:rPr>
          <w:rtl w:val="0"/>
        </w:rPr>
      </w:r>
    </w:p>
    <w:p w:rsidR="00000000" w:rsidDel="00000000" w:rsidP="00000000" w:rsidRDefault="00000000" w:rsidRPr="00000000" w14:paraId="00000040">
      <w:pPr>
        <w:pStyle w:val="Heading2"/>
        <w:keepLines w:val="1"/>
        <w:pageBreakBefore w:val="0"/>
        <w:spacing w:after="0" w:before="0" w:line="312" w:lineRule="auto"/>
        <w:rPr>
          <w:rFonts w:ascii="Lato" w:cs="Lato" w:eastAsia="Lato" w:hAnsi="Lato"/>
          <w:i w:val="0"/>
          <w:sz w:val="32"/>
          <w:szCs w:val="32"/>
        </w:rPr>
      </w:pPr>
      <w:bookmarkStart w:colFirst="0" w:colLast="0" w:name="_ws5yt6988pba" w:id="4"/>
      <w:bookmarkEnd w:id="4"/>
      <w:r w:rsidDel="00000000" w:rsidR="00000000" w:rsidRPr="00000000">
        <w:rPr>
          <w:rFonts w:ascii="Lato" w:cs="Lato" w:eastAsia="Lato" w:hAnsi="Lato"/>
          <w:i w:val="0"/>
          <w:sz w:val="32"/>
          <w:szCs w:val="32"/>
          <w:rtl w:val="0"/>
        </w:rPr>
        <w:t xml:space="preserve">Revision History</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45"/>
        <w:gridCol w:w="1785"/>
        <w:gridCol w:w="3345"/>
        <w:gridCol w:w="2685"/>
        <w:tblGridChange w:id="0">
          <w:tblGrid>
            <w:gridCol w:w="1545"/>
            <w:gridCol w:w="1785"/>
            <w:gridCol w:w="3345"/>
            <w:gridCol w:w="268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b w:val="1"/>
                <w:sz w:val="22"/>
                <w:szCs w:val="22"/>
              </w:rPr>
            </w:pPr>
            <w:r w:rsidDel="00000000" w:rsidR="00000000" w:rsidRPr="00000000">
              <w:rPr>
                <w:rFonts w:ascii="Lato" w:cs="Lato" w:eastAsia="Lato" w:hAnsi="Lato"/>
                <w:b w:val="1"/>
                <w:sz w:val="22"/>
                <w:szCs w:val="22"/>
                <w:rtl w:val="0"/>
              </w:rPr>
              <w:t xml:space="preserve">Revision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b w:val="1"/>
                <w:sz w:val="22"/>
                <w:szCs w:val="22"/>
              </w:rPr>
            </w:pPr>
            <w:r w:rsidDel="00000000" w:rsidR="00000000" w:rsidRPr="00000000">
              <w:rPr>
                <w:rFonts w:ascii="Lato" w:cs="Lato" w:eastAsia="Lato" w:hAnsi="Lato"/>
                <w:b w:val="1"/>
                <w:sz w:val="22"/>
                <w:szCs w:val="22"/>
                <w:rtl w:val="0"/>
              </w:rPr>
              <w:t xml:space="preserve">Revision Date</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b w:val="1"/>
                <w:sz w:val="22"/>
                <w:szCs w:val="22"/>
              </w:rPr>
            </w:pPr>
            <w:r w:rsidDel="00000000" w:rsidR="00000000" w:rsidRPr="00000000">
              <w:rPr>
                <w:rFonts w:ascii="Lato" w:cs="Lato" w:eastAsia="Lato" w:hAnsi="Lato"/>
                <w:b w:val="1"/>
                <w:sz w:val="22"/>
                <w:szCs w:val="22"/>
                <w:rtl w:val="0"/>
              </w:rPr>
              <w:t xml:space="preserve">Summary of Changes</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b w:val="1"/>
                <w:sz w:val="22"/>
                <w:szCs w:val="22"/>
              </w:rPr>
            </w:pPr>
            <w:r w:rsidDel="00000000" w:rsidR="00000000" w:rsidRPr="00000000">
              <w:rPr>
                <w:rFonts w:ascii="Lato" w:cs="Lato" w:eastAsia="Lato" w:hAnsi="Lato"/>
                <w:b w:val="1"/>
                <w:sz w:val="22"/>
                <w:szCs w:val="22"/>
                <w:rtl w:val="0"/>
              </w:rPr>
              <w:t xml:space="preserve">Changes marked</w:t>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Fonts w:ascii="Lato" w:cs="Lato" w:eastAsia="Lato" w:hAnsi="Lato"/>
                <w:sz w:val="22"/>
                <w:szCs w:val="22"/>
                <w:rtl w:val="0"/>
              </w:rPr>
              <w:t xml:space="preserve">1.0</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Fonts w:ascii="Lato" w:cs="Lato" w:eastAsia="Lato" w:hAnsi="Lato"/>
                <w:sz w:val="22"/>
                <w:szCs w:val="22"/>
                <w:rtl w:val="0"/>
              </w:rPr>
              <w:t xml:space="preserve">Approved Policy</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Fonts w:ascii="Lato" w:cs="Lato" w:eastAsia="Lato" w:hAnsi="Lato"/>
                <w:sz w:val="22"/>
                <w:szCs w:val="22"/>
                <w:rtl w:val="0"/>
              </w:rPr>
              <w:t xml:space="preserve">N/A</w:t>
            </w:r>
          </w:p>
        </w:tc>
      </w:tr>
      <w:tr>
        <w:trPr>
          <w:cantSplit w:val="0"/>
          <w:trHeight w:val="315"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Fonts w:ascii="Lato" w:cs="Lato" w:eastAsia="Lato" w:hAnsi="Lato"/>
                <w:sz w:val="22"/>
                <w:szCs w:val="22"/>
                <w:rtl w:val="0"/>
              </w:rPr>
              <w:t xml:space="preserve">1.1</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Fonts w:ascii="Lato" w:cs="Lato" w:eastAsia="Lato" w:hAnsi="Lato"/>
                <w:sz w:val="22"/>
                <w:szCs w:val="22"/>
                <w:rtl w:val="0"/>
              </w:rPr>
              <w:t xml:space="preserve">6/21/2021</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Fonts w:ascii="Lato" w:cs="Lato" w:eastAsia="Lato" w:hAnsi="Lato"/>
                <w:sz w:val="22"/>
                <w:szCs w:val="22"/>
                <w:rtl w:val="0"/>
              </w:rPr>
              <w:t xml:space="preserve">Updated policy references to revised </w:t>
            </w:r>
            <w:hyperlink r:id="rId26">
              <w:r w:rsidDel="00000000" w:rsidR="00000000" w:rsidRPr="00000000">
                <w:rPr>
                  <w:rFonts w:ascii="Lato" w:cs="Lato" w:eastAsia="Lato" w:hAnsi="Lato"/>
                  <w:color w:val="1155cc"/>
                  <w:u w:val="single"/>
                  <w:rtl w:val="0"/>
                </w:rPr>
                <w:t xml:space="preserve">NIST (SP) 800-171, Rev. 2</w:t>
              </w:r>
            </w:hyperlink>
            <w:r w:rsidDel="00000000" w:rsidR="00000000" w:rsidRPr="00000000">
              <w:rPr>
                <w:rFonts w:ascii="Lato" w:cs="Lato" w:eastAsia="Lato" w:hAnsi="Lato"/>
                <w:rtl w:val="0"/>
              </w:rPr>
              <w:t xml:space="preserve"> standard</w:t>
            </w: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Fonts w:ascii="Lato" w:cs="Lato" w:eastAsia="Lato" w:hAnsi="Lato"/>
                <w:sz w:val="22"/>
                <w:szCs w:val="22"/>
                <w:rtl w:val="0"/>
              </w:rPr>
              <w:t xml:space="preserve">N/A</w:t>
            </w:r>
          </w:p>
        </w:tc>
      </w:tr>
      <w:tr>
        <w:trPr>
          <w:cantSplit w:val="0"/>
          <w:trHeight w:val="27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tl w:val="0"/>
              </w:rPr>
            </w:r>
          </w:p>
        </w:tc>
      </w:tr>
    </w:tbl>
    <w:p w:rsidR="00000000" w:rsidDel="00000000" w:rsidP="00000000" w:rsidRDefault="00000000" w:rsidRPr="00000000" w14:paraId="00000051">
      <w:pPr>
        <w:pStyle w:val="Heading2"/>
        <w:keepLines w:val="1"/>
        <w:pageBreakBefore w:val="0"/>
        <w:pBdr>
          <w:top w:color="000000" w:space="0" w:sz="0" w:val="none"/>
          <w:left w:color="000000" w:space="0" w:sz="0" w:val="none"/>
          <w:bottom w:color="000000" w:space="0" w:sz="0" w:val="none"/>
          <w:right w:color="000000" w:space="0" w:sz="0" w:val="none"/>
          <w:between w:color="000000" w:space="0" w:sz="0" w:val="none"/>
        </w:pBdr>
        <w:spacing w:before="200" w:line="312" w:lineRule="auto"/>
        <w:rPr>
          <w:rFonts w:ascii="Lato" w:cs="Lato" w:eastAsia="Lato" w:hAnsi="Lato"/>
          <w:i w:val="0"/>
          <w:sz w:val="32"/>
          <w:szCs w:val="32"/>
        </w:rPr>
      </w:pPr>
      <w:bookmarkStart w:colFirst="0" w:colLast="0" w:name="_23kihh8mflkh" w:id="5"/>
      <w:bookmarkEnd w:id="5"/>
      <w:r w:rsidDel="00000000" w:rsidR="00000000" w:rsidRPr="00000000">
        <w:rPr>
          <w:rFonts w:ascii="Lato" w:cs="Lato" w:eastAsia="Lato" w:hAnsi="Lato"/>
          <w:i w:val="0"/>
          <w:sz w:val="24"/>
          <w:szCs w:val="24"/>
          <w:rtl w:val="0"/>
        </w:rPr>
        <w:t xml:space="preserve"> </w:t>
      </w:r>
      <w:r w:rsidDel="00000000" w:rsidR="00000000" w:rsidRPr="00000000">
        <w:rPr>
          <w:rFonts w:ascii="Lato" w:cs="Lato" w:eastAsia="Lato" w:hAnsi="Lato"/>
          <w:i w:val="0"/>
          <w:rtl w:val="0"/>
        </w:rPr>
        <w:t xml:space="preserve">Approvals</w:t>
      </w:r>
      <w:r w:rsidDel="00000000" w:rsidR="00000000" w:rsidRPr="00000000">
        <w:rPr>
          <w:rtl w:val="0"/>
        </w:rPr>
      </w:r>
    </w:p>
    <w:p w:rsidR="00000000" w:rsidDel="00000000" w:rsidP="00000000" w:rsidRDefault="00000000" w:rsidRPr="00000000" w14:paraId="00000052">
      <w:pPr>
        <w:pageBreakBefore w:val="0"/>
        <w:spacing w:line="312" w:lineRule="auto"/>
        <w:rPr>
          <w:rFonts w:ascii="Lato" w:cs="Lato" w:eastAsia="Lato" w:hAnsi="Lato"/>
        </w:rPr>
      </w:pPr>
      <w:r w:rsidDel="00000000" w:rsidR="00000000" w:rsidRPr="00000000">
        <w:rPr>
          <w:rFonts w:ascii="Lato" w:cs="Lato" w:eastAsia="Lato" w:hAnsi="Lato"/>
          <w:rtl w:val="0"/>
        </w:rPr>
        <w:t xml:space="preserve">This policy requires the following approvals:  </w:t>
      </w:r>
    </w:p>
    <w:tbl>
      <w:tblPr>
        <w:tblStyle w:val="Table3"/>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950"/>
        <w:gridCol w:w="4410"/>
        <w:tblGridChange w:id="0">
          <w:tblGrid>
            <w:gridCol w:w="4950"/>
            <w:gridCol w:w="4410"/>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b w:val="1"/>
                <w:sz w:val="22"/>
                <w:szCs w:val="22"/>
              </w:rPr>
            </w:pPr>
            <w:r w:rsidDel="00000000" w:rsidR="00000000" w:rsidRPr="00000000">
              <w:rPr>
                <w:rFonts w:ascii="Lato" w:cs="Lato" w:eastAsia="Lato" w:hAnsi="Lato"/>
                <w:b w:val="1"/>
                <w:sz w:val="22"/>
                <w:szCs w:val="22"/>
                <w:rtl w:val="0"/>
              </w:rPr>
              <w:t xml:space="preserve">Name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b w:val="1"/>
                <w:sz w:val="22"/>
                <w:szCs w:val="22"/>
              </w:rPr>
            </w:pPr>
            <w:r w:rsidDel="00000000" w:rsidR="00000000" w:rsidRPr="00000000">
              <w:rPr>
                <w:rFonts w:ascii="Lato" w:cs="Lato" w:eastAsia="Lato" w:hAnsi="Lato"/>
                <w:b w:val="1"/>
                <w:sz w:val="22"/>
                <w:szCs w:val="22"/>
                <w:rtl w:val="0"/>
              </w:rPr>
              <w:t xml:space="preserve">Date Approved</w:t>
            </w:r>
          </w:p>
        </w:tc>
      </w:tr>
      <w:tr>
        <w:trPr>
          <w:cantSplit w:val="0"/>
          <w:trHeight w:val="39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Fonts w:ascii="Lato" w:cs="Lato" w:eastAsia="Lato" w:hAnsi="Lato"/>
                <w:sz w:val="22"/>
                <w:szCs w:val="22"/>
                <w:rtl w:val="0"/>
              </w:rPr>
              <w:t xml:space="preserve">Security Subcommittee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tl w:val="0"/>
              </w:rPr>
            </w:r>
          </w:p>
        </w:tc>
      </w:tr>
      <w:tr>
        <w:trPr>
          <w:cantSplit w:val="0"/>
          <w:trHeight w:val="1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Fonts w:ascii="Lato" w:cs="Lato" w:eastAsia="Lato" w:hAnsi="Lato"/>
                <w:sz w:val="22"/>
                <w:szCs w:val="22"/>
                <w:rtl w:val="0"/>
              </w:rPr>
              <w:t xml:space="preserve">Data Governance 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rPr>
                <w:rFonts w:ascii="Lato" w:cs="Lato" w:eastAsia="Lato" w:hAnsi="Lato"/>
                <w:sz w:val="22"/>
                <w:szCs w:val="22"/>
              </w:rPr>
            </w:pPr>
            <w:r w:rsidDel="00000000" w:rsidR="00000000" w:rsidRPr="00000000">
              <w:rPr>
                <w:rtl w:val="0"/>
              </w:rPr>
            </w:r>
          </w:p>
        </w:tc>
      </w:tr>
    </w:tbl>
    <w:p w:rsidR="00000000" w:rsidDel="00000000" w:rsidP="00000000" w:rsidRDefault="00000000" w:rsidRPr="00000000" w14:paraId="00000059">
      <w:pPr>
        <w:pageBreakBefore w:val="0"/>
        <w:spacing w:after="120" w:before="120" w:lineRule="auto"/>
        <w:rPr>
          <w:rFonts w:ascii="Avenir" w:cs="Avenir" w:eastAsia="Avenir" w:hAnsi="Avenir"/>
        </w:rPr>
      </w:pPr>
      <w:r w:rsidDel="00000000" w:rsidR="00000000" w:rsidRPr="00000000">
        <w:rPr>
          <w:rtl w:val="0"/>
        </w:rPr>
      </w:r>
    </w:p>
    <w:p w:rsidR="00000000" w:rsidDel="00000000" w:rsidP="00000000" w:rsidRDefault="00000000" w:rsidRPr="00000000" w14:paraId="0000005A">
      <w:pPr>
        <w:pageBreakBefore w:val="0"/>
        <w:spacing w:after="120" w:before="120" w:lineRule="auto"/>
        <w:rPr>
          <w:rFonts w:ascii="Avenir" w:cs="Avenir" w:eastAsia="Avenir" w:hAnsi="Avenir"/>
          <w:sz w:val="16"/>
          <w:szCs w:val="16"/>
        </w:rPr>
      </w:pPr>
      <w:r w:rsidDel="00000000" w:rsidR="00000000" w:rsidRPr="00000000">
        <w:rPr>
          <w:rtl w:val="0"/>
        </w:rPr>
      </w:r>
    </w:p>
    <w:sectPr>
      <w:headerReference r:id="rId27" w:type="default"/>
      <w:headerReference r:id="rId28" w:type="first"/>
      <w:headerReference r:id="rId29" w:type="even"/>
      <w:footerReference r:id="rId30" w:type="default"/>
      <w:footerReference r:id="rId31" w:type="first"/>
      <w:footerReference r:id="rId32" w:type="even"/>
      <w:pgSz w:h="15840" w:w="12240" w:orient="portrait"/>
      <w:pgMar w:bottom="1440" w:top="1440" w:left="1080" w:right="1080"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pageBreakBefore w:val="0"/>
      <w:tabs>
        <w:tab w:val="center" w:leader="none" w:pos="4320"/>
        <w:tab w:val="right" w:leader="none" w:pos="8640"/>
      </w:tabs>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pageBreakBefore w:val="0"/>
      <w:tabs>
        <w:tab w:val="center" w:leader="none" w:pos="4320"/>
        <w:tab w:val="right" w:leader="none" w:pos="864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ageBreakBefore w:val="0"/>
      <w:tabs>
        <w:tab w:val="center" w:leader="none" w:pos="4320"/>
        <w:tab w:val="right" w:leader="none" w:pos="864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pageBreakBefore w:val="0"/>
      <w:tabs>
        <w:tab w:val="center" w:leader="none" w:pos="4320"/>
        <w:tab w:val="right" w:leader="none" w:pos="8640"/>
      </w:tabs>
      <w:rPr/>
    </w:pPr>
    <w:r w:rsidDel="00000000" w:rsidR="00000000" w:rsidRPr="00000000">
      <w:rPr/>
      <w:drawing>
        <wp:inline distB="114300" distT="114300" distL="114300" distR="114300">
          <wp:extent cx="1338263" cy="1318654"/>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38263" cy="131865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jc w:val="right"/>
      <w:rPr/>
    </w:pPr>
    <w:r w:rsidDel="00000000" w:rsidR="00000000" w:rsidRPr="00000000">
      <w:rPr>
        <w:rFonts w:ascii="Calibri" w:cs="Calibri" w:eastAsia="Calibri" w:hAnsi="Calibri"/>
        <w:b w:val="1"/>
        <w:sz w:val="28"/>
        <w:szCs w:val="28"/>
        <w:rtl w:val="0"/>
      </w:rPr>
      <w:t xml:space="preserve">Wyoming SLEDS</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ageBreakBefore w:val="0"/>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i w:val="1"/>
      <w:color w:val="00000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26"/>
      <w:szCs w:val="26"/>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pacing w:after="40" w:before="240" w:lineRule="auto"/>
    </w:pPr>
    <w:rPr>
      <w:rFonts w:ascii="Calibri" w:cs="Calibri" w:eastAsia="Calibri" w:hAnsi="Calibri"/>
      <w:b w:val="1"/>
      <w:color w:val="00000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pacing w:after="40" w:before="220"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pacing w:after="40" w:before="200" w:lineRule="auto"/>
    </w:pPr>
    <w:rPr>
      <w:rFonts w:ascii="Calibri" w:cs="Calibri" w:eastAsia="Calibri" w:hAnsi="Calibri"/>
      <w:b w:val="1"/>
      <w:color w:val="000000"/>
      <w:sz w:val="22"/>
      <w:szCs w:val="22"/>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pacing w:after="120" w:before="480"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sz w:val="24"/>
      <w:szCs w:val="24"/>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_Im9iujOTJ_kIkbDNMfBABWkPYysFLustW4ia0mLoHs/edit#" TargetMode="External"/><Relationship Id="rId22" Type="http://schemas.openxmlformats.org/officeDocument/2006/relationships/hyperlink" Target="https://docs.google.com/document/d/1JuZsHks1hhexjJwbSd4gwmUvMYGzYoTha6E1BJkYTZI/edit" TargetMode="External"/><Relationship Id="rId21" Type="http://schemas.openxmlformats.org/officeDocument/2006/relationships/hyperlink" Target="https://docs.google.com/spreadsheets/d/1_rOCVJux4kfzYjs6963l2MYuLN3iSF0hYZH01BmvYbU/edit#gid=1266995384" TargetMode="External"/><Relationship Id="rId24" Type="http://schemas.openxmlformats.org/officeDocument/2006/relationships/hyperlink" Target="https://studentprivacy.ed.gov/resources/integrated-data-systems-and-student-privacy" TargetMode="External"/><Relationship Id="rId23" Type="http://schemas.openxmlformats.org/officeDocument/2006/relationships/hyperlink" Target="https://www2.ed.gov/policy/gen/guid/fpco/ferpa/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vlpubs.nist.gov/nistpubs/SpecialPublications/NIST.SP.800-171r2.pdf" TargetMode="External"/><Relationship Id="rId26" Type="http://schemas.openxmlformats.org/officeDocument/2006/relationships/hyperlink" Target="https://nvlpubs.nist.gov/nistpubs/SpecialPublications/NIST.SP.800-171r2.pdf" TargetMode="External"/><Relationship Id="rId25" Type="http://schemas.openxmlformats.org/officeDocument/2006/relationships/hyperlink" Target="https://studentprivacy.ed.gov/sites/default/files/resource_document/file/FERPA%20Exceptions_HANDOUT_portrait.pdf" TargetMode="External"/><Relationship Id="rId28" Type="http://schemas.openxmlformats.org/officeDocument/2006/relationships/header" Target="header1.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law.cornell.edu/uscode/text/20/1232g" TargetMode="External"/><Relationship Id="rId29" Type="http://schemas.openxmlformats.org/officeDocument/2006/relationships/header" Target="header3.xml"/><Relationship Id="rId7" Type="http://schemas.openxmlformats.org/officeDocument/2006/relationships/hyperlink" Target="https://wdr.doleta.gov/directives/attach/UIPL/UIPL_14-17.pdf" TargetMode="External"/><Relationship Id="rId8" Type="http://schemas.openxmlformats.org/officeDocument/2006/relationships/hyperlink" Target="https://www.ecfr.gov/cgi-bin/text-idx?SID=21a8457a1789d118dcdce055ca195995&amp;mc=true&amp;tpl=/ecfrbrowse/Title34/34cfr99_main_02.tpl" TargetMode="External"/><Relationship Id="rId31" Type="http://schemas.openxmlformats.org/officeDocument/2006/relationships/footer" Target="footer3.xml"/><Relationship Id="rId30" Type="http://schemas.openxmlformats.org/officeDocument/2006/relationships/footer" Target="footer1.xml"/><Relationship Id="rId11" Type="http://schemas.openxmlformats.org/officeDocument/2006/relationships/hyperlink" Target="http://ets.wyo.gov/resources/policies-and-standards/09000-security" TargetMode="External"/><Relationship Id="rId10" Type="http://schemas.openxmlformats.org/officeDocument/2006/relationships/hyperlink" Target="http://ets.wyo.gov/resources/policies-and-standards/10000-general" TargetMode="External"/><Relationship Id="rId32" Type="http://schemas.openxmlformats.org/officeDocument/2006/relationships/footer" Target="footer2.xml"/><Relationship Id="rId13" Type="http://schemas.openxmlformats.org/officeDocument/2006/relationships/hyperlink" Target="http://ets.wyo.gov/resources/policies-and-standards/04000-facilities" TargetMode="External"/><Relationship Id="rId12" Type="http://schemas.openxmlformats.org/officeDocument/2006/relationships/hyperlink" Target="http://ets.wyo.gov/resources/policies-and-standards/08000-documents" TargetMode="External"/><Relationship Id="rId15" Type="http://schemas.openxmlformats.org/officeDocument/2006/relationships/hyperlink" Target="http://ets.wyo.gov/resources/policies-and-standards" TargetMode="External"/><Relationship Id="rId14" Type="http://schemas.openxmlformats.org/officeDocument/2006/relationships/hyperlink" Target="http://ets.wyo.gov/resources/policies-and-standards/03000-plans" TargetMode="External"/><Relationship Id="rId17" Type="http://schemas.openxmlformats.org/officeDocument/2006/relationships/hyperlink" Target="https://docs.google.com/document/d/16B_4-zIHF1G_c2mVy5eBGhfnHxce1aAubM2GbBVCuEw/edit" TargetMode="External"/><Relationship Id="rId16" Type="http://schemas.openxmlformats.org/officeDocument/2006/relationships/hyperlink" Target="https://docs.google.com/document/d/1BKI-CwanardXe8ZTTvForGnENIojigH72OR77Hk4xnI/edit?usp=sharing" TargetMode="External"/><Relationship Id="rId19" Type="http://schemas.openxmlformats.org/officeDocument/2006/relationships/hyperlink" Target="https://docs.google.com/document/d/1OQOdnpLYYEfP6Zm56_ZEd1lPDzH5hcBQmHdCLiZDvAc/edit" TargetMode="External"/><Relationship Id="rId18" Type="http://schemas.openxmlformats.org/officeDocument/2006/relationships/hyperlink" Target="https://docs.google.com/document/d/1ekB0iNcqyNK_2MHYVsf_fjepzCq8fub6GbIZ9JxE8BQ/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