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Source Code Repository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9bkfu7qtpdz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el205fnkhl0q" w:id="1"/>
      <w:bookmarkEnd w:id="1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This policy outlines: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approval process for Source Code Management (SCM) systems.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What can and cannot be stored in the SCM. 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0" w:beforeAutospacing="0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General requirements for an SCM.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Scope</w:t>
      </w:r>
    </w:p>
    <w:p w:rsidR="00000000" w:rsidDel="00000000" w:rsidP="00000000" w:rsidRDefault="00000000" w:rsidRPr="00000000" w14:paraId="0000000D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This Policy applies to the SLEDS Environment, SLEDS Information, Participating Entities, and other parties authorized or responsible for carrying out SLEDS Policies.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This policy does not apply to the Participating Entities’ Environments and how they manage their own code repositories.</w:t>
      </w:r>
    </w:p>
    <w:p w:rsidR="00000000" w:rsidDel="00000000" w:rsidP="00000000" w:rsidRDefault="00000000" w:rsidRPr="00000000" w14:paraId="0000000E">
      <w:pPr>
        <w:pStyle w:val="Heading1"/>
        <w:pageBreakBefore w:val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Applicable Standards and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120" w:lineRule="auto"/>
        <w:ind w:left="720" w:hanging="360"/>
        <w:rPr>
          <w:rFonts w:ascii="Montserrat" w:cs="Montserrat" w:eastAsia="Montserrat" w:hAnsi="Montserrat"/>
          <w:color w:val="222222"/>
          <w:sz w:val="22"/>
          <w:szCs w:val="22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SLEDS</w:t>
        </w:r>
      </w:hyperlink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 High Availability Data MOU (HADS)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2"/>
          <w:szCs w:val="22"/>
          <w:rtl w:val="0"/>
        </w:rPr>
        <w:t xml:space="preserve">, (entered February 23, 2022) for the collection and linking of SLEDS data to audit and evaluate educational programs.</w:t>
      </w:r>
    </w:p>
    <w:p w:rsidR="00000000" w:rsidDel="00000000" w:rsidP="00000000" w:rsidRDefault="00000000" w:rsidRPr="00000000" w14:paraId="00000010">
      <w:pPr>
        <w:pStyle w:val="Heading1"/>
        <w:pageBreakBefore w:val="0"/>
        <w:rPr>
          <w:rFonts w:ascii="Montserrat" w:cs="Montserrat" w:eastAsia="Montserrat" w:hAnsi="Montserrat"/>
          <w:sz w:val="22"/>
          <w:szCs w:val="22"/>
        </w:rPr>
      </w:pPr>
      <w:bookmarkStart w:colFirst="0" w:colLast="0" w:name="_cg78tr2oat4t" w:id="2"/>
      <w:bookmarkEnd w:id="2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Policy Statements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SCM Approval Process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Written requests to approve SCM system(s) must be submitted to the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Security Subcommittee.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Security Subcommittee will respond in writing with either the approval or disapproval of the request.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Allowed Storage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can be used to store source code. 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can be used to store image files used in report production (e.g. Logos).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Disallowed Storage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will not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be used to store data files, passwords, API keys, or user-ids.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will not be used to store images containing PII (e.g. screenshots).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General Requirements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shall have separate accounts for administration and user access.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shall use multi-factor authentication for all accounts.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SCM shall be configured to prevent making the repository public.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All code must be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reviewed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to ensure there is no PII present.  This review may be automated or part of the repository workflow procedure. 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144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The individual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writing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the code will not be allowed to approve their own check-ins.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Lines w:val="1"/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312" w:lineRule="auto"/>
        <w:rPr>
          <w:rFonts w:ascii="Montserrat" w:cs="Montserrat" w:eastAsia="Montserrat" w:hAnsi="Montserrat"/>
          <w:i w:val="0"/>
          <w:sz w:val="22"/>
          <w:szCs w:val="22"/>
        </w:rPr>
      </w:pPr>
      <w:bookmarkStart w:colFirst="0" w:colLast="0" w:name="_23kihh8mflkh" w:id="3"/>
      <w:bookmarkEnd w:id="3"/>
      <w:r w:rsidDel="00000000" w:rsidR="00000000" w:rsidRPr="00000000">
        <w:rPr>
          <w:rFonts w:ascii="Montserrat" w:cs="Montserrat" w:eastAsia="Montserrat" w:hAnsi="Montserrat"/>
          <w:i w:val="0"/>
          <w:sz w:val="22"/>
          <w:szCs w:val="22"/>
          <w:rtl w:val="0"/>
        </w:rPr>
        <w:t xml:space="preserve">Approvals</w:t>
      </w:r>
    </w:p>
    <w:p w:rsidR="00000000" w:rsidDel="00000000" w:rsidP="00000000" w:rsidRDefault="00000000" w:rsidRPr="00000000" w14:paraId="0000002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12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This policy requires the following approvals:  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950"/>
        <w:gridCol w:w="4410"/>
        <w:tblGridChange w:id="0">
          <w:tblGrid>
            <w:gridCol w:w="4950"/>
            <w:gridCol w:w="441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Rule="auto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Rule="auto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before="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Security Subcommittee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before="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v1.2 Approved 1/17/2023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before="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Data Governance Committee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v1.2 Approved 1/24/2023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080" w:right="108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ageBreakBefore w:val="0"/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Wyoming SLEDS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ageBreakBefore w:val="0"/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28738" cy="126495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8738" cy="1264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ageBreakBefore w:val="0"/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Calibri" w:cs="Calibri" w:eastAsia="Calibri" w:hAnsi="Calibri"/>
      <w:b w:val="1"/>
      <w:i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Calibri" w:cs="Calibri" w:eastAsia="Calibri" w:hAnsi="Calibri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rFonts w:ascii="Calibri" w:cs="Calibri" w:eastAsia="Calibri" w:hAnsi="Calibri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_iVjhRviWRvtRVd_gf7Py4ymBVOmo1aChsAOnToYOkQ/edit" TargetMode="External"/><Relationship Id="rId7" Type="http://schemas.openxmlformats.org/officeDocument/2006/relationships/hyperlink" Target="https://docs.google.com/document/d/1_iVjhRviWRvtRVd_gf7Py4ymBVOmo1aChsAOnToYOkQ/ed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