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Access Control Policy </w:t>
      </w:r>
    </w:p>
    <w:p w:rsidR="00000000" w:rsidDel="00000000" w:rsidP="00000000" w:rsidRDefault="00000000" w:rsidRPr="00000000" w14:paraId="00000002">
      <w:pPr>
        <w:pStyle w:val="Heading1"/>
        <w:pageBreakBefore w:val="0"/>
        <w:rPr/>
      </w:pPr>
      <w:r w:rsidDel="00000000" w:rsidR="00000000" w:rsidRPr="00000000">
        <w:rPr>
          <w:rtl w:val="0"/>
        </w:rPr>
        <w:t xml:space="preserve">Purpose</w:t>
      </w:r>
    </w:p>
    <w:p w:rsidR="00000000" w:rsidDel="00000000" w:rsidP="00000000" w:rsidRDefault="00000000" w:rsidRPr="00000000" w14:paraId="00000003">
      <w:pPr>
        <w:pageBreakBefore w:val="0"/>
        <w:rPr/>
      </w:pPr>
      <w:r w:rsidDel="00000000" w:rsidR="00000000" w:rsidRPr="00000000">
        <w:rPr>
          <w:rtl w:val="0"/>
        </w:rPr>
        <w:t xml:space="preserve">This Policy defines the circumstances where identification and authentication (I&amp;A) controls such as limiting access and using user IDs and passwords to SLEDS Information. It addresses access control to the SLEDS Environment.</w:t>
      </w:r>
    </w:p>
    <w:p w:rsidR="00000000" w:rsidDel="00000000" w:rsidP="00000000" w:rsidRDefault="00000000" w:rsidRPr="00000000" w14:paraId="00000004">
      <w:pPr>
        <w:pStyle w:val="Heading1"/>
        <w:pageBreakBefore w:val="0"/>
        <w:rPr/>
      </w:pPr>
      <w:r w:rsidDel="00000000" w:rsidR="00000000" w:rsidRPr="00000000">
        <w:rPr>
          <w:rtl w:val="0"/>
        </w:rPr>
        <w:t xml:space="preserve">Scope</w:t>
      </w:r>
    </w:p>
    <w:p w:rsidR="00000000" w:rsidDel="00000000" w:rsidP="00000000" w:rsidRDefault="00000000" w:rsidRPr="00000000" w14:paraId="00000005">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vertAlign w:val="baseline"/>
        </w:rPr>
      </w:pPr>
      <w:r w:rsidDel="00000000" w:rsidR="00000000" w:rsidRPr="00000000">
        <w:rPr>
          <w:rtl w:val="0"/>
        </w:rPr>
        <w:t xml:space="preserve">This Policy applies to the SLEDS Environment, SLEDS Information, Participating Entities, and other parties authorized or responsible for carrying out SLEDS Policies.</w:t>
      </w:r>
      <w:r w:rsidDel="00000000" w:rsidR="00000000" w:rsidRPr="00000000">
        <w:rPr>
          <w:rtl w:val="0"/>
        </w:rPr>
      </w:r>
    </w:p>
    <w:p w:rsidR="00000000" w:rsidDel="00000000" w:rsidP="00000000" w:rsidRDefault="00000000" w:rsidRPr="00000000" w14:paraId="00000006">
      <w:pPr>
        <w:pStyle w:val="Heading1"/>
        <w:pageBreakBefore w:val="0"/>
        <w:rPr/>
      </w:pPr>
      <w:r w:rsidDel="00000000" w:rsidR="00000000" w:rsidRPr="00000000">
        <w:rPr>
          <w:rtl w:val="0"/>
        </w:rPr>
        <w:t xml:space="preserve">Applicable Standards and Regulations</w:t>
      </w:r>
    </w:p>
    <w:p w:rsidR="00000000" w:rsidDel="00000000" w:rsidP="00000000" w:rsidRDefault="00000000" w:rsidRPr="00000000" w14:paraId="00000007">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Education Rights and Privacy Act (FERPA),  </w:t>
      </w:r>
      <w:hyperlink r:id="rId6">
        <w:r w:rsidDel="00000000" w:rsidR="00000000" w:rsidRPr="00000000">
          <w:rPr>
            <w:color w:val="1155cc"/>
            <w:u w:val="single"/>
            <w:rtl w:val="0"/>
          </w:rPr>
          <w:t xml:space="preserve">§20 U.S.C. § 1232g; 34 CFR Part 99</w:t>
        </w:r>
      </w:hyperlink>
      <w:r w:rsidDel="00000000" w:rsidR="00000000" w:rsidRPr="00000000">
        <w:rPr>
          <w:rtl w:val="0"/>
        </w:rPr>
        <w:t xml:space="preserve">.</w:t>
      </w:r>
    </w:p>
    <w:p w:rsidR="00000000" w:rsidDel="00000000" w:rsidP="00000000" w:rsidRDefault="00000000" w:rsidRPr="00000000" w14:paraId="00000008">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ind w:left="720" w:hanging="360"/>
      </w:pPr>
      <w:hyperlink r:id="rId7">
        <w:r w:rsidDel="00000000" w:rsidR="00000000" w:rsidRPr="00000000">
          <w:rPr>
            <w:color w:val="1155cc"/>
            <w:highlight w:val="white"/>
            <w:u w:val="single"/>
            <w:rtl w:val="0"/>
          </w:rPr>
          <w:t xml:space="preserve">Unemployment Insurance Program Letter, No. 14-17</w:t>
        </w:r>
      </w:hyperlink>
      <w:r w:rsidDel="00000000" w:rsidR="00000000" w:rsidRPr="00000000">
        <w:rPr>
          <w:color w:val="222222"/>
          <w:highlight w:val="white"/>
          <w:rtl w:val="0"/>
        </w:rPr>
        <w:t xml:space="preserve"> (dated March 23, 2017) regarding States' Responsibilities for Internal Security in the UI Program</w:t>
      </w:r>
      <w:r w:rsidDel="00000000" w:rsidR="00000000" w:rsidRPr="00000000">
        <w:rPr>
          <w:rtl w:val="0"/>
        </w:rPr>
      </w:r>
    </w:p>
    <w:p w:rsidR="00000000" w:rsidDel="00000000" w:rsidP="00000000" w:rsidRDefault="00000000" w:rsidRPr="00000000" w14:paraId="00000009">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before="200" w:lineRule="auto"/>
        <w:ind w:left="720" w:hanging="360"/>
        <w:rPr>
          <w:rFonts w:ascii="Avenir" w:cs="Avenir" w:eastAsia="Avenir" w:hAnsi="Avenir"/>
        </w:rPr>
      </w:pPr>
      <w:r w:rsidDel="00000000" w:rsidR="00000000" w:rsidRPr="00000000">
        <w:rPr>
          <w:rtl w:val="0"/>
        </w:rPr>
        <w:t xml:space="preserve">Federal and State privacy and security rules and regulations governing SLEDS Information including, but not limited to CFR  </w:t>
      </w:r>
      <w:hyperlink r:id="rId8">
        <w:r w:rsidDel="00000000" w:rsidR="00000000" w:rsidRPr="00000000">
          <w:rPr>
            <w:color w:val="1155cc"/>
            <w:u w:val="single"/>
            <w:rtl w:val="0"/>
          </w:rPr>
          <w:t xml:space="preserve">§</w:t>
        </w:r>
      </w:hyperlink>
      <w:hyperlink r:id="rId9">
        <w:r w:rsidDel="00000000" w:rsidR="00000000" w:rsidRPr="00000000">
          <w:rPr>
            <w:color w:val="1155cc"/>
            <w:u w:val="single"/>
            <w:rtl w:val="0"/>
          </w:rPr>
          <w:t xml:space="preserve">§ 99.1 - 99.67</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hyperlink r:id="rId10">
        <w:r w:rsidDel="00000000" w:rsidR="00000000" w:rsidRPr="00000000">
          <w:rPr>
            <w:color w:val="1155cc"/>
            <w:u w:val="single"/>
            <w:rtl w:val="0"/>
          </w:rPr>
          <w:t xml:space="preserve">NIST (SP) 800-171, Rev. 2</w:t>
        </w:r>
      </w:hyperlink>
      <w:r w:rsidDel="00000000" w:rsidR="00000000" w:rsidRPr="00000000">
        <w:rPr>
          <w:rtl w:val="0"/>
        </w:rPr>
        <w:t xml:space="preserve"> requirements and corresponding International Organization for Standardization/ International Electrotechnical Commission (ISO/ IEC) 27001 Security Controls</w:t>
      </w:r>
    </w:p>
    <w:p w:rsidR="00000000" w:rsidDel="00000000" w:rsidP="00000000" w:rsidRDefault="00000000" w:rsidRPr="00000000" w14:paraId="0000000B">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pPr>
      <w:r w:rsidDel="00000000" w:rsidR="00000000" w:rsidRPr="00000000">
        <w:rPr>
          <w:rtl w:val="0"/>
        </w:rPr>
        <w:t xml:space="preserve">State of Wyoming Information Technology Policies and Standards, including but not limited to:</w:t>
      </w:r>
    </w:p>
    <w:p w:rsidR="00000000" w:rsidDel="00000000" w:rsidP="00000000" w:rsidRDefault="00000000" w:rsidRPr="00000000" w14:paraId="0000000C">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1">
        <w:r w:rsidDel="00000000" w:rsidR="00000000" w:rsidRPr="00000000">
          <w:rPr>
            <w:color w:val="1155cc"/>
            <w:u w:val="single"/>
            <w:rtl w:val="0"/>
          </w:rPr>
          <w:t xml:space="preserve">General Policies and Standards</w:t>
        </w:r>
      </w:hyperlink>
      <w:r w:rsidDel="00000000" w:rsidR="00000000" w:rsidRPr="00000000">
        <w:rPr>
          <w:rtl w:val="0"/>
        </w:rPr>
      </w:r>
    </w:p>
    <w:p w:rsidR="00000000" w:rsidDel="00000000" w:rsidP="00000000" w:rsidRDefault="00000000" w:rsidRPr="00000000" w14:paraId="0000000D">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rPr>
          <w:color w:val="1155cc"/>
        </w:rPr>
      </w:pPr>
      <w:hyperlink r:id="rId12">
        <w:r w:rsidDel="00000000" w:rsidR="00000000" w:rsidRPr="00000000">
          <w:rPr>
            <w:color w:val="1155cc"/>
            <w:u w:val="single"/>
            <w:rtl w:val="0"/>
          </w:rPr>
          <w:t xml:space="preserve">09400-P170 Policy User Access Management</w:t>
        </w:r>
      </w:hyperlink>
      <w:r w:rsidDel="00000000" w:rsidR="00000000" w:rsidRPr="00000000">
        <w:rPr>
          <w:rtl w:val="0"/>
        </w:rPr>
      </w:r>
    </w:p>
    <w:p w:rsidR="00000000" w:rsidDel="00000000" w:rsidP="00000000" w:rsidRDefault="00000000" w:rsidRPr="00000000" w14:paraId="0000000E">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rPr>
          <w:color w:val="1155cc"/>
        </w:rPr>
      </w:pPr>
      <w:hyperlink r:id="rId13">
        <w:r w:rsidDel="00000000" w:rsidR="00000000" w:rsidRPr="00000000">
          <w:rPr>
            <w:color w:val="1155cc"/>
            <w:u w:val="single"/>
            <w:rtl w:val="0"/>
          </w:rPr>
          <w:t xml:space="preserve">09400-S170 Password Standards</w:t>
        </w:r>
      </w:hyperlink>
      <w:r w:rsidDel="00000000" w:rsidR="00000000" w:rsidRPr="00000000">
        <w:rPr>
          <w:rtl w:val="0"/>
        </w:rPr>
      </w:r>
    </w:p>
    <w:p w:rsidR="00000000" w:rsidDel="00000000" w:rsidP="00000000" w:rsidRDefault="00000000" w:rsidRPr="00000000" w14:paraId="0000000F">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4">
        <w:r w:rsidDel="00000000" w:rsidR="00000000" w:rsidRPr="00000000">
          <w:rPr>
            <w:color w:val="1155cc"/>
            <w:u w:val="single"/>
            <w:rtl w:val="0"/>
          </w:rPr>
          <w:t xml:space="preserve">Security and Privacy Policies and Standards</w:t>
        </w:r>
      </w:hyperlink>
      <w:r w:rsidDel="00000000" w:rsidR="00000000" w:rsidRPr="00000000">
        <w:rPr>
          <w:rtl w:val="0"/>
        </w:rPr>
      </w:r>
    </w:p>
    <w:p w:rsidR="00000000" w:rsidDel="00000000" w:rsidP="00000000" w:rsidRDefault="00000000" w:rsidRPr="00000000" w14:paraId="00000010">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5">
        <w:r w:rsidDel="00000000" w:rsidR="00000000" w:rsidRPr="00000000">
          <w:rPr>
            <w:color w:val="1155cc"/>
            <w:u w:val="single"/>
            <w:rtl w:val="0"/>
          </w:rPr>
          <w:t xml:space="preserve">Information Management and Control, Document Management Policies and Standards</w:t>
        </w:r>
      </w:hyperlink>
      <w:r w:rsidDel="00000000" w:rsidR="00000000" w:rsidRPr="00000000">
        <w:rPr>
          <w:rtl w:val="0"/>
        </w:rPr>
      </w:r>
    </w:p>
    <w:p w:rsidR="00000000" w:rsidDel="00000000" w:rsidP="00000000" w:rsidRDefault="00000000" w:rsidRPr="00000000" w14:paraId="00000011">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6">
        <w:r w:rsidDel="00000000" w:rsidR="00000000" w:rsidRPr="00000000">
          <w:rPr>
            <w:color w:val="1155cc"/>
            <w:u w:val="single"/>
            <w:rtl w:val="0"/>
          </w:rPr>
          <w:t xml:space="preserve">Facilities, Logistics, Natural Resources and Environmental Policies and Standards</w:t>
        </w:r>
      </w:hyperlink>
      <w:r w:rsidDel="00000000" w:rsidR="00000000" w:rsidRPr="00000000">
        <w:rPr>
          <w:rtl w:val="0"/>
        </w:rPr>
      </w:r>
    </w:p>
    <w:p w:rsidR="00000000" w:rsidDel="00000000" w:rsidP="00000000" w:rsidRDefault="00000000" w:rsidRPr="00000000" w14:paraId="00000012">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7">
        <w:r w:rsidDel="00000000" w:rsidR="00000000" w:rsidRPr="00000000">
          <w:rPr>
            <w:color w:val="1155cc"/>
            <w:u w:val="single"/>
            <w:rtl w:val="0"/>
          </w:rPr>
          <w:t xml:space="preserve">Plans and Operations; Research and Development Policies</w:t>
        </w:r>
      </w:hyperlink>
      <w:r w:rsidDel="00000000" w:rsidR="00000000" w:rsidRPr="00000000">
        <w:rPr>
          <w:rtl w:val="0"/>
        </w:rPr>
      </w:r>
    </w:p>
    <w:p w:rsidR="00000000" w:rsidDel="00000000" w:rsidP="00000000" w:rsidRDefault="00000000" w:rsidRPr="00000000" w14:paraId="00000013">
      <w:pPr>
        <w:pageBreakBefore w:val="0"/>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1440" w:hanging="360"/>
      </w:pPr>
      <w:hyperlink r:id="rId18">
        <w:r w:rsidDel="00000000" w:rsidR="00000000" w:rsidRPr="00000000">
          <w:rPr>
            <w:color w:val="1155cc"/>
            <w:u w:val="single"/>
            <w:rtl w:val="0"/>
          </w:rPr>
          <w:t xml:space="preserve">Manpower and Personnel Policies and Standards</w:t>
        </w:r>
      </w:hyperlink>
      <w:r w:rsidDel="00000000" w:rsidR="00000000" w:rsidRPr="00000000">
        <w:rPr>
          <w:rtl w:val="0"/>
        </w:rPr>
      </w:r>
    </w:p>
    <w:p w:rsidR="00000000" w:rsidDel="00000000" w:rsidP="00000000" w:rsidRDefault="00000000" w:rsidRPr="00000000" w14:paraId="00000014">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ind w:left="1440" w:firstLine="0"/>
        <w:rPr/>
      </w:pPr>
      <w:r w:rsidDel="00000000" w:rsidR="00000000" w:rsidRPr="00000000">
        <w:rPr>
          <w:rtl w:val="0"/>
        </w:rPr>
      </w:r>
    </w:p>
    <w:p w:rsidR="00000000" w:rsidDel="00000000" w:rsidP="00000000" w:rsidRDefault="00000000" w:rsidRPr="00000000" w14:paraId="00000015">
      <w:pPr>
        <w:pageBreakBefore w:val="0"/>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color w:val="ff0000"/>
        </w:rPr>
      </w:pPr>
      <w:r w:rsidDel="00000000" w:rsidR="00000000" w:rsidRPr="00000000">
        <w:rPr>
          <w:color w:val="ff0000"/>
          <w:rtl w:val="0"/>
        </w:rPr>
        <w:t xml:space="preserve">SLEDS High Availability Data MOU (HADS)</w:t>
      </w:r>
    </w:p>
    <w:p w:rsidR="00000000" w:rsidDel="00000000" w:rsidP="00000000" w:rsidRDefault="00000000" w:rsidRPr="00000000" w14:paraId="00000016">
      <w:pPr>
        <w:pStyle w:val="Heading1"/>
        <w:pageBreakBefore w:val="0"/>
        <w:pBdr>
          <w:top w:color="000000" w:space="0" w:sz="0" w:val="none"/>
          <w:left w:color="000000" w:space="0" w:sz="0" w:val="none"/>
          <w:bottom w:color="000000" w:space="0" w:sz="0" w:val="none"/>
          <w:right w:color="000000" w:space="0" w:sz="0" w:val="none"/>
          <w:between w:color="000000" w:space="0" w:sz="0" w:val="none"/>
        </w:pBdr>
        <w:spacing w:after="0" w:before="200" w:lineRule="auto"/>
        <w:rPr/>
      </w:pPr>
      <w:bookmarkStart w:colFirst="0" w:colLast="0" w:name="_7i960fugq9s" w:id="0"/>
      <w:bookmarkEnd w:id="0"/>
      <w:r w:rsidDel="00000000" w:rsidR="00000000" w:rsidRPr="00000000">
        <w:rPr>
          <w:rtl w:val="0"/>
        </w:rPr>
        <w:t xml:space="preserve">Policy Statements</w:t>
      </w:r>
    </w:p>
    <w:p w:rsidR="00000000" w:rsidDel="00000000" w:rsidP="00000000" w:rsidRDefault="00000000" w:rsidRPr="00000000" w14:paraId="00000017">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Th</w:t>
      </w:r>
      <w:r w:rsidDel="00000000" w:rsidR="00000000" w:rsidRPr="00000000">
        <w:rPr>
          <w:rtl w:val="0"/>
        </w:rPr>
        <w:t xml:space="preserve">e State of Wyoming’s technology policies and standards are the minimum control requirements. More restrictive controls shall apply to the SLEDS Environment as provided in this Policy</w:t>
      </w:r>
      <w:r w:rsidDel="00000000" w:rsidR="00000000" w:rsidRPr="00000000">
        <w:rPr>
          <w:rtl w:val="0"/>
        </w:rPr>
        <w:t xml:space="preserve">.</w:t>
      </w:r>
      <w:r w:rsidDel="00000000" w:rsidR="00000000" w:rsidRPr="00000000">
        <w:rPr>
          <w:rtl w:val="0"/>
        </w:rPr>
      </w:r>
    </w:p>
    <w:tbl>
      <w:tblPr>
        <w:tblStyle w:val="Table1"/>
        <w:tblW w:w="1007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
        <w:gridCol w:w="9521"/>
        <w:tblGridChange w:id="0">
          <w:tblGrid>
            <w:gridCol w:w="549"/>
            <w:gridCol w:w="9521"/>
          </w:tblGrid>
        </w:tblGridChange>
      </w:tblGrid>
      <w:tr>
        <w:trPr>
          <w:cantSplit w:val="0"/>
          <w:tblHeader w:val="0"/>
        </w:trPr>
        <w:tc>
          <w:tcPr/>
          <w:p w:rsidR="00000000" w:rsidDel="00000000" w:rsidP="00000000" w:rsidRDefault="00000000" w:rsidRPr="00000000" w14:paraId="00000018">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w:t>
            </w:r>
          </w:p>
        </w:tc>
        <w:tc>
          <w:tcPr/>
          <w:p w:rsidR="00000000" w:rsidDel="00000000" w:rsidP="00000000" w:rsidRDefault="00000000" w:rsidRPr="00000000" w14:paraId="00000019">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Logical and physical access controls for the SLEDS Environment shall align with Wyoming State IT Policies:  </w:t>
            </w:r>
          </w:p>
          <w:p w:rsidR="00000000" w:rsidDel="00000000" w:rsidP="00000000" w:rsidRDefault="00000000" w:rsidRPr="00000000" w14:paraId="0000001A">
            <w:pPr>
              <w:pageBreakBefore w:val="0"/>
              <w:spacing w:after="0" w:before="0" w:lineRule="auto"/>
              <w:rPr>
                <w:rFonts w:ascii="Lato" w:cs="Lato" w:eastAsia="Lato" w:hAnsi="Lato"/>
              </w:rPr>
            </w:pPr>
            <w:hyperlink r:id="rId19">
              <w:r w:rsidDel="00000000" w:rsidR="00000000" w:rsidRPr="00000000">
                <w:rPr>
                  <w:rFonts w:ascii="Lato" w:cs="Lato" w:eastAsia="Lato" w:hAnsi="Lato"/>
                  <w:color w:val="1155cc"/>
                  <w:u w:val="single"/>
                  <w:rtl w:val="0"/>
                </w:rPr>
                <w:t xml:space="preserve">09400-P173 Policy Access Controls on IT Resources</w:t>
              </w:r>
            </w:hyperlink>
            <w:r w:rsidDel="00000000" w:rsidR="00000000" w:rsidRPr="00000000">
              <w:rPr>
                <w:rtl w:val="0"/>
              </w:rPr>
            </w:r>
          </w:p>
          <w:p w:rsidR="00000000" w:rsidDel="00000000" w:rsidP="00000000" w:rsidRDefault="00000000" w:rsidRPr="00000000" w14:paraId="0000001B">
            <w:pPr>
              <w:pageBreakBefore w:val="0"/>
              <w:spacing w:after="0" w:before="0" w:lineRule="auto"/>
              <w:rPr>
                <w:rFonts w:ascii="Lato" w:cs="Lato" w:eastAsia="Lato" w:hAnsi="Lato"/>
                <w:color w:val="1155cc"/>
              </w:rPr>
            </w:pPr>
            <w:hyperlink r:id="rId20">
              <w:r w:rsidDel="00000000" w:rsidR="00000000" w:rsidRPr="00000000">
                <w:rPr>
                  <w:rFonts w:ascii="Lato" w:cs="Lato" w:eastAsia="Lato" w:hAnsi="Lato"/>
                  <w:color w:val="1155cc"/>
                  <w:u w:val="single"/>
                  <w:rtl w:val="0"/>
                </w:rPr>
                <w:t xml:space="preserve">09400-P170 Policy User Access Management</w:t>
              </w:r>
            </w:hyperlink>
            <w:r w:rsidDel="00000000" w:rsidR="00000000" w:rsidRPr="00000000">
              <w:rPr>
                <w:rtl w:val="0"/>
              </w:rPr>
            </w:r>
          </w:p>
          <w:p w:rsidR="00000000" w:rsidDel="00000000" w:rsidP="00000000" w:rsidRDefault="00000000" w:rsidRPr="00000000" w14:paraId="0000001C">
            <w:pPr>
              <w:pageBreakBefore w:val="0"/>
              <w:spacing w:after="0" w:before="0" w:lineRule="auto"/>
              <w:rPr>
                <w:rFonts w:ascii="Lato" w:cs="Lato" w:eastAsia="Lato" w:hAnsi="Lato"/>
                <w:color w:val="1155cc"/>
              </w:rPr>
            </w:pPr>
            <w:hyperlink r:id="rId21">
              <w:r w:rsidDel="00000000" w:rsidR="00000000" w:rsidRPr="00000000">
                <w:rPr>
                  <w:rFonts w:ascii="Lato" w:cs="Lato" w:eastAsia="Lato" w:hAnsi="Lato"/>
                  <w:color w:val="1155cc"/>
                  <w:u w:val="single"/>
                  <w:rtl w:val="0"/>
                </w:rPr>
                <w:t xml:space="preserve">09400-S170 Password Standards</w:t>
              </w:r>
            </w:hyperlink>
            <w:r w:rsidDel="00000000" w:rsidR="00000000" w:rsidRPr="00000000">
              <w:rPr>
                <w:rtl w:val="0"/>
              </w:rPr>
            </w:r>
          </w:p>
        </w:tc>
      </w:tr>
      <w:tr>
        <w:trPr>
          <w:cantSplit w:val="0"/>
          <w:tblHeader w:val="0"/>
        </w:trPr>
        <w:tc>
          <w:tcPr/>
          <w:p w:rsidR="00000000" w:rsidDel="00000000" w:rsidP="00000000" w:rsidRDefault="00000000" w:rsidRPr="00000000" w14:paraId="0000001D">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2</w:t>
            </w:r>
            <w:r w:rsidDel="00000000" w:rsidR="00000000" w:rsidRPr="00000000">
              <w:rPr>
                <w:rtl w:val="0"/>
              </w:rPr>
            </w:r>
          </w:p>
        </w:tc>
        <w:tc>
          <w:tcPr/>
          <w:p w:rsidR="00000000" w:rsidDel="00000000" w:rsidP="00000000" w:rsidRDefault="00000000" w:rsidRPr="00000000" w14:paraId="0000001E">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SLEDS Participating Entities shall </w:t>
            </w:r>
            <w:r w:rsidDel="00000000" w:rsidR="00000000" w:rsidRPr="00000000">
              <w:rPr>
                <w:rFonts w:ascii="Lato" w:cs="Lato" w:eastAsia="Lato" w:hAnsi="Lato"/>
                <w:rtl w:val="0"/>
              </w:rPr>
              <w:t xml:space="preserve">maintain</w:t>
            </w:r>
            <w:r w:rsidDel="00000000" w:rsidR="00000000" w:rsidRPr="00000000">
              <w:rPr>
                <w:rFonts w:ascii="Lato" w:cs="Lato" w:eastAsia="Lato" w:hAnsi="Lato"/>
                <w:rtl w:val="0"/>
              </w:rPr>
              <w:t xml:space="preserve"> l</w:t>
            </w:r>
            <w:r w:rsidDel="00000000" w:rsidR="00000000" w:rsidRPr="00000000">
              <w:rPr>
                <w:rFonts w:ascii="Lato" w:cs="Lato" w:eastAsia="Lato" w:hAnsi="Lato"/>
                <w:vertAlign w:val="baseline"/>
                <w:rtl w:val="0"/>
              </w:rPr>
              <w:t xml:space="preserve">ogical access controls </w:t>
            </w:r>
            <w:r w:rsidDel="00000000" w:rsidR="00000000" w:rsidRPr="00000000">
              <w:rPr>
                <w:rFonts w:ascii="Lato" w:cs="Lato" w:eastAsia="Lato" w:hAnsi="Lato"/>
                <w:rtl w:val="0"/>
              </w:rPr>
              <w:t xml:space="preserve">for Personally Identifiable Information (PII) as it relates to a Participating Entity’s data or any integrated data within the SLEDS Environment.</w:t>
            </w:r>
            <w:r w:rsidDel="00000000" w:rsidR="00000000" w:rsidRPr="00000000">
              <w:rPr>
                <w:rtl w:val="0"/>
              </w:rPr>
            </w:r>
          </w:p>
        </w:tc>
      </w:tr>
      <w:tr>
        <w:trPr>
          <w:cantSplit w:val="0"/>
          <w:tblHeader w:val="0"/>
        </w:trPr>
        <w:tc>
          <w:tcPr/>
          <w:p w:rsidR="00000000" w:rsidDel="00000000" w:rsidP="00000000" w:rsidRDefault="00000000" w:rsidRPr="00000000" w14:paraId="0000001F">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3</w:t>
            </w:r>
            <w:r w:rsidDel="00000000" w:rsidR="00000000" w:rsidRPr="00000000">
              <w:rPr>
                <w:rtl w:val="0"/>
              </w:rPr>
            </w:r>
          </w:p>
        </w:tc>
        <w:tc>
          <w:tcPr/>
          <w:p w:rsidR="00000000" w:rsidDel="00000000" w:rsidP="00000000" w:rsidRDefault="00000000" w:rsidRPr="00000000" w14:paraId="00000020">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Whenever logical access controls are needed, at least one technical component must ask for the requestor’s identification (UserID) and successfully validate the authentication (password) before the requested information or service can be accessed. </w:t>
            </w:r>
            <w:r w:rsidDel="00000000" w:rsidR="00000000" w:rsidRPr="00000000">
              <w:rPr>
                <w:rFonts w:ascii="Lato" w:cs="Lato" w:eastAsia="Lato" w:hAnsi="Lato"/>
                <w:rtl w:val="0"/>
              </w:rPr>
              <w:t xml:space="preserve">Any SLEDS components requiring authentication or use of Transport Layer Security (TLS) Certificates web sites and web applications shall follow the requirements set out in </w:t>
            </w:r>
            <w:r w:rsidDel="00000000" w:rsidR="00000000" w:rsidRPr="00000000">
              <w:rPr>
                <w:rFonts w:ascii="Lato" w:cs="Lato" w:eastAsia="Lato" w:hAnsi="Lato"/>
                <w:color w:val="ff0000"/>
                <w:rtl w:val="0"/>
              </w:rPr>
              <w:t xml:space="preserve">State Policy</w:t>
            </w:r>
            <w:r w:rsidDel="00000000" w:rsidR="00000000" w:rsidRPr="00000000">
              <w:rPr>
                <w:rFonts w:ascii="Lato" w:cs="Lato" w:eastAsia="Lato" w:hAnsi="Lato"/>
                <w:rtl w:val="0"/>
              </w:rPr>
              <w:t xml:space="preserve"> </w:t>
            </w:r>
            <w:hyperlink r:id="rId22">
              <w:r w:rsidDel="00000000" w:rsidR="00000000" w:rsidRPr="00000000">
                <w:rPr>
                  <w:rFonts w:ascii="Lato" w:cs="Lato" w:eastAsia="Lato" w:hAnsi="Lato"/>
                  <w:color w:val="1155cc"/>
                  <w:u w:val="single"/>
                  <w:rtl w:val="0"/>
                </w:rPr>
                <w:t xml:space="preserve">09300-P010 Web Transport Layer Security (TLS) Certificate Use</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1">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4</w:t>
            </w:r>
            <w:r w:rsidDel="00000000" w:rsidR="00000000" w:rsidRPr="00000000">
              <w:rPr>
                <w:rtl w:val="0"/>
              </w:rPr>
            </w:r>
          </w:p>
        </w:tc>
        <w:tc>
          <w:tcPr/>
          <w:p w:rsidR="00000000" w:rsidDel="00000000" w:rsidP="00000000" w:rsidRDefault="00000000" w:rsidRPr="00000000" w14:paraId="00000022">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Systems that request UserIDs and passwords shall mask, suppress, or otherwise obscure the display and printing of passwords so that unauthorized parties will not be able to observe or subsequently recover them.</w:t>
            </w:r>
          </w:p>
        </w:tc>
      </w:tr>
      <w:tr>
        <w:trPr>
          <w:cantSplit w:val="0"/>
          <w:tblHeader w:val="0"/>
        </w:trPr>
        <w:tc>
          <w:tcPr/>
          <w:p w:rsidR="00000000" w:rsidDel="00000000" w:rsidP="00000000" w:rsidRDefault="00000000" w:rsidRPr="00000000" w14:paraId="00000023">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5</w:t>
            </w:r>
            <w:r w:rsidDel="00000000" w:rsidR="00000000" w:rsidRPr="00000000">
              <w:rPr>
                <w:rtl w:val="0"/>
              </w:rPr>
            </w:r>
          </w:p>
        </w:tc>
        <w:tc>
          <w:tcPr/>
          <w:p w:rsidR="00000000" w:rsidDel="00000000" w:rsidP="00000000" w:rsidRDefault="00000000" w:rsidRPr="00000000" w14:paraId="00000024">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If any part of the login sequence is incorrect, the user must not be given specific feedback indicating the source of the problem. Instead, the user must simply be informed that the login process was incorrect.</w:t>
            </w:r>
          </w:p>
        </w:tc>
      </w:tr>
      <w:tr>
        <w:trPr>
          <w:cantSplit w:val="0"/>
          <w:tblHeader w:val="0"/>
        </w:trPr>
        <w:tc>
          <w:tcPr/>
          <w:p w:rsidR="00000000" w:rsidDel="00000000" w:rsidP="00000000" w:rsidRDefault="00000000" w:rsidRPr="00000000" w14:paraId="00000025">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6</w:t>
            </w:r>
            <w:r w:rsidDel="00000000" w:rsidR="00000000" w:rsidRPr="00000000">
              <w:rPr>
                <w:rtl w:val="0"/>
              </w:rPr>
            </w:r>
          </w:p>
        </w:tc>
        <w:tc>
          <w:tcPr/>
          <w:p w:rsidR="00000000" w:rsidDel="00000000" w:rsidP="00000000" w:rsidRDefault="00000000" w:rsidRPr="00000000" w14:paraId="00000026">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The number of unsuccessful logon attempts shall be limited. Users that are unsuccessful at logging on within the prescribed number of tries shall be locked out for a prescribed period of time.</w:t>
            </w:r>
          </w:p>
        </w:tc>
      </w:tr>
      <w:tr>
        <w:trPr>
          <w:cantSplit w:val="0"/>
          <w:tblHeader w:val="0"/>
        </w:trPr>
        <w:tc>
          <w:tcPr/>
          <w:p w:rsidR="00000000" w:rsidDel="00000000" w:rsidP="00000000" w:rsidRDefault="00000000" w:rsidRPr="00000000" w14:paraId="00000027">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7</w:t>
            </w:r>
            <w:r w:rsidDel="00000000" w:rsidR="00000000" w:rsidRPr="00000000">
              <w:rPr>
                <w:rtl w:val="0"/>
              </w:rPr>
            </w:r>
          </w:p>
        </w:tc>
        <w:tc>
          <w:tcPr/>
          <w:p w:rsidR="00000000" w:rsidDel="00000000" w:rsidP="00000000" w:rsidRDefault="00000000" w:rsidRPr="00000000" w14:paraId="00000028">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Access to system utilities shall be limited to users and administrators with an approved need to run or use those utilities. Other uses of and access to those utilities shall be granted on a temporary basis only after a business requirement for this access has been documented and approved. Unneeded system utilities, options, and/or services shall be removed or disabled.</w:t>
            </w:r>
          </w:p>
        </w:tc>
      </w:tr>
      <w:tr>
        <w:trPr>
          <w:cantSplit w:val="0"/>
          <w:tblHeader w:val="0"/>
        </w:trPr>
        <w:tc>
          <w:tcPr/>
          <w:p w:rsidR="00000000" w:rsidDel="00000000" w:rsidP="00000000" w:rsidRDefault="00000000" w:rsidRPr="00000000" w14:paraId="00000029">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8</w:t>
            </w:r>
            <w:r w:rsidDel="00000000" w:rsidR="00000000" w:rsidRPr="00000000">
              <w:rPr>
                <w:rtl w:val="0"/>
              </w:rPr>
            </w:r>
          </w:p>
        </w:tc>
        <w:tc>
          <w:tcPr/>
          <w:p w:rsidR="00000000" w:rsidDel="00000000" w:rsidP="00000000" w:rsidRDefault="00000000" w:rsidRPr="00000000" w14:paraId="0000002A">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Warning</w:t>
            </w:r>
            <w:r w:rsidDel="00000000" w:rsidR="00000000" w:rsidRPr="00000000">
              <w:rPr>
                <w:rFonts w:ascii="Lato" w:cs="Lato" w:eastAsia="Lato" w:hAnsi="Lato"/>
                <w:vertAlign w:val="baseline"/>
                <w:rtl w:val="0"/>
              </w:rPr>
              <w:t xml:space="preserve"> banners shall be displayed during initiation of the login process to networks and where appropriate, to other resources prior to requests for UserIDs and passwords </w:t>
            </w:r>
            <w:r w:rsidDel="00000000" w:rsidR="00000000" w:rsidRPr="00000000">
              <w:rPr>
                <w:rFonts w:ascii="Lato" w:cs="Lato" w:eastAsia="Lato" w:hAnsi="Lato"/>
                <w:rtl w:val="0"/>
              </w:rPr>
              <w:t xml:space="preserve">in alignment with</w:t>
            </w:r>
            <w:r w:rsidDel="00000000" w:rsidR="00000000" w:rsidRPr="00000000">
              <w:rPr>
                <w:rFonts w:ascii="Lato" w:cs="Lato" w:eastAsia="Lato" w:hAnsi="Lato"/>
                <w:vertAlign w:val="baseline"/>
                <w:rtl w:val="0"/>
              </w:rPr>
              <w:t xml:space="preserve"> </w:t>
            </w:r>
            <w:r w:rsidDel="00000000" w:rsidR="00000000" w:rsidRPr="00000000">
              <w:rPr>
                <w:rFonts w:ascii="Lato" w:cs="Lato" w:eastAsia="Lato" w:hAnsi="Lato"/>
                <w:rtl w:val="0"/>
              </w:rPr>
              <w:t xml:space="preserve">Wyoming State IT</w:t>
            </w:r>
            <w:r w:rsidDel="00000000" w:rsidR="00000000" w:rsidRPr="00000000">
              <w:rPr>
                <w:rFonts w:ascii="Lato" w:cs="Lato" w:eastAsia="Lato" w:hAnsi="Lato"/>
                <w:vertAlign w:val="baseline"/>
                <w:rtl w:val="0"/>
              </w:rPr>
              <w:t xml:space="preserve"> Standard </w:t>
            </w:r>
            <w:hyperlink r:id="rId23">
              <w:r w:rsidDel="00000000" w:rsidR="00000000" w:rsidRPr="00000000">
                <w:rPr>
                  <w:rFonts w:ascii="Lato" w:cs="Lato" w:eastAsia="Lato" w:hAnsi="Lato"/>
                  <w:color w:val="1155cc"/>
                  <w:u w:val="single"/>
                  <w:vertAlign w:val="baseline"/>
                  <w:rtl w:val="0"/>
                </w:rPr>
                <w:t xml:space="preserve">09400-S173 Security Warning Banner</w:t>
              </w:r>
            </w:hyperlink>
            <w:r w:rsidDel="00000000" w:rsidR="00000000" w:rsidRPr="00000000">
              <w:rPr>
                <w:rFonts w:ascii="Lato" w:cs="Lato" w:eastAsia="Lato" w:hAnsi="Lato"/>
                <w:vertAlign w:val="baseline"/>
                <w:rtl w:val="0"/>
              </w:rPr>
              <w:t xml:space="preserve">.</w:t>
            </w:r>
          </w:p>
        </w:tc>
      </w:tr>
      <w:tr>
        <w:trPr>
          <w:cantSplit w:val="0"/>
          <w:tblHeader w:val="0"/>
        </w:trPr>
        <w:tc>
          <w:tcPr/>
          <w:p w:rsidR="00000000" w:rsidDel="00000000" w:rsidP="00000000" w:rsidRDefault="00000000" w:rsidRPr="00000000" w14:paraId="0000002B">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9</w:t>
            </w:r>
            <w:r w:rsidDel="00000000" w:rsidR="00000000" w:rsidRPr="00000000">
              <w:rPr>
                <w:rtl w:val="0"/>
              </w:rPr>
            </w:r>
          </w:p>
        </w:tc>
        <w:tc>
          <w:tcPr/>
          <w:p w:rsidR="00000000" w:rsidDel="00000000" w:rsidP="00000000" w:rsidRDefault="00000000" w:rsidRPr="00000000" w14:paraId="0000002C">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Screensavers (sometimes called “screen locks”) shall be automatically activated and password protected on terminals after a prescribed period of inactivity </w:t>
            </w:r>
            <w:r w:rsidDel="00000000" w:rsidR="00000000" w:rsidRPr="00000000">
              <w:rPr>
                <w:rFonts w:ascii="Lato" w:cs="Lato" w:eastAsia="Lato" w:hAnsi="Lato"/>
                <w:rtl w:val="0"/>
              </w:rPr>
              <w:t xml:space="preserve">in alignment with Wyoming State IT Standard</w:t>
            </w:r>
            <w:r w:rsidDel="00000000" w:rsidR="00000000" w:rsidRPr="00000000">
              <w:rPr>
                <w:rFonts w:ascii="Lato" w:cs="Lato" w:eastAsia="Lato" w:hAnsi="Lato"/>
                <w:vertAlign w:val="baseline"/>
                <w:rtl w:val="0"/>
              </w:rPr>
              <w:t xml:space="preserve"> </w:t>
            </w:r>
            <w:hyperlink r:id="rId24">
              <w:r w:rsidDel="00000000" w:rsidR="00000000" w:rsidRPr="00000000">
                <w:rPr>
                  <w:rFonts w:ascii="Lato" w:cs="Lato" w:eastAsia="Lato" w:hAnsi="Lato"/>
                  <w:color w:val="1155cc"/>
                  <w:u w:val="single"/>
                  <w:vertAlign w:val="baseline"/>
                  <w:rtl w:val="0"/>
                </w:rPr>
                <w:t xml:space="preserve">09400-S17</w:t>
              </w:r>
            </w:hyperlink>
            <w:hyperlink r:id="rId25">
              <w:r w:rsidDel="00000000" w:rsidR="00000000" w:rsidRPr="00000000">
                <w:rPr>
                  <w:rFonts w:ascii="Lato" w:cs="Lato" w:eastAsia="Lato" w:hAnsi="Lato"/>
                  <w:color w:val="1155cc"/>
                  <w:u w:val="single"/>
                  <w:rtl w:val="0"/>
                </w:rPr>
                <w:t xml:space="preserve">6</w:t>
              </w:r>
            </w:hyperlink>
            <w:hyperlink r:id="rId26">
              <w:r w:rsidDel="00000000" w:rsidR="00000000" w:rsidRPr="00000000">
                <w:rPr>
                  <w:rFonts w:ascii="Lato" w:cs="Lato" w:eastAsia="Lato" w:hAnsi="Lato"/>
                  <w:color w:val="1155cc"/>
                  <w:u w:val="single"/>
                  <w:vertAlign w:val="baseline"/>
                  <w:rtl w:val="0"/>
                </w:rPr>
                <w:t xml:space="preserve"> Automatic Screen Lock</w:t>
              </w:r>
            </w:hyperlink>
            <w:r w:rsidDel="00000000" w:rsidR="00000000" w:rsidRPr="00000000">
              <w:rPr>
                <w:rFonts w:ascii="Lato" w:cs="Lato" w:eastAsia="Lato" w:hAnsi="Lato"/>
                <w:vertAlign w:val="baseline"/>
                <w:rtl w:val="0"/>
              </w:rPr>
              <w:t xml:space="preserve">.</w:t>
            </w:r>
          </w:p>
        </w:tc>
      </w:tr>
      <w:tr>
        <w:trPr>
          <w:cantSplit w:val="0"/>
          <w:tblHeader w:val="0"/>
        </w:trPr>
        <w:tc>
          <w:tcPr/>
          <w:p w:rsidR="00000000" w:rsidDel="00000000" w:rsidP="00000000" w:rsidRDefault="00000000" w:rsidRPr="00000000" w14:paraId="0000002D">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10</w:t>
            </w:r>
            <w:r w:rsidDel="00000000" w:rsidR="00000000" w:rsidRPr="00000000">
              <w:rPr>
                <w:rtl w:val="0"/>
              </w:rPr>
            </w:r>
          </w:p>
        </w:tc>
        <w:tc>
          <w:tcPr/>
          <w:p w:rsidR="00000000" w:rsidDel="00000000" w:rsidP="00000000" w:rsidRDefault="00000000" w:rsidRPr="00000000" w14:paraId="0000002E">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System and database administrators shall configure operating systems and databases to implement and enforce applicable password management requirements.</w:t>
            </w:r>
          </w:p>
        </w:tc>
      </w:tr>
      <w:tr>
        <w:trPr>
          <w:cantSplit w:val="0"/>
          <w:tblHeader w:val="0"/>
        </w:trPr>
        <w:tc>
          <w:tcPr/>
          <w:p w:rsidR="00000000" w:rsidDel="00000000" w:rsidP="00000000" w:rsidRDefault="00000000" w:rsidRPr="00000000" w14:paraId="0000002F">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11</w:t>
            </w:r>
            <w:r w:rsidDel="00000000" w:rsidR="00000000" w:rsidRPr="00000000">
              <w:rPr>
                <w:rtl w:val="0"/>
              </w:rPr>
            </w:r>
          </w:p>
        </w:tc>
        <w:tc>
          <w:tcPr/>
          <w:p w:rsidR="00000000" w:rsidDel="00000000" w:rsidP="00000000" w:rsidRDefault="00000000" w:rsidRPr="00000000" w14:paraId="00000030">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All users and other entities (applications, systems, etc.) must be uniquely identified to the information system(s) they access and shall only have access to resources for which they have been explicitly authorized.</w:t>
            </w:r>
            <w:r w:rsidDel="00000000" w:rsidR="00000000" w:rsidRPr="00000000">
              <w:rPr>
                <w:rtl w:val="0"/>
              </w:rPr>
            </w:r>
          </w:p>
        </w:tc>
      </w:tr>
      <w:tr>
        <w:trPr>
          <w:cantSplit w:val="0"/>
          <w:tblHeader w:val="0"/>
        </w:trPr>
        <w:tc>
          <w:tcPr/>
          <w:p w:rsidR="00000000" w:rsidDel="00000000" w:rsidP="00000000" w:rsidRDefault="00000000" w:rsidRPr="00000000" w14:paraId="00000031">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1</w:t>
            </w:r>
            <w:r w:rsidDel="00000000" w:rsidR="00000000" w:rsidRPr="00000000">
              <w:rPr>
                <w:rFonts w:ascii="Lato" w:cs="Lato" w:eastAsia="Lato" w:hAnsi="Lato"/>
                <w:rtl w:val="0"/>
              </w:rPr>
              <w:t xml:space="preserve">2</w:t>
            </w:r>
            <w:r w:rsidDel="00000000" w:rsidR="00000000" w:rsidRPr="00000000">
              <w:rPr>
                <w:rtl w:val="0"/>
              </w:rPr>
            </w:r>
          </w:p>
        </w:tc>
        <w:tc>
          <w:tcPr/>
          <w:p w:rsidR="00000000" w:rsidDel="00000000" w:rsidP="00000000" w:rsidRDefault="00000000" w:rsidRPr="00000000" w14:paraId="00000032">
            <w:pPr>
              <w:pageBreakBefore w:val="0"/>
              <w:spacing w:after="0" w:before="0" w:lineRule="auto"/>
              <w:rPr>
                <w:rFonts w:ascii="Lato" w:cs="Lato" w:eastAsia="Lato" w:hAnsi="Lato"/>
                <w:vertAlign w:val="baseline"/>
              </w:rPr>
            </w:pPr>
            <w:r w:rsidDel="00000000" w:rsidR="00000000" w:rsidRPr="00000000">
              <w:rPr>
                <w:rFonts w:ascii="Lato" w:cs="Lato" w:eastAsia="Lato" w:hAnsi="Lato"/>
                <w:vertAlign w:val="baseline"/>
                <w:rtl w:val="0"/>
              </w:rPr>
              <w:t xml:space="preserve">Direct connections from the </w:t>
            </w:r>
            <w:r w:rsidDel="00000000" w:rsidR="00000000" w:rsidRPr="00000000">
              <w:rPr>
                <w:rFonts w:ascii="Lato" w:cs="Lato" w:eastAsia="Lato" w:hAnsi="Lato"/>
                <w:rtl w:val="0"/>
              </w:rPr>
              <w:t xml:space="preserve">I</w:t>
            </w:r>
            <w:r w:rsidDel="00000000" w:rsidR="00000000" w:rsidRPr="00000000">
              <w:rPr>
                <w:rFonts w:ascii="Lato" w:cs="Lato" w:eastAsia="Lato" w:hAnsi="Lato"/>
                <w:vertAlign w:val="baseline"/>
                <w:rtl w:val="0"/>
              </w:rPr>
              <w:t xml:space="preserve">nternet to internal, non-public, database systems, even to view data, shall not be allowed.  </w:t>
            </w:r>
            <w:r w:rsidDel="00000000" w:rsidR="00000000" w:rsidRPr="00000000">
              <w:rPr>
                <w:rFonts w:ascii="Lato" w:cs="Lato" w:eastAsia="Lato" w:hAnsi="Lato"/>
                <w:rtl w:val="0"/>
              </w:rPr>
              <w:t xml:space="preserve">All confidential data shall be encrypted end to end, from server to server, at rest and in transit.  </w:t>
            </w:r>
            <w:r w:rsidDel="00000000" w:rsidR="00000000" w:rsidRPr="00000000">
              <w:rPr>
                <w:rFonts w:ascii="Lato" w:cs="Lato" w:eastAsia="Lato" w:hAnsi="Lato"/>
                <w:vertAlign w:val="baseline"/>
                <w:rtl w:val="0"/>
              </w:rPr>
              <w:t xml:space="preserve">This does not include third parties supporting database management or other maintenance, provided they are connecting via a </w:t>
            </w:r>
            <w:r w:rsidDel="00000000" w:rsidR="00000000" w:rsidRPr="00000000">
              <w:rPr>
                <w:rFonts w:ascii="Lato" w:cs="Lato" w:eastAsia="Lato" w:hAnsi="Lato"/>
                <w:vertAlign w:val="baseline"/>
                <w:rtl w:val="0"/>
              </w:rPr>
              <w:t xml:space="preserve">protected path</w:t>
            </w:r>
            <w:r w:rsidDel="00000000" w:rsidR="00000000" w:rsidRPr="00000000">
              <w:rPr>
                <w:rFonts w:ascii="Lato" w:cs="Lato" w:eastAsia="Lato" w:hAnsi="Lato"/>
                <w:vertAlign w:val="baseline"/>
                <w:rtl w:val="0"/>
              </w:rPr>
              <w:t xml:space="preserve">.</w:t>
            </w:r>
          </w:p>
        </w:tc>
      </w:tr>
      <w:tr>
        <w:trPr>
          <w:cantSplit w:val="0"/>
          <w:tblHeader w:val="0"/>
        </w:trPr>
        <w:tc>
          <w:tcPr/>
          <w:p w:rsidR="00000000" w:rsidDel="00000000" w:rsidP="00000000" w:rsidRDefault="00000000" w:rsidRPr="00000000" w14:paraId="00000033">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13</w:t>
            </w:r>
          </w:p>
        </w:tc>
        <w:tc>
          <w:tcPr/>
          <w:p w:rsidR="00000000" w:rsidDel="00000000" w:rsidP="00000000" w:rsidRDefault="00000000" w:rsidRPr="00000000" w14:paraId="00000034">
            <w:pPr>
              <w:pageBreakBefore w:val="0"/>
              <w:spacing w:after="0" w:before="0" w:lineRule="auto"/>
              <w:rPr>
                <w:rFonts w:ascii="Lato" w:cs="Lato" w:eastAsia="Lato" w:hAnsi="Lato"/>
                <w:vertAlign w:val="baseline"/>
              </w:rPr>
            </w:pPr>
            <w:r w:rsidDel="00000000" w:rsidR="00000000" w:rsidRPr="00000000">
              <w:rPr>
                <w:rFonts w:ascii="Lato" w:cs="Lato" w:eastAsia="Lato" w:hAnsi="Lato"/>
                <w:rtl w:val="0"/>
              </w:rPr>
              <w:t xml:space="preserve">Access control devices shall be configured and managed in alignment with the</w:t>
            </w:r>
            <w:hyperlink r:id="rId27">
              <w:r w:rsidDel="00000000" w:rsidR="00000000" w:rsidRPr="00000000">
                <w:rPr>
                  <w:rFonts w:ascii="Lato" w:cs="Lato" w:eastAsia="Lato" w:hAnsi="Lato"/>
                  <w:color w:val="1155cc"/>
                  <w:u w:val="single"/>
                  <w:rtl w:val="0"/>
                </w:rPr>
                <w:t xml:space="preserve"> SLEDS System and Communications Protection Policy.</w:t>
              </w:r>
            </w:hyperlink>
            <w:r w:rsidDel="00000000" w:rsidR="00000000" w:rsidRPr="00000000">
              <w:rPr>
                <w:rtl w:val="0"/>
              </w:rPr>
            </w:r>
          </w:p>
        </w:tc>
      </w:tr>
      <w:tr>
        <w:trPr>
          <w:cantSplit w:val="0"/>
          <w:tblHeader w:val="0"/>
        </w:trPr>
        <w:tc>
          <w:tcPr/>
          <w:p w:rsidR="00000000" w:rsidDel="00000000" w:rsidP="00000000" w:rsidRDefault="00000000" w:rsidRPr="00000000" w14:paraId="00000035">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14</w:t>
            </w:r>
          </w:p>
        </w:tc>
        <w:tc>
          <w:tcPr/>
          <w:p w:rsidR="00000000" w:rsidDel="00000000" w:rsidP="00000000" w:rsidRDefault="00000000" w:rsidRPr="00000000" w14:paraId="00000036">
            <w:pPr>
              <w:pageBreakBefore w:val="0"/>
              <w:spacing w:after="0" w:before="0" w:lineRule="auto"/>
              <w:rPr>
                <w:rFonts w:ascii="Lato" w:cs="Lato" w:eastAsia="Lato" w:hAnsi="Lato"/>
              </w:rPr>
            </w:pPr>
            <w:r w:rsidDel="00000000" w:rsidR="00000000" w:rsidRPr="00000000">
              <w:rPr>
                <w:rFonts w:ascii="Lato" w:cs="Lato" w:eastAsia="Lato" w:hAnsi="Lato"/>
                <w:rtl w:val="0"/>
              </w:rPr>
              <w:t xml:space="preserve">Data shall be encrypted at rest and in transit in alignment with </w:t>
            </w:r>
            <w:r w:rsidDel="00000000" w:rsidR="00000000" w:rsidRPr="00000000">
              <w:rPr>
                <w:rFonts w:ascii="Lato" w:cs="Lato" w:eastAsia="Lato" w:hAnsi="Lato"/>
                <w:color w:val="ff0000"/>
                <w:rtl w:val="0"/>
              </w:rPr>
              <w:t xml:space="preserve">State Policy</w:t>
            </w:r>
            <w:r w:rsidDel="00000000" w:rsidR="00000000" w:rsidRPr="00000000">
              <w:rPr>
                <w:rFonts w:ascii="Lato" w:cs="Lato" w:eastAsia="Lato" w:hAnsi="Lato"/>
                <w:rtl w:val="0"/>
              </w:rPr>
              <w:t xml:space="preserve"> </w:t>
            </w:r>
            <w:hyperlink r:id="rId28">
              <w:r w:rsidDel="00000000" w:rsidR="00000000" w:rsidRPr="00000000">
                <w:rPr>
                  <w:rFonts w:ascii="Lato" w:cs="Lato" w:eastAsia="Lato" w:hAnsi="Lato"/>
                  <w:color w:val="1155cc"/>
                  <w:u w:val="single"/>
                  <w:rtl w:val="0"/>
                </w:rPr>
                <w:t xml:space="preserve">09400-P220 Policy Data at Rest and in Transit</w:t>
              </w:r>
            </w:hyperlink>
            <w:r w:rsidDel="00000000" w:rsidR="00000000" w:rsidRPr="00000000">
              <w:rPr>
                <w:rFonts w:ascii="Lato" w:cs="Lato" w:eastAsia="Lato" w:hAnsi="Lato"/>
                <w:rtl w:val="0"/>
              </w:rPr>
              <w:t xml:space="preserve">.</w:t>
            </w:r>
          </w:p>
        </w:tc>
      </w:tr>
    </w:tbl>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Style w:val="Heading1"/>
        <w:pageBreakBefore w:val="0"/>
        <w:rPr>
          <w:sz w:val="22"/>
          <w:szCs w:val="22"/>
        </w:rPr>
      </w:pPr>
      <w:bookmarkStart w:colFirst="0" w:colLast="0" w:name="_tdx07shf9lqt" w:id="1"/>
      <w:bookmarkEnd w:id="1"/>
      <w:r w:rsidDel="00000000" w:rsidR="00000000" w:rsidRPr="00000000">
        <w:rPr>
          <w:rtl w:val="0"/>
        </w:rPr>
        <w:t xml:space="preserve">Additional Information</w:t>
      </w:r>
      <w:r w:rsidDel="00000000" w:rsidR="00000000" w:rsidRPr="00000000">
        <w:rPr>
          <w:rtl w:val="0"/>
        </w:rPr>
      </w:r>
    </w:p>
    <w:p w:rsidR="00000000" w:rsidDel="00000000" w:rsidP="00000000" w:rsidRDefault="00000000" w:rsidRPr="00000000" w14:paraId="00000039">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pPr>
      <w:r w:rsidDel="00000000" w:rsidR="00000000" w:rsidRPr="00000000">
        <w:rPr>
          <w:rtl w:val="0"/>
        </w:rPr>
        <w:t xml:space="preserve">Additional and supporting information can be found using the following resources:</w:t>
      </w:r>
    </w:p>
    <w:p w:rsidR="00000000" w:rsidDel="00000000" w:rsidP="00000000" w:rsidRDefault="00000000" w:rsidRPr="00000000" w14:paraId="0000003A">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00" w:lineRule="auto"/>
        <w:ind w:left="720" w:hanging="360"/>
        <w:rPr/>
      </w:pPr>
      <w:hyperlink r:id="rId29">
        <w:r w:rsidDel="00000000" w:rsidR="00000000" w:rsidRPr="00000000">
          <w:rPr>
            <w:color w:val="1155cc"/>
            <w:u w:val="single"/>
            <w:rtl w:val="0"/>
          </w:rPr>
          <w:t xml:space="preserve">SLEDS Glossary of Defined Terms</w:t>
        </w:r>
      </w:hyperlink>
      <w:r w:rsidDel="00000000" w:rsidR="00000000" w:rsidRPr="00000000">
        <w:rPr>
          <w:rtl w:val="0"/>
        </w:rPr>
      </w:r>
    </w:p>
    <w:p w:rsidR="00000000" w:rsidDel="00000000" w:rsidP="00000000" w:rsidRDefault="00000000" w:rsidRPr="00000000" w14:paraId="0000003B">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pPr>
      <w:hyperlink r:id="rId30">
        <w:r w:rsidDel="00000000" w:rsidR="00000000" w:rsidRPr="00000000">
          <w:rPr>
            <w:color w:val="1155cc"/>
            <w:u w:val="single"/>
            <w:rtl w:val="0"/>
          </w:rPr>
          <w:t xml:space="preserve">SLEDS Policy and Procedure Inventory</w:t>
        </w:r>
      </w:hyperlink>
      <w:r w:rsidDel="00000000" w:rsidR="00000000" w:rsidRPr="00000000">
        <w:rPr>
          <w:rtl w:val="0"/>
        </w:rPr>
      </w:r>
    </w:p>
    <w:p w:rsidR="00000000" w:rsidDel="00000000" w:rsidP="00000000" w:rsidRDefault="00000000" w:rsidRPr="00000000" w14:paraId="0000003C">
      <w:pPr>
        <w:pageBreakBefore w:val="0"/>
        <w:numPr>
          <w:ilvl w:val="0"/>
          <w:numId w:val="1"/>
        </w:numPr>
        <w:spacing w:after="0" w:before="0" w:lineRule="auto"/>
        <w:ind w:left="720" w:hanging="360"/>
        <w:rPr/>
      </w:pPr>
      <w:hyperlink r:id="rId31">
        <w:r w:rsidDel="00000000" w:rsidR="00000000" w:rsidRPr="00000000">
          <w:rPr>
            <w:color w:val="1155cc"/>
            <w:highlight w:val="white"/>
            <w:u w:val="single"/>
            <w:rtl w:val="0"/>
          </w:rPr>
          <w:t xml:space="preserve">SLEDS Data Research Request Process</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3D">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hyperlink r:id="rId32">
        <w:r w:rsidDel="00000000" w:rsidR="00000000" w:rsidRPr="00000000">
          <w:rPr>
            <w:color w:val="1155cc"/>
            <w:u w:val="single"/>
            <w:rtl w:val="0"/>
          </w:rPr>
          <w:t xml:space="preserve">U.S. Department of Education FERPA Guidance</w:t>
        </w:r>
      </w:hyperlink>
      <w:r w:rsidDel="00000000" w:rsidR="00000000" w:rsidRPr="00000000">
        <w:rPr>
          <w:rtl w:val="0"/>
        </w:rPr>
      </w:r>
    </w:p>
    <w:p w:rsidR="00000000" w:rsidDel="00000000" w:rsidP="00000000" w:rsidRDefault="00000000" w:rsidRPr="00000000" w14:paraId="0000003E">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Rule="auto"/>
        <w:ind w:left="720" w:hanging="360"/>
        <w:rPr/>
      </w:pPr>
      <w:hyperlink r:id="rId33">
        <w:r w:rsidDel="00000000" w:rsidR="00000000" w:rsidRPr="00000000">
          <w:rPr>
            <w:color w:val="1155cc"/>
            <w:u w:val="single"/>
            <w:rtl w:val="0"/>
          </w:rPr>
          <w:t xml:space="preserve">PTAC Guidance on Integrated Data Systems</w:t>
        </w:r>
      </w:hyperlink>
      <w:r w:rsidDel="00000000" w:rsidR="00000000" w:rsidRPr="00000000">
        <w:rPr>
          <w:rtl w:val="0"/>
        </w:rPr>
      </w:r>
    </w:p>
    <w:p w:rsidR="00000000" w:rsidDel="00000000" w:rsidP="00000000" w:rsidRDefault="00000000" w:rsidRPr="00000000" w14:paraId="0000003F">
      <w:pPr>
        <w:pageBreakBefore w:val="0"/>
        <w:numPr>
          <w:ilvl w:val="0"/>
          <w:numId w:val="1"/>
        </w:numPr>
        <w:pBdr>
          <w:top w:color="000000" w:space="0" w:sz="0" w:val="none"/>
          <w:left w:color="000000" w:space="0" w:sz="0" w:val="none"/>
          <w:bottom w:color="000000" w:space="0" w:sz="0" w:val="none"/>
          <w:right w:color="000000" w:space="0" w:sz="0" w:val="none"/>
          <w:between w:color="000000" w:space="0" w:sz="0" w:val="none"/>
        </w:pBdr>
        <w:spacing w:after="200" w:before="0" w:lineRule="auto"/>
        <w:ind w:left="720" w:hanging="360"/>
        <w:rPr/>
      </w:pPr>
      <w:hyperlink r:id="rId34">
        <w:r w:rsidDel="00000000" w:rsidR="00000000" w:rsidRPr="00000000">
          <w:rPr>
            <w:color w:val="1155cc"/>
            <w:u w:val="single"/>
            <w:rtl w:val="0"/>
          </w:rPr>
          <w:t xml:space="preserve">PTAC Summary of FERPA Exceptions</w:t>
        </w:r>
      </w:hyperlink>
      <w:r w:rsidDel="00000000" w:rsidR="00000000" w:rsidRPr="00000000">
        <w:rPr>
          <w:rtl w:val="0"/>
        </w:rPr>
      </w:r>
    </w:p>
    <w:p w:rsidR="00000000" w:rsidDel="00000000" w:rsidP="00000000" w:rsidRDefault="00000000" w:rsidRPr="00000000" w14:paraId="00000040">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Rule="auto"/>
        <w:rPr>
          <w:rFonts w:ascii="Lato" w:cs="Lato" w:eastAsia="Lato" w:hAnsi="Lato"/>
          <w:i w:val="0"/>
          <w:sz w:val="32"/>
          <w:szCs w:val="32"/>
        </w:rPr>
      </w:pPr>
      <w:r w:rsidDel="00000000" w:rsidR="00000000" w:rsidRPr="00000000">
        <w:rPr>
          <w:rtl w:val="0"/>
        </w:rPr>
        <w:t xml:space="preserve">For questions or concerns related to this Policy, please contact the Wyoming Community College Commission  Chief Technology Officer (CTO) at (307) 777-7763.</w:t>
      </w:r>
      <w:r w:rsidDel="00000000" w:rsidR="00000000" w:rsidRPr="00000000">
        <w:rPr>
          <w:rtl w:val="0"/>
        </w:rPr>
      </w:r>
    </w:p>
    <w:p w:rsidR="00000000" w:rsidDel="00000000" w:rsidP="00000000" w:rsidRDefault="00000000" w:rsidRPr="00000000" w14:paraId="00000041">
      <w:pPr>
        <w:pStyle w:val="Heading3"/>
        <w:keepLines w:val="1"/>
        <w:pageBreakBefore w:val="0"/>
        <w:spacing w:after="0" w:before="0" w:line="312" w:lineRule="auto"/>
        <w:rPr>
          <w:rFonts w:ascii="Lato" w:cs="Lato" w:eastAsia="Lato" w:hAnsi="Lato"/>
          <w:b w:val="0"/>
          <w:color w:val="073763"/>
          <w:sz w:val="16"/>
          <w:szCs w:val="16"/>
        </w:rPr>
      </w:pPr>
      <w:bookmarkStart w:colFirst="0" w:colLast="0" w:name="_fmjz8m2wkvgm" w:id="2"/>
      <w:bookmarkEnd w:id="2"/>
      <w:r w:rsidDel="00000000" w:rsidR="00000000" w:rsidRPr="00000000">
        <w:rPr>
          <w:rtl w:val="0"/>
        </w:rPr>
      </w:r>
    </w:p>
    <w:p w:rsidR="00000000" w:rsidDel="00000000" w:rsidP="00000000" w:rsidRDefault="00000000" w:rsidRPr="00000000" w14:paraId="00000042">
      <w:pPr>
        <w:pStyle w:val="Heading2"/>
        <w:keepLines w:val="1"/>
        <w:pageBreakBefore w:val="0"/>
        <w:spacing w:after="0" w:before="0" w:line="312" w:lineRule="auto"/>
        <w:rPr>
          <w:rFonts w:ascii="Lato" w:cs="Lato" w:eastAsia="Lato" w:hAnsi="Lato"/>
          <w:i w:val="0"/>
          <w:sz w:val="32"/>
          <w:szCs w:val="32"/>
        </w:rPr>
      </w:pPr>
      <w:bookmarkStart w:colFirst="0" w:colLast="0" w:name="_ws5yt6988pba" w:id="3"/>
      <w:bookmarkEnd w:id="3"/>
      <w:r w:rsidDel="00000000" w:rsidR="00000000" w:rsidRPr="00000000">
        <w:rPr>
          <w:rFonts w:ascii="Lato" w:cs="Lato" w:eastAsia="Lato" w:hAnsi="Lato"/>
          <w:i w:val="0"/>
          <w:sz w:val="32"/>
          <w:szCs w:val="32"/>
          <w:rtl w:val="0"/>
        </w:rPr>
        <w:t xml:space="preserve">Revision History</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5"/>
        <w:gridCol w:w="1785"/>
        <w:gridCol w:w="3345"/>
        <w:gridCol w:w="2685"/>
        <w:tblGridChange w:id="0">
          <w:tblGrid>
            <w:gridCol w:w="1545"/>
            <w:gridCol w:w="1785"/>
            <w:gridCol w:w="3345"/>
            <w:gridCol w:w="268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Revision Date</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Summary of Changes</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Changes marked</w:t>
            </w:r>
          </w:p>
        </w:tc>
      </w:tr>
      <w:tr>
        <w:trPr>
          <w:cantSplit w:val="0"/>
          <w:trHeight w:val="18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Approved Policy</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r>
        <w:trPr>
          <w:cantSplit w:val="0"/>
          <w:trHeight w:val="315"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9/1/20</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Added references to additional ETS password standards</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Red Underline Text</w:t>
            </w:r>
          </w:p>
        </w:tc>
      </w:tr>
      <w:tr>
        <w:trPr>
          <w:cantSplit w:val="0"/>
          <w:trHeight w:val="27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1.2</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6/21/2021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Updated policy references to revised </w:t>
            </w:r>
            <w:hyperlink r:id="rId35">
              <w:r w:rsidDel="00000000" w:rsidR="00000000" w:rsidRPr="00000000">
                <w:rPr>
                  <w:color w:val="1155cc"/>
                  <w:u w:val="single"/>
                  <w:rtl w:val="0"/>
                </w:rPr>
                <w:t xml:space="preserve">NIST (SP) 800-171, Rev. 2</w:t>
              </w:r>
            </w:hyperlink>
            <w:r w:rsidDel="00000000" w:rsidR="00000000" w:rsidRPr="00000000">
              <w:rPr>
                <w:rtl w:val="0"/>
              </w:rPr>
              <w:t xml:space="preserve"> standard</w:t>
            </w: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N/A</w:t>
            </w:r>
          </w:p>
        </w:tc>
      </w:tr>
      <w:tr>
        <w:trPr>
          <w:cantSplit w:val="0"/>
          <w:trHeight w:val="27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2.1</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5/11/2022</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rFonts w:ascii="Arial" w:cs="Arial" w:eastAsia="Arial" w:hAnsi="Arial"/>
                <w:sz w:val="20"/>
                <w:szCs w:val="20"/>
                <w:rtl w:val="0"/>
              </w:rPr>
              <w:t xml:space="preserve">Added a reference to the SLEDS High Availability Data MOU.  </w:t>
            </w:r>
            <w:r w:rsidDel="00000000" w:rsidR="00000000" w:rsidRPr="00000000">
              <w:rPr>
                <w:rtl w:val="0"/>
              </w:rPr>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color w:val="ff0000"/>
                <w:sz w:val="22"/>
                <w:szCs w:val="22"/>
              </w:rPr>
            </w:pPr>
            <w:r w:rsidDel="00000000" w:rsidR="00000000" w:rsidRPr="00000000">
              <w:rPr>
                <w:color w:val="ff0000"/>
                <w:sz w:val="22"/>
                <w:szCs w:val="22"/>
                <w:rtl w:val="0"/>
              </w:rPr>
              <w:t xml:space="preserve">Red text</w:t>
            </w:r>
          </w:p>
        </w:tc>
      </w:tr>
      <w:tr>
        <w:trPr>
          <w:cantSplit w:val="0"/>
          <w:trHeight w:val="270" w:hRule="atLeast"/>
          <w:tblHeader w:val="0"/>
        </w:trPr>
        <w:tc>
          <w:tcPr>
            <w:tcBorders>
              <w:left w:color="000000" w:space="0" w:sz="8" w:val="single"/>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2.2</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5/11/2022</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Changed “ETS Policy” to  “State Policy </w:t>
            </w:r>
          </w:p>
        </w:tc>
        <w:tc>
          <w:tcPr>
            <w:tcBorders>
              <w:bottom w:color="000000" w:space="0" w:sz="8" w:val="single"/>
              <w:right w:color="000000" w:space="0" w:sz="8" w:val="single"/>
            </w:tcBorders>
            <w:tcMar>
              <w:top w:w="57.599999999999994" w:type="dxa"/>
              <w:left w:w="57.599999999999994" w:type="dxa"/>
              <w:bottom w:w="57.599999999999994" w:type="dxa"/>
              <w:right w:w="57.599999999999994" w:type="dxa"/>
            </w:tcMar>
            <w:vAlign w:val="top"/>
          </w:tcPr>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color w:val="ff0000"/>
                <w:sz w:val="22"/>
                <w:szCs w:val="22"/>
              </w:rPr>
            </w:pPr>
            <w:r w:rsidDel="00000000" w:rsidR="00000000" w:rsidRPr="00000000">
              <w:rPr>
                <w:color w:val="ff0000"/>
                <w:sz w:val="22"/>
                <w:szCs w:val="22"/>
                <w:rtl w:val="0"/>
              </w:rPr>
              <w:t xml:space="preserve">Red Text</w:t>
            </w:r>
          </w:p>
        </w:tc>
      </w:tr>
    </w:tbl>
    <w:p w:rsidR="00000000" w:rsidDel="00000000" w:rsidP="00000000" w:rsidRDefault="00000000" w:rsidRPr="00000000" w14:paraId="0000005B">
      <w:pPr>
        <w:pStyle w:val="Heading2"/>
        <w:keepLines w:val="1"/>
        <w:pageBreakBefore w:val="0"/>
        <w:pBdr>
          <w:top w:color="000000" w:space="0" w:sz="0" w:val="none"/>
          <w:left w:color="000000" w:space="0" w:sz="0" w:val="none"/>
          <w:bottom w:color="000000" w:space="0" w:sz="0" w:val="none"/>
          <w:right w:color="000000" w:space="0" w:sz="0" w:val="none"/>
          <w:between w:color="000000" w:space="0" w:sz="0" w:val="none"/>
        </w:pBdr>
        <w:spacing w:before="200" w:line="312" w:lineRule="auto"/>
        <w:rPr>
          <w:rFonts w:ascii="Lato" w:cs="Lato" w:eastAsia="Lato" w:hAnsi="Lato"/>
          <w:i w:val="0"/>
          <w:sz w:val="32"/>
          <w:szCs w:val="32"/>
        </w:rPr>
      </w:pPr>
      <w:bookmarkStart w:colFirst="0" w:colLast="0" w:name="_23kihh8mflkh" w:id="4"/>
      <w:bookmarkEnd w:id="4"/>
      <w:r w:rsidDel="00000000" w:rsidR="00000000" w:rsidRPr="00000000">
        <w:rPr>
          <w:rFonts w:ascii="Lato" w:cs="Lato" w:eastAsia="Lato" w:hAnsi="Lato"/>
          <w:i w:val="0"/>
          <w:sz w:val="24"/>
          <w:szCs w:val="24"/>
          <w:rtl w:val="0"/>
        </w:rPr>
        <w:t xml:space="preserve"> </w:t>
      </w:r>
      <w:r w:rsidDel="00000000" w:rsidR="00000000" w:rsidRPr="00000000">
        <w:rPr>
          <w:rFonts w:ascii="Lato" w:cs="Lato" w:eastAsia="Lato" w:hAnsi="Lato"/>
          <w:i w:val="0"/>
          <w:rtl w:val="0"/>
        </w:rPr>
        <w:t xml:space="preserve">Approvals</w:t>
      </w:r>
      <w:r w:rsidDel="00000000" w:rsidR="00000000" w:rsidRPr="00000000">
        <w:rPr>
          <w:rtl w:val="0"/>
        </w:rPr>
      </w:r>
    </w:p>
    <w:p w:rsidR="00000000" w:rsidDel="00000000" w:rsidP="00000000" w:rsidRDefault="00000000" w:rsidRPr="00000000" w14:paraId="0000005C">
      <w:pPr>
        <w:pageBreakBefore w:val="0"/>
        <w:pBdr>
          <w:top w:color="000000" w:space="0" w:sz="0" w:val="none"/>
          <w:left w:color="000000" w:space="0" w:sz="0" w:val="none"/>
          <w:bottom w:color="000000" w:space="0" w:sz="0" w:val="none"/>
          <w:right w:color="000000" w:space="0" w:sz="0" w:val="none"/>
          <w:between w:color="000000" w:space="0" w:sz="0" w:val="none"/>
        </w:pBdr>
        <w:spacing w:after="0" w:before="0" w:line="312" w:lineRule="auto"/>
        <w:rPr/>
      </w:pPr>
      <w:r w:rsidDel="00000000" w:rsidR="00000000" w:rsidRPr="00000000">
        <w:rPr>
          <w:rtl w:val="0"/>
        </w:rPr>
        <w:t xml:space="preserve">This policy requires the following approvals:  </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950"/>
        <w:gridCol w:w="4410"/>
        <w:tblGridChange w:id="0">
          <w:tblGrid>
            <w:gridCol w:w="4950"/>
            <w:gridCol w:w="441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Name </w:t>
            </w:r>
          </w:p>
        </w:tc>
        <w:tc>
          <w:tcPr>
            <w:tcBorders>
              <w:top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b w:val="1"/>
                <w:sz w:val="22"/>
                <w:szCs w:val="22"/>
              </w:rPr>
            </w:pPr>
            <w:r w:rsidDel="00000000" w:rsidR="00000000" w:rsidRPr="00000000">
              <w:rPr>
                <w:b w:val="1"/>
                <w:sz w:val="22"/>
                <w:szCs w:val="22"/>
                <w:rtl w:val="0"/>
              </w:rPr>
              <w:t xml:space="preserve">Date Approved</w:t>
            </w:r>
          </w:p>
        </w:tc>
      </w:tr>
      <w:tr>
        <w:trPr>
          <w:cantSplit w:val="0"/>
          <w:trHeight w:val="39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Security Subcommittee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v2.1: 6/21/2022</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v2.2: 6/21/2022</w:t>
            </w:r>
          </w:p>
        </w:tc>
      </w:tr>
      <w:tr>
        <w:trPr>
          <w:cantSplit w:val="0"/>
          <w:trHeight w:val="19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Data Governance Committee</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v2.1: 7/12/2022</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sz w:val="22"/>
                <w:szCs w:val="22"/>
              </w:rPr>
            </w:pPr>
            <w:r w:rsidDel="00000000" w:rsidR="00000000" w:rsidRPr="00000000">
              <w:rPr>
                <w:sz w:val="22"/>
                <w:szCs w:val="22"/>
                <w:rtl w:val="0"/>
              </w:rPr>
              <w:t xml:space="preserve">v2.2: 7/12/2022</w:t>
            </w:r>
          </w:p>
        </w:tc>
      </w:tr>
    </w:tbl>
    <w:p w:rsidR="00000000" w:rsidDel="00000000" w:rsidP="00000000" w:rsidRDefault="00000000" w:rsidRPr="00000000" w14:paraId="00000065">
      <w:pPr>
        <w:pageBreakBefore w:val="0"/>
        <w:pBdr>
          <w:top w:color="000000" w:space="0" w:sz="0" w:val="none"/>
          <w:left w:color="000000" w:space="0" w:sz="0" w:val="none"/>
          <w:bottom w:color="000000" w:space="0" w:sz="0" w:val="none"/>
          <w:right w:color="000000" w:space="0" w:sz="0" w:val="none"/>
          <w:between w:color="000000" w:space="0" w:sz="0" w:val="none"/>
        </w:pBdr>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66">
      <w:pPr>
        <w:pageBreakBefore w:val="0"/>
        <w:rPr>
          <w:color w:val="073763"/>
          <w:sz w:val="28"/>
          <w:szCs w:val="28"/>
        </w:rPr>
      </w:pPr>
      <w:r w:rsidDel="00000000" w:rsidR="00000000" w:rsidRPr="00000000">
        <w:rPr>
          <w:rtl w:val="0"/>
        </w:rPr>
      </w:r>
    </w:p>
    <w:p w:rsidR="00000000" w:rsidDel="00000000" w:rsidP="00000000" w:rsidRDefault="00000000" w:rsidRPr="00000000" w14:paraId="00000067">
      <w:pPr>
        <w:pageBreakBefore w:val="0"/>
        <w:rPr>
          <w:rFonts w:ascii="Avenir" w:cs="Avenir" w:eastAsia="Avenir" w:hAnsi="Avenir"/>
          <w:sz w:val="16"/>
          <w:szCs w:val="16"/>
        </w:rPr>
      </w:pPr>
      <w:r w:rsidDel="00000000" w:rsidR="00000000" w:rsidRPr="00000000">
        <w:rPr>
          <w:rtl w:val="0"/>
        </w:rPr>
      </w:r>
    </w:p>
    <w:sectPr>
      <w:headerReference r:id="rId36" w:type="default"/>
      <w:headerReference r:id="rId37" w:type="first"/>
      <w:headerReference r:id="rId38" w:type="even"/>
      <w:footerReference r:id="rId39" w:type="default"/>
      <w:footerReference r:id="rId40" w:type="first"/>
      <w:footerReference r:id="rId41" w:type="even"/>
      <w:pgSz w:h="15840" w:w="12240" w:orient="portrait"/>
      <w:pgMar w:bottom="1440" w:top="1440" w:left="1080" w:right="108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ageBreakBefore w:val="0"/>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pageBreakBefore w:val="0"/>
      <w:tabs>
        <w:tab w:val="center" w:leader="none" w:pos="4320"/>
        <w:tab w:val="right" w:leader="none" w:pos="8640"/>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jc w:val="right"/>
      <w:rPr/>
    </w:pPr>
    <w:r w:rsidDel="00000000" w:rsidR="00000000" w:rsidRPr="00000000">
      <w:rPr>
        <w:rFonts w:ascii="Calibri" w:cs="Calibri" w:eastAsia="Calibri" w:hAnsi="Calibri"/>
        <w:b w:val="1"/>
        <w:sz w:val="28"/>
        <w:szCs w:val="28"/>
        <w:rtl w:val="0"/>
      </w:rPr>
      <w:t xml:space="preserve">Wyoming SLEDS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ageBreakBefore w:val="0"/>
      <w:tabs>
        <w:tab w:val="center" w:leader="none" w:pos="4320"/>
        <w:tab w:val="right" w:leader="none" w:pos="8640"/>
      </w:tabs>
      <w:rPr/>
    </w:pPr>
    <w:r w:rsidDel="00000000" w:rsidR="00000000" w:rsidRPr="00000000">
      <w:rPr/>
      <w:drawing>
        <wp:inline distB="114300" distT="114300" distL="114300" distR="114300">
          <wp:extent cx="1347788" cy="132118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47788" cy="132118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ageBreakBefore w:val="0"/>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sz w:val="24"/>
        <w:szCs w:val="24"/>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i w:val="1"/>
      <w:color w:val="00000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pacing w:after="60" w:before="240" w:lineRule="auto"/>
    </w:pPr>
    <w:rPr>
      <w:rFonts w:ascii="Calibri" w:cs="Calibri" w:eastAsia="Calibri" w:hAnsi="Calibri"/>
      <w:b w:val="1"/>
      <w:color w:val="000000"/>
      <w:sz w:val="26"/>
      <w:szCs w:val="26"/>
    </w:rPr>
  </w:style>
  <w:style w:type="paragraph" w:styleId="Heading4">
    <w:name w:val="heading 4"/>
    <w:basedOn w:val="Normal"/>
    <w:next w:val="Normal"/>
    <w:pPr>
      <w:keepNext w:val="1"/>
      <w:keepLines w:val="1"/>
      <w:pageBreakBefore w:val="0"/>
      <w:pBdr>
        <w:top w:space="0" w:sz="0" w:val="nil"/>
        <w:left w:space="0" w:sz="0" w:val="nil"/>
        <w:bottom w:space="0" w:sz="0" w:val="nil"/>
        <w:right w:space="0" w:sz="0" w:val="nil"/>
        <w:between w:space="0" w:sz="0" w:val="nil"/>
      </w:pBdr>
      <w:spacing w:after="40" w:before="240" w:lineRule="auto"/>
    </w:pPr>
    <w:rPr>
      <w:rFonts w:ascii="Calibri" w:cs="Calibri" w:eastAsia="Calibri" w:hAnsi="Calibri"/>
      <w:b w:val="1"/>
      <w:color w:val="000000"/>
    </w:rPr>
  </w:style>
  <w:style w:type="paragraph" w:styleId="Heading5">
    <w:name w:val="heading 5"/>
    <w:basedOn w:val="Normal"/>
    <w:next w:val="Normal"/>
    <w:pPr>
      <w:keepNext w:val="1"/>
      <w:keepLines w:val="1"/>
      <w:pageBreakBefore w:val="0"/>
      <w:pBdr>
        <w:top w:space="0" w:sz="0" w:val="nil"/>
        <w:left w:space="0" w:sz="0" w:val="nil"/>
        <w:bottom w:space="0" w:sz="0" w:val="nil"/>
        <w:right w:space="0" w:sz="0" w:val="nil"/>
        <w:between w:space="0" w:sz="0" w:val="nil"/>
      </w:pBdr>
      <w:spacing w:after="40" w:before="220"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pBdr>
        <w:top w:space="0" w:sz="0" w:val="nil"/>
        <w:left w:space="0" w:sz="0" w:val="nil"/>
        <w:bottom w:space="0" w:sz="0" w:val="nil"/>
        <w:right w:space="0" w:sz="0" w:val="nil"/>
        <w:between w:space="0" w:sz="0" w:val="nil"/>
      </w:pBdr>
      <w:spacing w:after="40" w:before="200" w:lineRule="auto"/>
    </w:pPr>
    <w:rPr>
      <w:rFonts w:ascii="Calibri" w:cs="Calibri" w:eastAsia="Calibri" w:hAnsi="Calibri"/>
      <w:b w:val="1"/>
      <w:color w:val="000000"/>
      <w:sz w:val="22"/>
      <w:szCs w:val="22"/>
    </w:rPr>
  </w:style>
  <w:style w:type="paragraph" w:styleId="Title">
    <w:name w:val="Title"/>
    <w:basedOn w:val="Normal"/>
    <w:next w:val="Normal"/>
    <w:pPr>
      <w:keepNext w:val="1"/>
      <w:keepLines w:val="1"/>
      <w:pageBreakBefore w:val="0"/>
      <w:pBdr>
        <w:top w:space="0" w:sz="0" w:val="nil"/>
        <w:left w:space="0" w:sz="0" w:val="nil"/>
        <w:bottom w:space="0" w:sz="0" w:val="nil"/>
        <w:right w:space="0" w:sz="0" w:val="nil"/>
        <w:between w:space="0" w:sz="0" w:val="nil"/>
      </w:pBdr>
      <w:spacing w:after="120" w:before="480"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Cambria" w:cs="Cambria" w:eastAsia="Cambria" w:hAnsi="Cambria"/>
      <w:sz w:val="24"/>
      <w:szCs w:val="2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2.xml"/><Relationship Id="rId20" Type="http://schemas.openxmlformats.org/officeDocument/2006/relationships/hyperlink" Target="https://docs.google.com/document/d/1HCc-7_pc917TzgJr_RHLqvsDw1cEgLqViOEWHZ1JisI/edit" TargetMode="External"/><Relationship Id="rId41" Type="http://schemas.openxmlformats.org/officeDocument/2006/relationships/footer" Target="footer3.xml"/><Relationship Id="rId22" Type="http://schemas.openxmlformats.org/officeDocument/2006/relationships/hyperlink" Target="https://docs.google.com/document/d/1f6l_jpdKVNNAwX1kddwxRzGkUTqZ2mJB81fH7-faVvE/edit" TargetMode="External"/><Relationship Id="rId21" Type="http://schemas.openxmlformats.org/officeDocument/2006/relationships/hyperlink" Target="https://drive.google.com/file/d/0B_YE8dWRQWQAY0hKTm5yNzkwTEU/view" TargetMode="External"/><Relationship Id="rId24" Type="http://schemas.openxmlformats.org/officeDocument/2006/relationships/hyperlink" Target="https://docs.google.com/document/d/1zXPgLNHcqsvsIPRgz7YFQcB4_qlG8__WIaRTYkJrCww/edit" TargetMode="External"/><Relationship Id="rId23" Type="http://schemas.openxmlformats.org/officeDocument/2006/relationships/hyperlink" Target="https://docs.google.com/document/d/1PikTxjDKvKLF-_g6eWjg_fZ12t33tWL8LLXmvUN-c4c/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fr.gov/cgi-bin/text-idx?SID=21a8457a1789d118dcdce055ca195995&amp;mc=true&amp;tpl=/ecfrbrowse/Title34/34cfr99_main_02.tpl" TargetMode="External"/><Relationship Id="rId26" Type="http://schemas.openxmlformats.org/officeDocument/2006/relationships/hyperlink" Target="https://docs.google.com/document/d/1zXPgLNHcqsvsIPRgz7YFQcB4_qlG8__WIaRTYkJrCww/edit" TargetMode="External"/><Relationship Id="rId25" Type="http://schemas.openxmlformats.org/officeDocument/2006/relationships/hyperlink" Target="https://docs.google.com/document/d/1zXPgLNHcqsvsIPRgz7YFQcB4_qlG8__WIaRTYkJrCww/edit" TargetMode="External"/><Relationship Id="rId28" Type="http://schemas.openxmlformats.org/officeDocument/2006/relationships/hyperlink" Target="https://docs.google.com/document/d/1ONwLqj0jaSvrdlQEA35qzfLK4GdAdGTbsxcn0rOORPk/edit" TargetMode="External"/><Relationship Id="rId27" Type="http://schemas.openxmlformats.org/officeDocument/2006/relationships/hyperlink" Target="https://docs.google.com/document/d/1sN874DMvQfPY24hWqvHQ4hiNCSNhvbTXMk5xYC-FH1Q/edit?usp=sharing" TargetMode="External"/><Relationship Id="rId5" Type="http://schemas.openxmlformats.org/officeDocument/2006/relationships/styles" Target="styles.xml"/><Relationship Id="rId6" Type="http://schemas.openxmlformats.org/officeDocument/2006/relationships/hyperlink" Target="https://www.law.cornell.edu/uscode/text/20/1232g" TargetMode="External"/><Relationship Id="rId29" Type="http://schemas.openxmlformats.org/officeDocument/2006/relationships/hyperlink" Target="https://docs.google.com/document/d/1_Im9iujOTJ_kIkbDNMfBABWkPYysFLustW4ia0mLoHs/edit#" TargetMode="External"/><Relationship Id="rId7" Type="http://schemas.openxmlformats.org/officeDocument/2006/relationships/hyperlink" Target="https://wdr.doleta.gov/directives/attach/UIPL/UIPL_14-17.pdf" TargetMode="External"/><Relationship Id="rId8" Type="http://schemas.openxmlformats.org/officeDocument/2006/relationships/hyperlink" Target="https://www.ecfr.gov/cgi-bin/text-idx?SID=21a8457a1789d118dcdce055ca195995&amp;mc=true&amp;tpl=/ecfrbrowse/Title34/34cfr99_main_02.tpl" TargetMode="External"/><Relationship Id="rId31" Type="http://schemas.openxmlformats.org/officeDocument/2006/relationships/hyperlink" Target="https://docs.google.com/document/d/1JuZsHks1hhexjJwbSd4gwmUvMYGzYoTha6E1BJkYTZI/edit" TargetMode="External"/><Relationship Id="rId30" Type="http://schemas.openxmlformats.org/officeDocument/2006/relationships/hyperlink" Target="https://docs.google.com/spreadsheets/d/1_rOCVJux4kfzYjs6963l2MYuLN3iSF0hYZH01BmvYbU/edit#gid=1266995384" TargetMode="External"/><Relationship Id="rId11" Type="http://schemas.openxmlformats.org/officeDocument/2006/relationships/hyperlink" Target="http://ets.wyo.gov/resources/policies-and-standards/10000-general" TargetMode="External"/><Relationship Id="rId33" Type="http://schemas.openxmlformats.org/officeDocument/2006/relationships/hyperlink" Target="https://studentprivacy.ed.gov/resources/integrated-data-systems-and-student-privacy" TargetMode="External"/><Relationship Id="rId10" Type="http://schemas.openxmlformats.org/officeDocument/2006/relationships/hyperlink" Target="https://nvlpubs.nist.gov/nistpubs/SpecialPublications/NIST.SP.800-171r2.pdf" TargetMode="External"/><Relationship Id="rId32" Type="http://schemas.openxmlformats.org/officeDocument/2006/relationships/hyperlink" Target="https://www2.ed.gov/policy/gen/guid/fpco/ferpa/index.html" TargetMode="External"/><Relationship Id="rId13" Type="http://schemas.openxmlformats.org/officeDocument/2006/relationships/hyperlink" Target="https://drive.google.com/file/d/0B_YE8dWRQWQAY0hKTm5yNzkwTEU/view" TargetMode="External"/><Relationship Id="rId35" Type="http://schemas.openxmlformats.org/officeDocument/2006/relationships/hyperlink" Target="https://nvlpubs.nist.gov/nistpubs/SpecialPublications/NIST.SP.800-171r2.pdf" TargetMode="External"/><Relationship Id="rId12" Type="http://schemas.openxmlformats.org/officeDocument/2006/relationships/hyperlink" Target="https://docs.google.com/document/d/1HCc-7_pc917TzgJr_RHLqvsDw1cEgLqViOEWHZ1JisI/edit" TargetMode="External"/><Relationship Id="rId34" Type="http://schemas.openxmlformats.org/officeDocument/2006/relationships/hyperlink" Target="https://studentprivacy.ed.gov/sites/default/files/resource_document/file/FERPA%20Exceptions_HANDOUT_portrait.pdf" TargetMode="External"/><Relationship Id="rId15" Type="http://schemas.openxmlformats.org/officeDocument/2006/relationships/hyperlink" Target="http://ets.wyo.gov/resources/policies-and-standards/08000-documents" TargetMode="External"/><Relationship Id="rId37" Type="http://schemas.openxmlformats.org/officeDocument/2006/relationships/header" Target="header2.xml"/><Relationship Id="rId14" Type="http://schemas.openxmlformats.org/officeDocument/2006/relationships/hyperlink" Target="http://ets.wyo.gov/resources/policies-and-standards/09000-security" TargetMode="External"/><Relationship Id="rId36" Type="http://schemas.openxmlformats.org/officeDocument/2006/relationships/header" Target="header1.xml"/><Relationship Id="rId17" Type="http://schemas.openxmlformats.org/officeDocument/2006/relationships/hyperlink" Target="http://ets.wyo.gov/resources/policies-and-standards/03000-plans" TargetMode="External"/><Relationship Id="rId39" Type="http://schemas.openxmlformats.org/officeDocument/2006/relationships/footer" Target="footer1.xml"/><Relationship Id="rId16" Type="http://schemas.openxmlformats.org/officeDocument/2006/relationships/hyperlink" Target="http://ets.wyo.gov/resources/policies-and-standards/04000-facilities" TargetMode="External"/><Relationship Id="rId38" Type="http://schemas.openxmlformats.org/officeDocument/2006/relationships/header" Target="header3.xml"/><Relationship Id="rId19" Type="http://schemas.openxmlformats.org/officeDocument/2006/relationships/hyperlink" Target="https://docs.google.com/document/d/1xzbGwaLuGBXsCszyqfgRkUp8PBzDamCquErEhI1EHzI/edit" TargetMode="External"/><Relationship Id="rId18" Type="http://schemas.openxmlformats.org/officeDocument/2006/relationships/hyperlink" Target="http://ets.wyo.gov/resources/policies-and-stand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