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GREEK HISTORY ANSWER KEY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TIE-BREAKERS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