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338" w:lineRule="auto"/>
        <w:ind w:left="0" w:firstLine="0"/>
        <w:rPr/>
      </w:pPr>
      <w:r w:rsidDel="00000000" w:rsidR="00000000" w:rsidRPr="00000000">
        <w:rPr>
          <w:rtl w:val="0"/>
        </w:rPr>
        <w:t xml:space="preserve">Kuthetha Nathi / Talk to Us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1270" cy="12700"/>
                <wp:effectExtent b="0" l="0" r="0" t="0"/>
                <wp:wrapTopAndBottom distB="0" distT="0"/>
                <wp:docPr id="14" name=""/>
                <a:graphic>
                  <a:graphicData uri="http://schemas.microsoft.com/office/word/2010/wordprocessingShape">
                    <wps:wsp>
                      <wps:cNvSpPr/>
                      <wps:cNvPr id="3" name="Shape 3"/>
                      <wps:spPr>
                        <a:xfrm>
                          <a:off x="2520250" y="3779365"/>
                          <a:ext cx="5651500" cy="1270"/>
                        </a:xfrm>
                        <a:custGeom>
                          <a:rect b="b" l="l" r="r" t="t"/>
                          <a:pathLst>
                            <a:path extrusionOk="0" h="120000" w="5651500">
                              <a:moveTo>
                                <a:pt x="0" y="0"/>
                              </a:moveTo>
                              <a:lnTo>
                                <a:pt x="5651496" y="0"/>
                              </a:lnTo>
                            </a:path>
                          </a:pathLst>
                        </a:custGeom>
                        <a:noFill/>
                        <a:ln cap="flat" cmpd="sng" w="12675">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1270" cy="12700"/>
                <wp:effectExtent b="0" l="0" r="0" t="0"/>
                <wp:wrapTopAndBottom distB="0" distT="0"/>
                <wp:docPr id="1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9"/>
        </w:tabs>
        <w:spacing w:after="0" w:before="1" w:line="240" w:lineRule="auto"/>
        <w:ind w:left="399" w:right="0" w:hanging="376"/>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CLIENT INFORMATION</w:t>
      </w:r>
    </w:p>
    <w:p w:rsidR="00000000" w:rsidDel="00000000" w:rsidP="00000000" w:rsidRDefault="00000000" w:rsidRPr="00000000" w14:paraId="00000006">
      <w:pPr>
        <w:spacing w:before="338" w:lineRule="auto"/>
        <w:ind w:left="23" w:firstLine="0"/>
        <w:rPr>
          <w:b w:val="1"/>
          <w:sz w:val="26"/>
          <w:szCs w:val="26"/>
        </w:rPr>
      </w:pPr>
      <w:r w:rsidDel="00000000" w:rsidR="00000000" w:rsidRPr="00000000">
        <w:rPr>
          <w:b w:val="1"/>
          <w:sz w:val="26"/>
          <w:szCs w:val="26"/>
          <w:rtl w:val="0"/>
        </w:rPr>
        <w:t xml:space="preserve">Personal Details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00.0" w:type="dxa"/>
        <w:jc w:val="left"/>
        <w:tblInd w:w="4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00"/>
        <w:gridCol w:w="4500"/>
        <w:tblGridChange w:id="0">
          <w:tblGrid>
            <w:gridCol w:w="4500"/>
            <w:gridCol w:w="4500"/>
          </w:tblGrid>
        </w:tblGridChange>
      </w:tblGrid>
      <w:tr>
        <w:trPr>
          <w:cantSplit w:val="0"/>
          <w:trHeight w:val="459"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w:t>
            </w:r>
          </w:p>
        </w:tc>
      </w:tr>
      <w:tr>
        <w:trPr>
          <w:cantSplit w:val="0"/>
          <w:trHeight w:val="460"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Number</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w:t>
            </w:r>
          </w:p>
        </w:tc>
      </w:tr>
      <w:tr>
        <w:trPr>
          <w:cantSplit w:val="0"/>
          <w:trHeight w:val="460"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Nationality</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Occupation</w:t>
            </w:r>
          </w:p>
        </w:tc>
      </w:tr>
      <w:tr>
        <w:trPr>
          <w:cantSplit w:val="0"/>
          <w:trHeight w:val="46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Cell Phone</w:t>
            </w:r>
          </w:p>
        </w:tc>
      </w:tr>
      <w:tr>
        <w:trPr>
          <w:cantSplit w:val="0"/>
          <w:trHeight w:val="460"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Cell</w:t>
            </w:r>
          </w:p>
        </w:tc>
      </w:tr>
      <w:tr>
        <w:trPr>
          <w:cantSplit w:val="0"/>
          <w:trHeight w:val="460"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Contact</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Referred by:</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pStyle w:val="Heading1"/>
        <w:tabs>
          <w:tab w:val="left" w:leader="none" w:pos="399"/>
        </w:tabs>
        <w:spacing w:before="210" w:line="276" w:lineRule="auto"/>
        <w:ind w:right="1622" w:hanging="23"/>
        <w:rPr/>
      </w:pPr>
      <w:r w:rsidDel="00000000" w:rsidR="00000000" w:rsidRPr="00000000">
        <w:rPr>
          <w:rtl w:val="0"/>
        </w:rPr>
        <w:t xml:space="preserve"> </w:t>
      </w:r>
    </w:p>
    <w:p w:rsidR="00000000" w:rsidDel="00000000" w:rsidP="00000000" w:rsidRDefault="00000000" w:rsidRPr="00000000" w14:paraId="00000017">
      <w:pPr>
        <w:pStyle w:val="Heading1"/>
        <w:numPr>
          <w:ilvl w:val="0"/>
          <w:numId w:val="2"/>
        </w:numPr>
        <w:tabs>
          <w:tab w:val="left" w:leader="none" w:pos="399"/>
        </w:tabs>
        <w:spacing w:before="210" w:line="276" w:lineRule="auto"/>
        <w:ind w:left="23" w:right="1622" w:firstLine="0"/>
        <w:rPr/>
      </w:pPr>
      <w:r w:rsidDel="00000000" w:rsidR="00000000" w:rsidRPr="00000000">
        <w:rPr>
          <w:rtl w:val="0"/>
        </w:rPr>
        <w:t xml:space="preserve">INFORMED CONSENT &amp; CONFIDENTIALITY AGREEMENT</w:t>
      </w:r>
    </w:p>
    <w:p w:rsidR="00000000" w:rsidDel="00000000" w:rsidP="00000000" w:rsidRDefault="00000000" w:rsidRPr="00000000" w14:paraId="00000018">
      <w:pPr>
        <w:pStyle w:val="Heading2"/>
        <w:spacing w:before="280" w:lineRule="auto"/>
        <w:ind w:firstLine="23"/>
        <w:rPr/>
      </w:pPr>
      <w:r w:rsidDel="00000000" w:rsidR="00000000" w:rsidRPr="00000000">
        <w:rPr>
          <w:rtl w:val="0"/>
        </w:rPr>
        <w:t xml:space="preserve">Exploration Phase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effective counselling, I will conduct an initial assessment that may include questions about your symptoms, personal history, relationships, and lifestyle. Some of these may be personal. In some cases, I may request permission to interview people who know you. After this assessment, we will discuss a future treatment plan. This process generally takes about two sessions but may be longer if needed.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spacing w:before="1" w:lineRule="auto"/>
        <w:ind w:firstLine="23"/>
        <w:rPr/>
      </w:pPr>
      <w:r w:rsidDel="00000000" w:rsidR="00000000" w:rsidRPr="00000000">
        <w:rPr>
          <w:rtl w:val="0"/>
        </w:rPr>
        <w:t xml:space="preserve">Counselling Process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 w:line="276" w:lineRule="auto"/>
        <w:ind w:left="23"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Counselling aims to facilitate change, insight, and personal growth. It may bring long-term benefits but can also be an emotional and sometimes unsettling experience. Various therapeutic modalities may be used, including behavioural, psychodynamic, systemic, and/or other evidence-based approaches. As counselling proceeds, changes may affect relationships with others, sometimes leading to interpersonal tension. The success of counselling depends on many factors, including your active participation and responsibility in implementing changes.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 w:line="276" w:lineRule="auto"/>
        <w:ind w:left="23" w:right="0" w:firstLine="0"/>
        <w:jc w:val="left"/>
        <w:rPr/>
      </w:pPr>
      <w:r w:rsidDel="00000000" w:rsidR="00000000" w:rsidRPr="00000000">
        <w:rPr>
          <w:rtl w:val="0"/>
        </w:rPr>
      </w:r>
    </w:p>
    <w:p w:rsidR="00000000" w:rsidDel="00000000" w:rsidP="00000000" w:rsidRDefault="00000000" w:rsidRPr="00000000" w14:paraId="0000001E">
      <w:pPr>
        <w:pStyle w:val="Heading2"/>
        <w:spacing w:before="98" w:lineRule="auto"/>
        <w:ind w:firstLine="23"/>
        <w:rPr/>
      </w:pPr>
      <w:r w:rsidDel="00000000" w:rsidR="00000000" w:rsidRPr="00000000">
        <w:rPr>
          <w:rtl w:val="0"/>
        </w:rPr>
        <w:t xml:space="preserve">Contact Outside Counselling</w:t>
      </w:r>
    </w:p>
    <w:p w:rsidR="00000000" w:rsidDel="00000000" w:rsidP="00000000" w:rsidRDefault="00000000" w:rsidRPr="00000000" w14:paraId="0000001F">
      <w:pPr>
        <w:spacing w:before="285" w:line="276" w:lineRule="auto"/>
        <w:ind w:left="23" w:right="111" w:firstLine="0"/>
        <w:rPr/>
      </w:pPr>
      <w:r w:rsidDel="00000000" w:rsidR="00000000" w:rsidRPr="00000000">
        <w:rPr>
          <w:rtl w:val="0"/>
        </w:rPr>
        <w:t xml:space="preserve">For queries, please contact the </w:t>
      </w:r>
      <w:r w:rsidDel="00000000" w:rsidR="00000000" w:rsidRPr="00000000">
        <w:rPr>
          <w:b w:val="1"/>
          <w:rtl w:val="0"/>
        </w:rPr>
        <w:t xml:space="preserve">Kuthetha Nathi reception (021 286 9310)</w:t>
      </w:r>
      <w:r w:rsidDel="00000000" w:rsidR="00000000" w:rsidRPr="00000000">
        <w:rPr>
          <w:rtl w:val="0"/>
        </w:rPr>
        <w:t xml:space="preserve">. Your query will be answered as soon as possible. In emergencies, please call the </w:t>
      </w:r>
      <w:r w:rsidDel="00000000" w:rsidR="00000000" w:rsidRPr="00000000">
        <w:rPr>
          <w:b w:val="1"/>
          <w:rtl w:val="0"/>
        </w:rPr>
        <w:t xml:space="preserve">South African Depression and Anxiety Group (SADAG) by calling toll-free 0800 567 567</w:t>
      </w:r>
      <w:r w:rsidDel="00000000" w:rsidR="00000000" w:rsidRPr="00000000">
        <w:rPr>
          <w:rtl w:val="0"/>
        </w:rPr>
        <w:t xml:space="preserve">, or send an </w:t>
      </w:r>
      <w:r w:rsidDel="00000000" w:rsidR="00000000" w:rsidRPr="00000000">
        <w:rPr>
          <w:b w:val="1"/>
          <w:rtl w:val="0"/>
        </w:rPr>
        <w:t xml:space="preserve">SMS to 31393 </w:t>
      </w:r>
      <w:r w:rsidDel="00000000" w:rsidR="00000000" w:rsidRPr="00000000">
        <w:rPr>
          <w:rtl w:val="0"/>
        </w:rPr>
        <w:t xml:space="preserve">for a callback.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ind w:firstLine="23"/>
        <w:rPr/>
      </w:pPr>
      <w:r w:rsidDel="00000000" w:rsidR="00000000" w:rsidRPr="00000000">
        <w:rPr>
          <w:rtl w:val="0"/>
        </w:rPr>
        <w:t xml:space="preserve">Confidentiality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1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information shared during counselling is confidential except in the following circumstances: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40" w:line="276" w:lineRule="auto"/>
        <w:ind w:left="743" w:right="81"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of harm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there is a real risk that you may harm yourself, others, or animals, I am required to take appropriate steps to prevent harm, which may include breaching confidentiality.</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1058"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Legal requirements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required by law, such as a court order or statutory obligation, I must disclose information.</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361"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Supervision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Depending on the therapist, I am either registered with the HPCSA myself or receive supervision from an HPCSA registered practitioner. As such, sessions may be audio-recorded and reviewed confidentially in supervision.</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116"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processes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Personal information may be accessed by the practice manager for scheduling, billing, or operational purposes in compliance with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POPI Act 4 of 2013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153"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clients under 14 years of age, general updates may be shared with parents or guardians, but specific session content remains confidential unless safety concerns arise.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ind w:firstLine="23"/>
        <w:rPr/>
      </w:pPr>
      <w:r w:rsidDel="00000000" w:rsidR="00000000" w:rsidRPr="00000000">
        <w:rPr>
          <w:rtl w:val="0"/>
        </w:rPr>
        <w:t xml:space="preserve">Record-Keeping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33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notes and client records will be securely stored for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six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per professional guidelines. Thereafter, they may be destroyed. I consent to my information being stored in password-encrypted digital files. Appointments may be recorded on a password-protected electronic calendar.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ind w:firstLine="23"/>
        <w:rPr/>
      </w:pPr>
      <w:r w:rsidDel="00000000" w:rsidR="00000000" w:rsidRPr="00000000">
        <w:rPr>
          <w:rtl w:val="0"/>
        </w:rPr>
        <w:t xml:space="preserve">Session Duration &amp; Costs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92" w:firstLine="0"/>
        <w:jc w:val="left"/>
        <w:rPr/>
        <w:sectPr>
          <w:headerReference r:id="rId8" w:type="default"/>
          <w:headerReference r:id="rId9" w:type="first"/>
          <w:headerReference r:id="rId10" w:type="even"/>
          <w:footerReference r:id="rId11" w:type="default"/>
          <w:footerReference r:id="rId12" w:type="first"/>
          <w:footerReference r:id="rId13" w:type="even"/>
          <w:pgSz w:h="16840" w:w="11920" w:orient="portrait"/>
          <w:pgMar w:bottom="280" w:top="2000" w:left="1417" w:right="1417" w:header="750" w:footer="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Sessions typically last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minutes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Either party may terminate counselling at any stage. The maximum session limit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sessions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unless formally agreed otherwise. Fees are outlined in the financial contract. Missed appointments may be charged as per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Consumer Protection Act, No. 68 of 2008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Unpaid balances beyond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be referred to a debt collector.</w:t>
      </w:r>
      <w:r w:rsidDel="00000000" w:rsidR="00000000" w:rsidRPr="00000000">
        <w:rPr>
          <w:rtl w:val="0"/>
        </w:rPr>
      </w:r>
    </w:p>
    <w:p w:rsidR="00000000" w:rsidDel="00000000" w:rsidP="00000000" w:rsidRDefault="00000000" w:rsidRPr="00000000" w14:paraId="00000030">
      <w:pPr>
        <w:pStyle w:val="Heading2"/>
        <w:spacing w:before="98" w:lineRule="auto"/>
        <w:ind w:firstLine="23"/>
        <w:rPr/>
      </w:pPr>
      <w:r w:rsidDel="00000000" w:rsidR="00000000" w:rsidRPr="00000000">
        <w:rPr>
          <w:rtl w:val="0"/>
        </w:rPr>
        <w:t xml:space="preserve">Acknowledgment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acknowledge that I have read and understood the confidentiality policy and counselling terms.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Signature: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143125" cy="335280"/>
            <wp:effectExtent b="0" l="0" r="0" t="0"/>
            <wp:docPr id="1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143125" cy="33528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796540" cy="350520"/>
            <wp:effectExtent b="0" l="0" r="0" t="0"/>
            <wp:docPr id="1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796540" cy="35052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Counsellor Signature: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1784985" cy="342900"/>
            <wp:effectExtent b="0" l="0" r="0" t="0"/>
            <wp:docPr id="1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78498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781300" cy="327660"/>
            <wp:effectExtent b="0" l="0" r="0" t="0"/>
            <wp:docPr id="20"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781300" cy="32766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254000</wp:posOffset>
                </wp:positionV>
                <wp:extent cx="1270" cy="12700"/>
                <wp:effectExtent b="0" l="0" r="0" t="0"/>
                <wp:wrapTopAndBottom distB="0" distT="0"/>
                <wp:docPr id="13" name=""/>
                <a:graphic>
                  <a:graphicData uri="http://schemas.microsoft.com/office/word/2010/wordprocessingShape">
                    <wps:wsp>
                      <wps:cNvSpPr/>
                      <wps:cNvPr id="2" name="Shape 2"/>
                      <wps:spPr>
                        <a:xfrm>
                          <a:off x="2520250" y="3779365"/>
                          <a:ext cx="5651500" cy="1270"/>
                        </a:xfrm>
                        <a:custGeom>
                          <a:rect b="b" l="l" r="r" t="t"/>
                          <a:pathLst>
                            <a:path extrusionOk="0" h="120000" w="5651500">
                              <a:moveTo>
                                <a:pt x="0" y="0"/>
                              </a:moveTo>
                              <a:lnTo>
                                <a:pt x="5651496" y="0"/>
                              </a:lnTo>
                            </a:path>
                          </a:pathLst>
                        </a:custGeom>
                        <a:noFill/>
                        <a:ln cap="flat" cmpd="sng" w="12675">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254000</wp:posOffset>
                </wp:positionV>
                <wp:extent cx="1270" cy="1270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0"/>
          <w:numId w:val="2"/>
        </w:numPr>
        <w:tabs>
          <w:tab w:val="left" w:leader="none" w:pos="399"/>
        </w:tabs>
        <w:ind w:left="399" w:hanging="376"/>
        <w:rPr/>
      </w:pPr>
      <w:r w:rsidDel="00000000" w:rsidR="00000000" w:rsidRPr="00000000">
        <w:rPr>
          <w:rtl w:val="0"/>
        </w:rPr>
        <w:t xml:space="preserve">FINANCIAL AGREEMENT &amp; INDEMNITY</w:t>
      </w:r>
    </w:p>
    <w:p w:rsidR="00000000" w:rsidDel="00000000" w:rsidP="00000000" w:rsidRDefault="00000000" w:rsidRPr="00000000" w14:paraId="0000003A">
      <w:pPr>
        <w:pStyle w:val="Heading2"/>
        <w:spacing w:before="338" w:lineRule="auto"/>
        <w:ind w:firstLine="23"/>
        <w:rPr/>
      </w:pPr>
      <w:r w:rsidDel="00000000" w:rsidR="00000000" w:rsidRPr="00000000">
        <w:rPr>
          <w:rtl w:val="0"/>
        </w:rPr>
        <w:t xml:space="preserve">Fee Structure &amp; Payment Terms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are based on a sliding scale as agreed in the first session. You may be asked to bring your payslip to prove your earnings. Payments must be made upfront, and missed appointments may be charged.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2"/>
        <w:ind w:firstLine="23"/>
        <w:rPr/>
      </w:pPr>
      <w:r w:rsidDel="00000000" w:rsidR="00000000" w:rsidRPr="00000000">
        <w:rPr>
          <w:rtl w:val="0"/>
        </w:rPr>
        <w:t xml:space="preserve">Contractual Undertaking</w:t>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85" w:line="276" w:lineRule="auto"/>
        <w:ind w:left="743" w:right="71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Payments are due at the time of service. Unpaid accounts may be sent to debt collection.</w:t>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s>
        <w:spacing w:after="0" w:before="0" w:line="240" w:lineRule="auto"/>
        <w:ind w:left="741"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Cancellations require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hours' working days’ notice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avoid being charged.</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s>
        <w:spacing w:after="0" w:before="38" w:line="240" w:lineRule="auto"/>
        <w:ind w:left="741"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Counselling costs may increase at the discretion of the service provider.</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1"/>
        </w:tabs>
        <w:spacing w:after="0" w:before="38" w:line="240" w:lineRule="auto"/>
        <w:ind w:left="741" w:right="0" w:hanging="35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acknowledge personal responsibility for all payments.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ind w:firstLine="23"/>
        <w:rPr/>
      </w:pPr>
      <w:r w:rsidDel="00000000" w:rsidR="00000000" w:rsidRPr="00000000">
        <w:rPr>
          <w:rtl w:val="0"/>
        </w:rPr>
        <w:t xml:space="preserve">Indemnity Clause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276"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counselling may involve emotional distress, difficult discussions, and potential psychological discomfort. I acknowledge that I am voluntarily participating in counselling and accept full responsibility for my emotional and psychological well-being throughout the process.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3" w:right="1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waive any claims against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Kuthetha Nathi/Talk to 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counsellors, employees, or associates for any emotional distress, injury, illness, or harm sustained before, during, or after counselling sessions. I further acknowledge:</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98" w:line="276" w:lineRule="auto"/>
        <w:ind w:left="743" w:right="146"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and Psychological Risks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Counselling is not a substitute for medical or psychiatric care. If I require medical treatment, I will seek care from a registered medical professional.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Voluntary Participation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am engaging in counselling of my own free will and may discontinue at any time. However, I am responsible for any outstanding payments or cancellation fees.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33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Environment Risks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While all precautions are taken, I accept that the premises where counselling takes place may present physical risks (eg., falls, infections such as COVID-19). I agree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Kuthetha Nathi/Talk to 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not liable for any injuries, illnesses, or accidents that occur.</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0" w:line="276" w:lineRule="auto"/>
        <w:ind w:left="743" w:right="446"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Guarantees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acknowledge that the counselling process has no guaranteed outcomes, and any changes in my mental health, relationships, or personal development are my responsibility.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Signature: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202180" cy="342900"/>
            <wp:effectExtent b="0" l="0" r="0" t="0"/>
            <wp:docPr id="1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20218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880360" cy="335280"/>
            <wp:effectExtent b="0" l="0" r="0" t="0"/>
            <wp:docPr id="2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880360" cy="33528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Counsellor Signature: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1838132" cy="342900"/>
            <wp:effectExtent b="0" l="0" r="0" t="0"/>
            <wp:docPr id="2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838132"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23"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856747" cy="371475"/>
            <wp:effectExtent b="0" l="0" r="0" t="0"/>
            <wp:docPr id="2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856747"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254000</wp:posOffset>
                </wp:positionV>
                <wp:extent cx="1270" cy="12700"/>
                <wp:effectExtent b="0" l="0" r="0" t="0"/>
                <wp:wrapTopAndBottom distB="0" distT="0"/>
                <wp:docPr id="15" name=""/>
                <a:graphic>
                  <a:graphicData uri="http://schemas.microsoft.com/office/word/2010/wordprocessingShape">
                    <wps:wsp>
                      <wps:cNvSpPr/>
                      <wps:cNvPr id="4" name="Shape 4"/>
                      <wps:spPr>
                        <a:xfrm>
                          <a:off x="2520250" y="3779365"/>
                          <a:ext cx="5651500" cy="1270"/>
                        </a:xfrm>
                        <a:custGeom>
                          <a:rect b="b" l="l" r="r" t="t"/>
                          <a:pathLst>
                            <a:path extrusionOk="0" h="120000" w="5651500">
                              <a:moveTo>
                                <a:pt x="0" y="0"/>
                              </a:moveTo>
                              <a:lnTo>
                                <a:pt x="5651496" y="0"/>
                              </a:lnTo>
                            </a:path>
                          </a:pathLst>
                        </a:custGeom>
                        <a:noFill/>
                        <a:ln cap="flat" cmpd="sng" w="12675">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254000</wp:posOffset>
                </wp:positionV>
                <wp:extent cx="1270" cy="12700"/>
                <wp:effectExtent b="0" l="0" r="0" t="0"/>
                <wp:wrapTopAndBottom distB="0" distT="0"/>
                <wp:docPr id="1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consolidates your rights, responsibilities, confidentiality agreement, and financial terms. If you have any questions, please ask before signing.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Disclaimer: This document and its contents may contain confidential and proprietary information. It is intended solely for the designated recipient. If you are not the intended recipient, please notify the sender immediately and delete this document. Unauthorized disclosure, reproduction, or distribution is prohibited.</w:t>
      </w:r>
    </w:p>
    <w:sectPr>
      <w:type w:val="nextPage"/>
      <w:pgSz w:h="16840" w:w="11920" w:orient="portrait"/>
      <w:pgMar w:bottom="280" w:top="2000" w:left="1417" w:right="1417" w:header="75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tabs>
        <w:tab w:val="center" w:leader="none" w:pos="4550"/>
        <w:tab w:val="left" w:leader="none" w:pos="5818"/>
      </w:tabs>
      <w:ind w:right="260"/>
      <w:jc w:val="right"/>
      <w:rPr>
        <w:sz w:val="24"/>
        <w:szCs w:val="24"/>
      </w:rPr>
    </w:pPr>
    <w:r w:rsidDel="00000000" w:rsidR="00000000" w:rsidRPr="00000000">
      <w:rPr>
        <w:sz w:val="24"/>
        <w:szCs w:val="24"/>
        <w:rtl w:val="0"/>
      </w:rPr>
      <w:t xml:space="preserve">Page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24"/>
        <w:szCs w:val="24"/>
        <w:rtl w:val="0"/>
      </w:rPr>
      <w:t xml:space="preserve"> |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widowControl w:val="1"/>
      <w:spacing w:after="240" w:before="240"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rPr>
      <w:drawing>
        <wp:inline distB="114300" distT="114300" distL="114300" distR="114300">
          <wp:extent cx="1646331" cy="976313"/>
          <wp:effectExtent b="0" l="0" r="0" t="0"/>
          <wp:docPr id="2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646331" cy="97631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rFonts w:ascii="Arial" w:cs="Arial" w:eastAsia="Arial" w:hAnsi="Arial"/>
        <w:b w:val="0"/>
        <w:i w:val="0"/>
        <w:sz w:val="22"/>
        <w:szCs w:val="22"/>
      </w:rPr>
    </w:lvl>
    <w:lvl w:ilvl="1">
      <w:start w:val="0"/>
      <w:numFmt w:val="bullet"/>
      <w:lvlText w:val="•"/>
      <w:lvlJc w:val="left"/>
      <w:pPr>
        <w:ind w:left="1574" w:hanging="360"/>
      </w:pPr>
      <w:rPr/>
    </w:lvl>
    <w:lvl w:ilvl="2">
      <w:start w:val="0"/>
      <w:numFmt w:val="bullet"/>
      <w:lvlText w:val="•"/>
      <w:lvlJc w:val="left"/>
      <w:pPr>
        <w:ind w:left="2409" w:hanging="360"/>
      </w:pPr>
      <w:rPr/>
    </w:lvl>
    <w:lvl w:ilvl="3">
      <w:start w:val="0"/>
      <w:numFmt w:val="bullet"/>
      <w:lvlText w:val="•"/>
      <w:lvlJc w:val="left"/>
      <w:pPr>
        <w:ind w:left="3243" w:hanging="360"/>
      </w:pPr>
      <w:rPr/>
    </w:lvl>
    <w:lvl w:ilvl="4">
      <w:start w:val="0"/>
      <w:numFmt w:val="bullet"/>
      <w:lvlText w:val="•"/>
      <w:lvlJc w:val="left"/>
      <w:pPr>
        <w:ind w:left="4078" w:hanging="360"/>
      </w:pPr>
      <w:rPr/>
    </w:lvl>
    <w:lvl w:ilvl="5">
      <w:start w:val="0"/>
      <w:numFmt w:val="bullet"/>
      <w:lvlText w:val="•"/>
      <w:lvlJc w:val="left"/>
      <w:pPr>
        <w:ind w:left="4913" w:hanging="360"/>
      </w:pPr>
      <w:rPr/>
    </w:lvl>
    <w:lvl w:ilvl="6">
      <w:start w:val="0"/>
      <w:numFmt w:val="bullet"/>
      <w:lvlText w:val="•"/>
      <w:lvlJc w:val="left"/>
      <w:pPr>
        <w:ind w:left="5747" w:hanging="360"/>
      </w:pPr>
      <w:rPr/>
    </w:lvl>
    <w:lvl w:ilvl="7">
      <w:start w:val="0"/>
      <w:numFmt w:val="bullet"/>
      <w:lvlText w:val="•"/>
      <w:lvlJc w:val="left"/>
      <w:pPr>
        <w:ind w:left="6582" w:hanging="360"/>
      </w:pPr>
      <w:rPr/>
    </w:lvl>
    <w:lvl w:ilvl="8">
      <w:start w:val="0"/>
      <w:numFmt w:val="bullet"/>
      <w:lvlText w:val="•"/>
      <w:lvlJc w:val="left"/>
      <w:pPr>
        <w:ind w:left="7416" w:hanging="360"/>
      </w:pPr>
      <w:rPr/>
    </w:lvl>
  </w:abstractNum>
  <w:abstractNum w:abstractNumId="2">
    <w:lvl w:ilvl="0">
      <w:start w:val="1"/>
      <w:numFmt w:val="decimal"/>
      <w:lvlText w:val="%1."/>
      <w:lvlJc w:val="left"/>
      <w:pPr>
        <w:ind w:left="400" w:hanging="378"/>
      </w:pPr>
      <w:rPr>
        <w:rFonts w:ascii="Arial" w:cs="Arial" w:eastAsia="Arial" w:hAnsi="Arial"/>
        <w:b w:val="1"/>
        <w:i w:val="0"/>
        <w:sz w:val="34"/>
        <w:szCs w:val="34"/>
      </w:rPr>
    </w:lvl>
    <w:lvl w:ilvl="1">
      <w:start w:val="1"/>
      <w:numFmt w:val="decimal"/>
      <w:lvlText w:val="%2."/>
      <w:lvlJc w:val="left"/>
      <w:pPr>
        <w:ind w:left="743" w:hanging="360"/>
      </w:pPr>
      <w:rPr>
        <w:rFonts w:ascii="Arial" w:cs="Arial" w:eastAsia="Arial" w:hAnsi="Arial"/>
        <w:b w:val="0"/>
        <w:i w:val="0"/>
        <w:sz w:val="22"/>
        <w:szCs w:val="22"/>
      </w:rPr>
    </w:lvl>
    <w:lvl w:ilvl="2">
      <w:start w:val="0"/>
      <w:numFmt w:val="bullet"/>
      <w:lvlText w:val="•"/>
      <w:lvlJc w:val="left"/>
      <w:pPr>
        <w:ind w:left="1667" w:hanging="360"/>
      </w:pPr>
      <w:rPr/>
    </w:lvl>
    <w:lvl w:ilvl="3">
      <w:start w:val="0"/>
      <w:numFmt w:val="bullet"/>
      <w:lvlText w:val="•"/>
      <w:lvlJc w:val="left"/>
      <w:pPr>
        <w:ind w:left="2594" w:hanging="360"/>
      </w:pPr>
      <w:rPr/>
    </w:lvl>
    <w:lvl w:ilvl="4">
      <w:start w:val="0"/>
      <w:numFmt w:val="bullet"/>
      <w:lvlText w:val="•"/>
      <w:lvlJc w:val="left"/>
      <w:pPr>
        <w:ind w:left="3522" w:hanging="360"/>
      </w:pPr>
      <w:rPr/>
    </w:lvl>
    <w:lvl w:ilvl="5">
      <w:start w:val="0"/>
      <w:numFmt w:val="bullet"/>
      <w:lvlText w:val="•"/>
      <w:lvlJc w:val="left"/>
      <w:pPr>
        <w:ind w:left="4449" w:hanging="360"/>
      </w:pPr>
      <w:rPr/>
    </w:lvl>
    <w:lvl w:ilvl="6">
      <w:start w:val="0"/>
      <w:numFmt w:val="bullet"/>
      <w:lvlText w:val="•"/>
      <w:lvlJc w:val="left"/>
      <w:pPr>
        <w:ind w:left="5376" w:hanging="360"/>
      </w:pPr>
      <w:rPr/>
    </w:lvl>
    <w:lvl w:ilvl="7">
      <w:start w:val="0"/>
      <w:numFmt w:val="bullet"/>
      <w:lvlText w:val="•"/>
      <w:lvlJc w:val="left"/>
      <w:pPr>
        <w:ind w:left="6304" w:hanging="360"/>
      </w:pPr>
      <w:rPr/>
    </w:lvl>
    <w:lvl w:ilvl="8">
      <w:start w:val="0"/>
      <w:numFmt w:val="bullet"/>
      <w:lvlText w:val="•"/>
      <w:lvlJc w:val="left"/>
      <w:pPr>
        <w:ind w:left="7231"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23" w:hanging="376"/>
    </w:pPr>
    <w:rPr>
      <w:b w:val="1"/>
      <w:sz w:val="34"/>
      <w:szCs w:val="34"/>
    </w:rPr>
  </w:style>
  <w:style w:type="paragraph" w:styleId="Heading2">
    <w:name w:val="heading 2"/>
    <w:basedOn w:val="Normal"/>
    <w:next w:val="Normal"/>
    <w:pPr>
      <w:ind w:left="23"/>
    </w:pPr>
    <w:rPr>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1"/>
      <w:ind w:left="23" w:hanging="376"/>
      <w:outlineLvl w:val="0"/>
    </w:pPr>
    <w:rPr>
      <w:b w:val="1"/>
      <w:bCs w:val="1"/>
      <w:sz w:val="34"/>
      <w:szCs w:val="34"/>
    </w:rPr>
  </w:style>
  <w:style w:type="paragraph" w:styleId="Heading2">
    <w:name w:val="heading 2"/>
    <w:basedOn w:val="Normal"/>
    <w:uiPriority w:val="9"/>
    <w:unhideWhenUsed w:val="1"/>
    <w:qFormat w:val="1"/>
    <w:pPr>
      <w:ind w:left="23"/>
      <w:outlineLvl w:val="1"/>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743" w:hanging="360"/>
    </w:pPr>
  </w:style>
  <w:style w:type="paragraph" w:styleId="TableParagraph" w:customStyle="1">
    <w:name w:val="Table Paragraph"/>
    <w:basedOn w:val="Normal"/>
    <w:uiPriority w:val="1"/>
    <w:qFormat w:val="1"/>
    <w:pPr>
      <w:ind w:left="109"/>
    </w:pPr>
  </w:style>
  <w:style w:type="paragraph" w:styleId="Header">
    <w:name w:val="header"/>
    <w:basedOn w:val="Normal"/>
    <w:link w:val="HeaderChar"/>
    <w:uiPriority w:val="99"/>
    <w:unhideWhenUsed w:val="1"/>
    <w:rsid w:val="00B63D46"/>
    <w:pPr>
      <w:tabs>
        <w:tab w:val="center" w:pos="4513"/>
        <w:tab w:val="right" w:pos="9026"/>
      </w:tabs>
    </w:pPr>
  </w:style>
  <w:style w:type="character" w:styleId="HeaderChar" w:customStyle="1">
    <w:name w:val="Header Char"/>
    <w:basedOn w:val="DefaultParagraphFont"/>
    <w:link w:val="Header"/>
    <w:uiPriority w:val="99"/>
    <w:rsid w:val="00B63D46"/>
    <w:rPr>
      <w:rFonts w:ascii="Arial" w:cs="Arial" w:eastAsia="Arial" w:hAnsi="Arial"/>
    </w:rPr>
  </w:style>
  <w:style w:type="paragraph" w:styleId="Footer">
    <w:name w:val="footer"/>
    <w:basedOn w:val="Normal"/>
    <w:link w:val="FooterChar"/>
    <w:uiPriority w:val="99"/>
    <w:unhideWhenUsed w:val="1"/>
    <w:rsid w:val="00B63D46"/>
    <w:pPr>
      <w:tabs>
        <w:tab w:val="center" w:pos="4513"/>
        <w:tab w:val="right" w:pos="9026"/>
      </w:tabs>
    </w:pPr>
  </w:style>
  <w:style w:type="character" w:styleId="FooterChar" w:customStyle="1">
    <w:name w:val="Footer Char"/>
    <w:basedOn w:val="DefaultParagraphFont"/>
    <w:link w:val="Footer"/>
    <w:uiPriority w:val="99"/>
    <w:rsid w:val="00B63D46"/>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RM/iMNBntXqjv/qPnX69iQGuQ==">CgMxLjA4AHIhMVNvYkt0a2x3T1BCU1lIcDE2V0p2bzVBUTh1eVlsTEpE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3-Heights(TM) PDF Security Shell 4.8.25.2 (http://www.pdf-tools.com)</vt:lpwstr>
  </property>
</Properties>
</file>