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866F" w14:textId="77777777" w:rsidR="006F507D" w:rsidRDefault="00000000">
      <w:pPr>
        <w:pStyle w:val="Heading1"/>
        <w:spacing w:before="338"/>
        <w:ind w:firstLine="0"/>
      </w:pPr>
      <w:proofErr w:type="spellStart"/>
      <w:r>
        <w:t>Kuthetha</w:t>
      </w:r>
      <w:proofErr w:type="spellEnd"/>
      <w:r>
        <w:t xml:space="preserve"> Nathi / Talk to Us</w:t>
      </w:r>
    </w:p>
    <w:p w14:paraId="0DC5662B" w14:textId="3F1DA3BD" w:rsidR="006F507D" w:rsidRDefault="006F507D">
      <w:pPr>
        <w:pBdr>
          <w:top w:val="nil"/>
          <w:left w:val="nil"/>
          <w:bottom w:val="nil"/>
          <w:right w:val="nil"/>
          <w:between w:val="nil"/>
        </w:pBdr>
        <w:rPr>
          <w:b/>
          <w:color w:val="000000"/>
          <w:sz w:val="20"/>
          <w:szCs w:val="20"/>
        </w:rPr>
      </w:pPr>
    </w:p>
    <w:p w14:paraId="68ED3651" w14:textId="77777777" w:rsidR="006F507D" w:rsidRDefault="00000000">
      <w:pPr>
        <w:pBdr>
          <w:top w:val="nil"/>
          <w:left w:val="nil"/>
          <w:bottom w:val="nil"/>
          <w:right w:val="nil"/>
          <w:between w:val="nil"/>
        </w:pBdr>
        <w:spacing w:before="106"/>
        <w:rPr>
          <w:b/>
          <w:color w:val="000000"/>
          <w:sz w:val="20"/>
          <w:szCs w:val="20"/>
        </w:rPr>
      </w:pPr>
      <w:r>
        <w:rPr>
          <w:noProof/>
        </w:rPr>
        <mc:AlternateContent>
          <mc:Choice Requires="wps">
            <w:drawing>
              <wp:anchor distT="0" distB="0" distL="0" distR="0" simplePos="0" relativeHeight="251658240" behindDoc="0" locked="0" layoutInCell="1" hidden="0" allowOverlap="1" wp14:anchorId="488BF132" wp14:editId="3BB0EC4F">
                <wp:simplePos x="0" y="0"/>
                <wp:positionH relativeFrom="column">
                  <wp:posOffset>50800</wp:posOffset>
                </wp:positionH>
                <wp:positionV relativeFrom="paragraph">
                  <wp:posOffset>215900</wp:posOffset>
                </wp:positionV>
                <wp:extent cx="1270" cy="12700"/>
                <wp:effectExtent l="0" t="0" r="0" b="0"/>
                <wp:wrapTopAndBottom distT="0" distB="0"/>
                <wp:docPr id="14" name="Freeform: Shape 14"/>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496" y="0"/>
                              </a:lnTo>
                            </a:path>
                          </a:pathLst>
                        </a:custGeom>
                        <a:noFill/>
                        <a:ln w="12675"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215900</wp:posOffset>
                </wp:positionV>
                <wp:extent cx="1270" cy="12700"/>
                <wp:effectExtent b="0" l="0" r="0" t="0"/>
                <wp:wrapTopAndBottom distB="0" distT="0"/>
                <wp:docPr id="1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6F49B231" w14:textId="77777777" w:rsidR="006F507D" w:rsidRDefault="006F507D">
      <w:pPr>
        <w:pBdr>
          <w:top w:val="nil"/>
          <w:left w:val="nil"/>
          <w:bottom w:val="nil"/>
          <w:right w:val="nil"/>
          <w:between w:val="nil"/>
        </w:pBdr>
        <w:spacing w:before="117"/>
        <w:rPr>
          <w:b/>
          <w:color w:val="000000"/>
          <w:sz w:val="34"/>
          <w:szCs w:val="34"/>
        </w:rPr>
      </w:pPr>
    </w:p>
    <w:p w14:paraId="7945E9CC" w14:textId="77777777" w:rsidR="006F507D" w:rsidRDefault="00000000">
      <w:pPr>
        <w:numPr>
          <w:ilvl w:val="0"/>
          <w:numId w:val="2"/>
        </w:numPr>
        <w:pBdr>
          <w:top w:val="nil"/>
          <w:left w:val="nil"/>
          <w:bottom w:val="nil"/>
          <w:right w:val="nil"/>
          <w:between w:val="nil"/>
        </w:pBdr>
        <w:tabs>
          <w:tab w:val="left" w:pos="399"/>
        </w:tabs>
        <w:spacing w:before="1"/>
        <w:ind w:left="399" w:hanging="376"/>
        <w:rPr>
          <w:b/>
          <w:color w:val="000000"/>
          <w:sz w:val="34"/>
          <w:szCs w:val="34"/>
        </w:rPr>
      </w:pPr>
      <w:r>
        <w:rPr>
          <w:b/>
          <w:color w:val="000000"/>
          <w:sz w:val="34"/>
          <w:szCs w:val="34"/>
        </w:rPr>
        <w:t>CLIENT INFORMATION</w:t>
      </w:r>
    </w:p>
    <w:p w14:paraId="0A273BD0" w14:textId="77777777" w:rsidR="006F507D" w:rsidRDefault="00000000">
      <w:pPr>
        <w:spacing w:before="338"/>
        <w:ind w:left="23"/>
        <w:rPr>
          <w:b/>
          <w:sz w:val="26"/>
          <w:szCs w:val="26"/>
        </w:rPr>
      </w:pPr>
      <w:r>
        <w:rPr>
          <w:b/>
          <w:sz w:val="26"/>
          <w:szCs w:val="26"/>
        </w:rPr>
        <w:t>Personal Details</w:t>
      </w:r>
    </w:p>
    <w:p w14:paraId="1E2E420D" w14:textId="77777777" w:rsidR="006F507D" w:rsidRDefault="006F507D">
      <w:pPr>
        <w:pBdr>
          <w:top w:val="nil"/>
          <w:left w:val="nil"/>
          <w:bottom w:val="nil"/>
          <w:right w:val="nil"/>
          <w:between w:val="nil"/>
        </w:pBdr>
        <w:spacing w:before="173"/>
        <w:rPr>
          <w:b/>
          <w:color w:val="000000"/>
          <w:sz w:val="20"/>
          <w:szCs w:val="20"/>
        </w:rPr>
      </w:pPr>
    </w:p>
    <w:tbl>
      <w:tblPr>
        <w:tblStyle w:val="a"/>
        <w:tblW w:w="9000" w:type="dxa"/>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00"/>
        <w:gridCol w:w="4500"/>
      </w:tblGrid>
      <w:tr w:rsidR="006F507D" w14:paraId="5498716D" w14:textId="77777777">
        <w:trPr>
          <w:trHeight w:val="459"/>
        </w:trPr>
        <w:tc>
          <w:tcPr>
            <w:tcW w:w="4500" w:type="dxa"/>
          </w:tcPr>
          <w:p w14:paraId="6FA8BBFF" w14:textId="77777777" w:rsidR="006F507D" w:rsidRDefault="00000000">
            <w:pPr>
              <w:pBdr>
                <w:top w:val="nil"/>
                <w:left w:val="nil"/>
                <w:bottom w:val="nil"/>
                <w:right w:val="nil"/>
                <w:between w:val="nil"/>
              </w:pBdr>
              <w:spacing w:before="113"/>
              <w:ind w:left="109"/>
              <w:rPr>
                <w:color w:val="000000"/>
              </w:rPr>
            </w:pPr>
            <w:r>
              <w:rPr>
                <w:color w:val="000000"/>
              </w:rPr>
              <w:t>Full Name</w:t>
            </w:r>
          </w:p>
        </w:tc>
        <w:tc>
          <w:tcPr>
            <w:tcW w:w="4500" w:type="dxa"/>
          </w:tcPr>
          <w:p w14:paraId="37410638" w14:textId="77777777" w:rsidR="006F507D" w:rsidRDefault="00000000">
            <w:pPr>
              <w:pBdr>
                <w:top w:val="nil"/>
                <w:left w:val="nil"/>
                <w:bottom w:val="nil"/>
                <w:right w:val="nil"/>
                <w:between w:val="nil"/>
              </w:pBdr>
              <w:spacing w:before="113"/>
              <w:ind w:left="109"/>
              <w:rPr>
                <w:color w:val="000000"/>
              </w:rPr>
            </w:pPr>
            <w:r>
              <w:rPr>
                <w:color w:val="000000"/>
              </w:rPr>
              <w:t>Date of Birth</w:t>
            </w:r>
          </w:p>
        </w:tc>
      </w:tr>
      <w:tr w:rsidR="006F507D" w14:paraId="5746FEC9" w14:textId="77777777">
        <w:trPr>
          <w:trHeight w:val="460"/>
        </w:trPr>
        <w:tc>
          <w:tcPr>
            <w:tcW w:w="4500" w:type="dxa"/>
          </w:tcPr>
          <w:p w14:paraId="77444FB1" w14:textId="77777777" w:rsidR="006F507D" w:rsidRDefault="00000000">
            <w:pPr>
              <w:pBdr>
                <w:top w:val="nil"/>
                <w:left w:val="nil"/>
                <w:bottom w:val="nil"/>
                <w:right w:val="nil"/>
                <w:between w:val="nil"/>
              </w:pBdr>
              <w:spacing w:before="111"/>
              <w:ind w:left="109"/>
              <w:rPr>
                <w:color w:val="000000"/>
              </w:rPr>
            </w:pPr>
            <w:r>
              <w:rPr>
                <w:color w:val="000000"/>
              </w:rPr>
              <w:t>ID Number</w:t>
            </w:r>
          </w:p>
        </w:tc>
        <w:tc>
          <w:tcPr>
            <w:tcW w:w="4500" w:type="dxa"/>
          </w:tcPr>
          <w:p w14:paraId="12B22520" w14:textId="77777777" w:rsidR="006F507D" w:rsidRDefault="00000000">
            <w:pPr>
              <w:pBdr>
                <w:top w:val="nil"/>
                <w:left w:val="nil"/>
                <w:bottom w:val="nil"/>
                <w:right w:val="nil"/>
                <w:between w:val="nil"/>
              </w:pBdr>
              <w:spacing w:before="111"/>
              <w:ind w:left="109"/>
              <w:rPr>
                <w:color w:val="000000"/>
              </w:rPr>
            </w:pPr>
            <w:r>
              <w:rPr>
                <w:color w:val="000000"/>
              </w:rPr>
              <w:t>Gender</w:t>
            </w:r>
          </w:p>
        </w:tc>
      </w:tr>
      <w:tr w:rsidR="006F507D" w14:paraId="19FFA3DA" w14:textId="77777777">
        <w:trPr>
          <w:trHeight w:val="460"/>
        </w:trPr>
        <w:tc>
          <w:tcPr>
            <w:tcW w:w="4500" w:type="dxa"/>
          </w:tcPr>
          <w:p w14:paraId="59A94DC5" w14:textId="77777777" w:rsidR="006F507D" w:rsidRDefault="00000000">
            <w:pPr>
              <w:pBdr>
                <w:top w:val="nil"/>
                <w:left w:val="nil"/>
                <w:bottom w:val="nil"/>
                <w:right w:val="nil"/>
                <w:between w:val="nil"/>
              </w:pBdr>
              <w:spacing w:before="109"/>
              <w:ind w:left="109"/>
              <w:rPr>
                <w:color w:val="000000"/>
              </w:rPr>
            </w:pPr>
            <w:r>
              <w:rPr>
                <w:color w:val="000000"/>
              </w:rPr>
              <w:t>Nationality</w:t>
            </w:r>
          </w:p>
        </w:tc>
        <w:tc>
          <w:tcPr>
            <w:tcW w:w="4500" w:type="dxa"/>
          </w:tcPr>
          <w:p w14:paraId="4F1955DB" w14:textId="77777777" w:rsidR="006F507D" w:rsidRDefault="00000000">
            <w:pPr>
              <w:pBdr>
                <w:top w:val="nil"/>
                <w:left w:val="nil"/>
                <w:bottom w:val="nil"/>
                <w:right w:val="nil"/>
                <w:between w:val="nil"/>
              </w:pBdr>
              <w:spacing w:before="109"/>
              <w:ind w:left="109"/>
              <w:rPr>
                <w:color w:val="000000"/>
              </w:rPr>
            </w:pPr>
            <w:r>
              <w:rPr>
                <w:color w:val="000000"/>
              </w:rPr>
              <w:t>Occupation</w:t>
            </w:r>
          </w:p>
        </w:tc>
      </w:tr>
      <w:tr w:rsidR="006F507D" w14:paraId="063AB936" w14:textId="77777777">
        <w:trPr>
          <w:trHeight w:val="460"/>
        </w:trPr>
        <w:tc>
          <w:tcPr>
            <w:tcW w:w="4500" w:type="dxa"/>
          </w:tcPr>
          <w:p w14:paraId="7F3DAE3E" w14:textId="77777777" w:rsidR="006F507D" w:rsidRDefault="00000000">
            <w:pPr>
              <w:pBdr>
                <w:top w:val="nil"/>
                <w:left w:val="nil"/>
                <w:bottom w:val="nil"/>
                <w:right w:val="nil"/>
                <w:between w:val="nil"/>
              </w:pBdr>
              <w:spacing w:before="107"/>
              <w:ind w:left="109"/>
              <w:rPr>
                <w:color w:val="000000"/>
              </w:rPr>
            </w:pPr>
            <w:r>
              <w:rPr>
                <w:color w:val="000000"/>
              </w:rPr>
              <w:t>Address</w:t>
            </w:r>
          </w:p>
        </w:tc>
        <w:tc>
          <w:tcPr>
            <w:tcW w:w="4500" w:type="dxa"/>
          </w:tcPr>
          <w:p w14:paraId="7C528EBC" w14:textId="77777777" w:rsidR="006F507D" w:rsidRDefault="00000000">
            <w:pPr>
              <w:pBdr>
                <w:top w:val="nil"/>
                <w:left w:val="nil"/>
                <w:bottom w:val="nil"/>
                <w:right w:val="nil"/>
                <w:between w:val="nil"/>
              </w:pBdr>
              <w:spacing w:before="107"/>
              <w:ind w:left="109"/>
              <w:rPr>
                <w:color w:val="000000"/>
              </w:rPr>
            </w:pPr>
            <w:r>
              <w:rPr>
                <w:color w:val="000000"/>
              </w:rPr>
              <w:t>Cell Phone</w:t>
            </w:r>
          </w:p>
        </w:tc>
      </w:tr>
      <w:tr w:rsidR="006F507D" w14:paraId="021698DA" w14:textId="77777777">
        <w:trPr>
          <w:trHeight w:val="460"/>
        </w:trPr>
        <w:tc>
          <w:tcPr>
            <w:tcW w:w="4500" w:type="dxa"/>
          </w:tcPr>
          <w:p w14:paraId="15E00A49" w14:textId="77777777" w:rsidR="006F507D" w:rsidRDefault="00000000">
            <w:pPr>
              <w:pBdr>
                <w:top w:val="nil"/>
                <w:left w:val="nil"/>
                <w:bottom w:val="nil"/>
                <w:right w:val="nil"/>
                <w:between w:val="nil"/>
              </w:pBdr>
              <w:spacing w:before="105"/>
              <w:ind w:left="109"/>
              <w:rPr>
                <w:color w:val="000000"/>
              </w:rPr>
            </w:pPr>
            <w:r>
              <w:rPr>
                <w:color w:val="000000"/>
              </w:rPr>
              <w:t>Contact Name</w:t>
            </w:r>
          </w:p>
        </w:tc>
        <w:tc>
          <w:tcPr>
            <w:tcW w:w="4500" w:type="dxa"/>
          </w:tcPr>
          <w:p w14:paraId="4EF758CD" w14:textId="77777777" w:rsidR="006F507D" w:rsidRDefault="00000000">
            <w:pPr>
              <w:pBdr>
                <w:top w:val="nil"/>
                <w:left w:val="nil"/>
                <w:bottom w:val="nil"/>
                <w:right w:val="nil"/>
                <w:between w:val="nil"/>
              </w:pBdr>
              <w:spacing w:before="105"/>
              <w:ind w:left="109"/>
              <w:rPr>
                <w:color w:val="000000"/>
              </w:rPr>
            </w:pPr>
            <w:r>
              <w:rPr>
                <w:color w:val="000000"/>
              </w:rPr>
              <w:t>Contact Cell</w:t>
            </w:r>
          </w:p>
        </w:tc>
      </w:tr>
      <w:tr w:rsidR="006F507D" w14:paraId="3C714D81" w14:textId="77777777">
        <w:trPr>
          <w:trHeight w:val="460"/>
        </w:trPr>
        <w:tc>
          <w:tcPr>
            <w:tcW w:w="4500" w:type="dxa"/>
          </w:tcPr>
          <w:p w14:paraId="37F297A5" w14:textId="77777777" w:rsidR="006F507D" w:rsidRDefault="00000000">
            <w:pPr>
              <w:pBdr>
                <w:top w:val="nil"/>
                <w:left w:val="nil"/>
                <w:bottom w:val="nil"/>
                <w:right w:val="nil"/>
                <w:between w:val="nil"/>
              </w:pBdr>
              <w:spacing w:before="103"/>
              <w:ind w:left="109"/>
              <w:rPr>
                <w:color w:val="000000"/>
              </w:rPr>
            </w:pPr>
            <w:r>
              <w:rPr>
                <w:color w:val="000000"/>
              </w:rPr>
              <w:t>Relationship to Contact</w:t>
            </w:r>
          </w:p>
        </w:tc>
        <w:tc>
          <w:tcPr>
            <w:tcW w:w="4500" w:type="dxa"/>
          </w:tcPr>
          <w:p w14:paraId="70B0747A" w14:textId="77777777" w:rsidR="006F507D" w:rsidRDefault="006F507D">
            <w:pPr>
              <w:pBdr>
                <w:top w:val="nil"/>
                <w:left w:val="nil"/>
                <w:bottom w:val="nil"/>
                <w:right w:val="nil"/>
                <w:between w:val="nil"/>
              </w:pBdr>
              <w:rPr>
                <w:rFonts w:ascii="Times New Roman" w:eastAsia="Times New Roman" w:hAnsi="Times New Roman" w:cs="Times New Roman"/>
                <w:color w:val="000000"/>
              </w:rPr>
            </w:pPr>
          </w:p>
        </w:tc>
      </w:tr>
      <w:tr w:rsidR="006F507D" w14:paraId="747BC029" w14:textId="77777777">
        <w:trPr>
          <w:trHeight w:val="440"/>
        </w:trPr>
        <w:tc>
          <w:tcPr>
            <w:tcW w:w="4500" w:type="dxa"/>
          </w:tcPr>
          <w:p w14:paraId="61B717F7" w14:textId="77777777" w:rsidR="006F507D" w:rsidRDefault="00000000">
            <w:pPr>
              <w:pBdr>
                <w:top w:val="nil"/>
                <w:left w:val="nil"/>
                <w:bottom w:val="nil"/>
                <w:right w:val="nil"/>
                <w:between w:val="nil"/>
              </w:pBdr>
              <w:spacing w:before="101"/>
              <w:ind w:left="109"/>
              <w:rPr>
                <w:color w:val="000000"/>
              </w:rPr>
            </w:pPr>
            <w:r>
              <w:rPr>
                <w:color w:val="000000"/>
              </w:rPr>
              <w:t>Referred by:</w:t>
            </w:r>
          </w:p>
        </w:tc>
        <w:tc>
          <w:tcPr>
            <w:tcW w:w="4500" w:type="dxa"/>
          </w:tcPr>
          <w:p w14:paraId="481F5139" w14:textId="77777777" w:rsidR="006F507D" w:rsidRDefault="006F507D">
            <w:pPr>
              <w:pBdr>
                <w:top w:val="nil"/>
                <w:left w:val="nil"/>
                <w:bottom w:val="nil"/>
                <w:right w:val="nil"/>
                <w:between w:val="nil"/>
              </w:pBdr>
              <w:rPr>
                <w:rFonts w:ascii="Times New Roman" w:eastAsia="Times New Roman" w:hAnsi="Times New Roman" w:cs="Times New Roman"/>
                <w:color w:val="000000"/>
              </w:rPr>
            </w:pPr>
          </w:p>
        </w:tc>
      </w:tr>
    </w:tbl>
    <w:p w14:paraId="4A87D789" w14:textId="77777777" w:rsidR="006F507D" w:rsidRDefault="00000000">
      <w:pPr>
        <w:pStyle w:val="Heading1"/>
        <w:tabs>
          <w:tab w:val="left" w:pos="399"/>
        </w:tabs>
        <w:spacing w:before="210" w:line="276" w:lineRule="auto"/>
        <w:ind w:right="1622" w:hanging="23"/>
      </w:pPr>
      <w:r>
        <w:t xml:space="preserve"> </w:t>
      </w:r>
    </w:p>
    <w:p w14:paraId="5864794F" w14:textId="77777777" w:rsidR="006F507D" w:rsidRDefault="00000000">
      <w:pPr>
        <w:pStyle w:val="Heading1"/>
        <w:numPr>
          <w:ilvl w:val="0"/>
          <w:numId w:val="2"/>
        </w:numPr>
        <w:tabs>
          <w:tab w:val="left" w:pos="399"/>
        </w:tabs>
        <w:spacing w:before="210" w:line="276" w:lineRule="auto"/>
        <w:ind w:left="23" w:right="1622" w:firstLine="0"/>
      </w:pPr>
      <w:r>
        <w:t>INFORMED CONSENT &amp; CONFIDENTIALITY AGREEMENT</w:t>
      </w:r>
    </w:p>
    <w:p w14:paraId="218EC409" w14:textId="77777777" w:rsidR="006F507D" w:rsidRDefault="00000000">
      <w:pPr>
        <w:pStyle w:val="Heading2"/>
        <w:spacing w:before="280"/>
        <w:ind w:firstLine="23"/>
      </w:pPr>
      <w:r>
        <w:t>Exploration Phase</w:t>
      </w:r>
    </w:p>
    <w:p w14:paraId="7D035C2A" w14:textId="77777777" w:rsidR="006F507D" w:rsidRDefault="00000000">
      <w:pPr>
        <w:pBdr>
          <w:top w:val="nil"/>
          <w:left w:val="nil"/>
          <w:bottom w:val="nil"/>
          <w:right w:val="nil"/>
          <w:between w:val="nil"/>
        </w:pBdr>
        <w:spacing w:before="285" w:line="276" w:lineRule="auto"/>
        <w:ind w:left="23"/>
        <w:rPr>
          <w:color w:val="000000"/>
        </w:rPr>
      </w:pPr>
      <w:r>
        <w:rPr>
          <w:color w:val="000000"/>
        </w:rPr>
        <w:t>To provide effective counselling, I will conduct an initial assessment that may include questions about your symptoms, personal history, relationships, and lifestyle. Some of these may be personal. In some cases, I may request permission to interview people who know you. After this assessment, we will discuss a future treatment plan. This process generally takes about two sessions but may be longer if needed.</w:t>
      </w:r>
    </w:p>
    <w:p w14:paraId="04F3C1BB" w14:textId="77777777" w:rsidR="006F507D" w:rsidRDefault="006F507D">
      <w:pPr>
        <w:pBdr>
          <w:top w:val="nil"/>
          <w:left w:val="nil"/>
          <w:bottom w:val="nil"/>
          <w:right w:val="nil"/>
          <w:between w:val="nil"/>
        </w:pBdr>
        <w:spacing w:before="26"/>
        <w:rPr>
          <w:color w:val="000000"/>
        </w:rPr>
      </w:pPr>
    </w:p>
    <w:p w14:paraId="165BC9D3" w14:textId="77777777" w:rsidR="006F507D" w:rsidRDefault="00000000">
      <w:pPr>
        <w:pStyle w:val="Heading2"/>
        <w:spacing w:before="1"/>
        <w:ind w:firstLine="23"/>
      </w:pPr>
      <w:r>
        <w:t>Counselling Process</w:t>
      </w:r>
    </w:p>
    <w:p w14:paraId="5A5A618B" w14:textId="77777777" w:rsidR="006F507D" w:rsidRDefault="00000000">
      <w:pPr>
        <w:pBdr>
          <w:top w:val="nil"/>
          <w:left w:val="nil"/>
          <w:bottom w:val="nil"/>
          <w:right w:val="nil"/>
          <w:between w:val="nil"/>
        </w:pBdr>
        <w:spacing w:before="284" w:line="276" w:lineRule="auto"/>
        <w:ind w:left="23"/>
      </w:pPr>
      <w:r>
        <w:rPr>
          <w:color w:val="000000"/>
        </w:rPr>
        <w:t xml:space="preserve">Counselling aims to facilitate change, insight, and personal growth. It may bring long-term benefits but can also be an emotional and sometimes unsettling experience. Various therapeutic modalities may be used, including </w:t>
      </w:r>
      <w:proofErr w:type="spellStart"/>
      <w:r>
        <w:rPr>
          <w:color w:val="000000"/>
        </w:rPr>
        <w:t>behavioural</w:t>
      </w:r>
      <w:proofErr w:type="spellEnd"/>
      <w:r>
        <w:rPr>
          <w:color w:val="000000"/>
        </w:rPr>
        <w:t xml:space="preserve">, psychodynamic, systemic, and/or other evidence-based approaches. As counselling proceeds, changes may affect relationships with others, sometimes leading to interpersonal tension. The success of counselling depends on many factors, including your active participation and responsibility in </w:t>
      </w:r>
      <w:r>
        <w:rPr>
          <w:color w:val="000000"/>
        </w:rPr>
        <w:lastRenderedPageBreak/>
        <w:t>implementing changes.</w:t>
      </w:r>
    </w:p>
    <w:p w14:paraId="585CECAF" w14:textId="77777777" w:rsidR="006F507D" w:rsidRDefault="006F507D">
      <w:pPr>
        <w:pBdr>
          <w:top w:val="nil"/>
          <w:left w:val="nil"/>
          <w:bottom w:val="nil"/>
          <w:right w:val="nil"/>
          <w:between w:val="nil"/>
        </w:pBdr>
        <w:spacing w:before="284" w:line="276" w:lineRule="auto"/>
        <w:ind w:left="23"/>
      </w:pPr>
    </w:p>
    <w:p w14:paraId="7FF0D195" w14:textId="77777777" w:rsidR="006F507D" w:rsidRDefault="00000000">
      <w:pPr>
        <w:pStyle w:val="Heading2"/>
        <w:spacing w:before="98"/>
        <w:ind w:firstLine="23"/>
      </w:pPr>
      <w:r>
        <w:t>Contact Outside Counselling</w:t>
      </w:r>
    </w:p>
    <w:p w14:paraId="54A5436E" w14:textId="77777777" w:rsidR="006F507D" w:rsidRDefault="00000000">
      <w:pPr>
        <w:spacing w:before="285" w:line="276" w:lineRule="auto"/>
        <w:ind w:left="23" w:right="111"/>
      </w:pPr>
      <w:r>
        <w:t xml:space="preserve">For queries, please contact the </w:t>
      </w:r>
      <w:proofErr w:type="spellStart"/>
      <w:r>
        <w:rPr>
          <w:b/>
        </w:rPr>
        <w:t>Kuthetha</w:t>
      </w:r>
      <w:proofErr w:type="spellEnd"/>
      <w:r>
        <w:rPr>
          <w:b/>
        </w:rPr>
        <w:t xml:space="preserve"> Nathi reception (021 286 9310)</w:t>
      </w:r>
      <w:r>
        <w:t xml:space="preserve">. Your query will be answered as soon as possible. In emergencies, please call the </w:t>
      </w:r>
      <w:r>
        <w:rPr>
          <w:b/>
        </w:rPr>
        <w:t xml:space="preserve">South African Depression and Anxiety Group (SADAG) by calling toll-free 0800 </w:t>
      </w:r>
      <w:proofErr w:type="gramStart"/>
      <w:r>
        <w:rPr>
          <w:b/>
        </w:rPr>
        <w:t>567 567</w:t>
      </w:r>
      <w:r>
        <w:t>, or</w:t>
      </w:r>
      <w:proofErr w:type="gramEnd"/>
      <w:r>
        <w:t xml:space="preserve"> send an </w:t>
      </w:r>
      <w:r>
        <w:rPr>
          <w:b/>
        </w:rPr>
        <w:t xml:space="preserve">SMS to 31393 </w:t>
      </w:r>
      <w:r>
        <w:t>for a callback.</w:t>
      </w:r>
    </w:p>
    <w:p w14:paraId="6318A801" w14:textId="77777777" w:rsidR="006F507D" w:rsidRDefault="006F507D">
      <w:pPr>
        <w:pBdr>
          <w:top w:val="nil"/>
          <w:left w:val="nil"/>
          <w:bottom w:val="nil"/>
          <w:right w:val="nil"/>
          <w:between w:val="nil"/>
        </w:pBdr>
        <w:rPr>
          <w:color w:val="000000"/>
        </w:rPr>
      </w:pPr>
    </w:p>
    <w:p w14:paraId="43F20E6C" w14:textId="77777777" w:rsidR="006F507D" w:rsidRDefault="006F507D">
      <w:pPr>
        <w:pBdr>
          <w:top w:val="nil"/>
          <w:left w:val="nil"/>
          <w:bottom w:val="nil"/>
          <w:right w:val="nil"/>
          <w:between w:val="nil"/>
        </w:pBdr>
        <w:rPr>
          <w:color w:val="000000"/>
        </w:rPr>
      </w:pPr>
    </w:p>
    <w:p w14:paraId="382019D4" w14:textId="77777777" w:rsidR="006F507D" w:rsidRDefault="006F507D">
      <w:pPr>
        <w:pBdr>
          <w:top w:val="nil"/>
          <w:left w:val="nil"/>
          <w:bottom w:val="nil"/>
          <w:right w:val="nil"/>
          <w:between w:val="nil"/>
        </w:pBdr>
        <w:spacing w:before="52"/>
        <w:rPr>
          <w:color w:val="000000"/>
        </w:rPr>
      </w:pPr>
    </w:p>
    <w:p w14:paraId="428BB6A1" w14:textId="77777777" w:rsidR="006F507D" w:rsidRDefault="00000000">
      <w:pPr>
        <w:pStyle w:val="Heading2"/>
        <w:ind w:firstLine="23"/>
      </w:pPr>
      <w:r>
        <w:t>Confidentiality</w:t>
      </w:r>
    </w:p>
    <w:p w14:paraId="04EA0573" w14:textId="77777777" w:rsidR="006F507D" w:rsidRDefault="00000000">
      <w:pPr>
        <w:pBdr>
          <w:top w:val="nil"/>
          <w:left w:val="nil"/>
          <w:bottom w:val="nil"/>
          <w:right w:val="nil"/>
          <w:between w:val="nil"/>
        </w:pBdr>
        <w:spacing w:before="285" w:line="276" w:lineRule="auto"/>
        <w:ind w:left="23" w:right="111"/>
        <w:rPr>
          <w:color w:val="000000"/>
        </w:rPr>
      </w:pPr>
      <w:r>
        <w:rPr>
          <w:color w:val="000000"/>
        </w:rPr>
        <w:t>All information shared during counselling is confidential except in the following circumstances:</w:t>
      </w:r>
    </w:p>
    <w:p w14:paraId="20DFC0C8" w14:textId="77777777" w:rsidR="006F507D" w:rsidRDefault="00000000">
      <w:pPr>
        <w:numPr>
          <w:ilvl w:val="1"/>
          <w:numId w:val="2"/>
        </w:numPr>
        <w:pBdr>
          <w:top w:val="nil"/>
          <w:left w:val="nil"/>
          <w:bottom w:val="nil"/>
          <w:right w:val="nil"/>
          <w:between w:val="nil"/>
        </w:pBdr>
        <w:tabs>
          <w:tab w:val="left" w:pos="741"/>
          <w:tab w:val="left" w:pos="743"/>
        </w:tabs>
        <w:spacing w:before="240" w:line="276" w:lineRule="auto"/>
        <w:ind w:right="81"/>
        <w:jc w:val="both"/>
      </w:pPr>
      <w:r>
        <w:rPr>
          <w:b/>
          <w:color w:val="000000"/>
        </w:rPr>
        <w:t xml:space="preserve">Risk of harm </w:t>
      </w:r>
      <w:r>
        <w:rPr>
          <w:color w:val="000000"/>
        </w:rPr>
        <w:t>– If there is a real risk that you may harm yourself, others, or animals, I am required to take appropriate steps to prevent harm, which may include breaching confidentiality.</w:t>
      </w:r>
    </w:p>
    <w:p w14:paraId="42F36E61" w14:textId="77777777" w:rsidR="006F507D" w:rsidRDefault="00000000">
      <w:pPr>
        <w:numPr>
          <w:ilvl w:val="1"/>
          <w:numId w:val="2"/>
        </w:numPr>
        <w:pBdr>
          <w:top w:val="nil"/>
          <w:left w:val="nil"/>
          <w:bottom w:val="nil"/>
          <w:right w:val="nil"/>
          <w:between w:val="nil"/>
        </w:pBdr>
        <w:tabs>
          <w:tab w:val="left" w:pos="741"/>
          <w:tab w:val="left" w:pos="743"/>
        </w:tabs>
        <w:spacing w:line="276" w:lineRule="auto"/>
        <w:ind w:right="1058"/>
      </w:pPr>
      <w:r>
        <w:rPr>
          <w:b/>
          <w:color w:val="000000"/>
        </w:rPr>
        <w:t xml:space="preserve">Legal requirements </w:t>
      </w:r>
      <w:r>
        <w:rPr>
          <w:color w:val="000000"/>
        </w:rPr>
        <w:t>– If required by law, such as a court order or statutory obligation, I must disclose information.</w:t>
      </w:r>
    </w:p>
    <w:p w14:paraId="0FDE6226" w14:textId="77777777" w:rsidR="006F507D" w:rsidRDefault="00000000">
      <w:pPr>
        <w:numPr>
          <w:ilvl w:val="1"/>
          <w:numId w:val="2"/>
        </w:numPr>
        <w:pBdr>
          <w:top w:val="nil"/>
          <w:left w:val="nil"/>
          <w:bottom w:val="nil"/>
          <w:right w:val="nil"/>
          <w:between w:val="nil"/>
        </w:pBdr>
        <w:tabs>
          <w:tab w:val="left" w:pos="741"/>
          <w:tab w:val="left" w:pos="743"/>
        </w:tabs>
        <w:spacing w:line="276" w:lineRule="auto"/>
        <w:ind w:right="361"/>
      </w:pPr>
      <w:r>
        <w:rPr>
          <w:b/>
          <w:color w:val="000000"/>
        </w:rPr>
        <w:t xml:space="preserve">Supervision </w:t>
      </w:r>
      <w:r>
        <w:rPr>
          <w:color w:val="000000"/>
        </w:rPr>
        <w:t>– Depending on the therapist, I am either registered with the HPCSA myself or receive supervision from an HPCSA registered practitioner. As such, sessions may be audio-recorded and reviewed confidentially in supervision.</w:t>
      </w:r>
    </w:p>
    <w:p w14:paraId="6167F64A" w14:textId="77777777" w:rsidR="006F507D" w:rsidRDefault="00000000">
      <w:pPr>
        <w:numPr>
          <w:ilvl w:val="1"/>
          <w:numId w:val="2"/>
        </w:numPr>
        <w:pBdr>
          <w:top w:val="nil"/>
          <w:left w:val="nil"/>
          <w:bottom w:val="nil"/>
          <w:right w:val="nil"/>
          <w:between w:val="nil"/>
        </w:pBdr>
        <w:tabs>
          <w:tab w:val="left" w:pos="741"/>
          <w:tab w:val="left" w:pos="743"/>
        </w:tabs>
        <w:spacing w:line="276" w:lineRule="auto"/>
        <w:ind w:right="116"/>
        <w:jc w:val="both"/>
      </w:pPr>
      <w:r>
        <w:rPr>
          <w:b/>
          <w:color w:val="000000"/>
        </w:rPr>
        <w:t xml:space="preserve">Administrative processes </w:t>
      </w:r>
      <w:r>
        <w:rPr>
          <w:color w:val="000000"/>
        </w:rPr>
        <w:t xml:space="preserve">– Personal information may be accessed by the practice manager for scheduling, billing, or operational purposes in compliance with the </w:t>
      </w:r>
      <w:r>
        <w:rPr>
          <w:b/>
          <w:color w:val="000000"/>
        </w:rPr>
        <w:t>POPI Act 4 of 2013</w:t>
      </w:r>
      <w:r>
        <w:rPr>
          <w:color w:val="000000"/>
        </w:rPr>
        <w:t>.</w:t>
      </w:r>
    </w:p>
    <w:p w14:paraId="6C604E58" w14:textId="77777777" w:rsidR="006F507D" w:rsidRDefault="00000000">
      <w:pPr>
        <w:numPr>
          <w:ilvl w:val="1"/>
          <w:numId w:val="2"/>
        </w:numPr>
        <w:pBdr>
          <w:top w:val="nil"/>
          <w:left w:val="nil"/>
          <w:bottom w:val="nil"/>
          <w:right w:val="nil"/>
          <w:between w:val="nil"/>
        </w:pBdr>
        <w:tabs>
          <w:tab w:val="left" w:pos="741"/>
          <w:tab w:val="left" w:pos="743"/>
        </w:tabs>
        <w:spacing w:line="276" w:lineRule="auto"/>
        <w:ind w:right="153"/>
      </w:pPr>
      <w:r>
        <w:rPr>
          <w:b/>
          <w:color w:val="000000"/>
        </w:rPr>
        <w:t xml:space="preserve">Minors </w:t>
      </w:r>
      <w:r>
        <w:rPr>
          <w:color w:val="000000"/>
        </w:rPr>
        <w:t>– For clients under 14 years of age, general updates may be shared with parents or guardians, but specific session content remains confidential unless safety concerns arise.</w:t>
      </w:r>
    </w:p>
    <w:p w14:paraId="45AA8187" w14:textId="77777777" w:rsidR="006F507D" w:rsidRDefault="006F507D">
      <w:pPr>
        <w:pBdr>
          <w:top w:val="nil"/>
          <w:left w:val="nil"/>
          <w:bottom w:val="nil"/>
          <w:right w:val="nil"/>
          <w:between w:val="nil"/>
        </w:pBdr>
        <w:spacing w:before="27"/>
        <w:rPr>
          <w:color w:val="000000"/>
        </w:rPr>
      </w:pPr>
    </w:p>
    <w:p w14:paraId="3937DFC0" w14:textId="77777777" w:rsidR="006F507D" w:rsidRDefault="00000000">
      <w:pPr>
        <w:pStyle w:val="Heading2"/>
        <w:ind w:firstLine="23"/>
      </w:pPr>
      <w:r>
        <w:t>Record-Keeping</w:t>
      </w:r>
    </w:p>
    <w:p w14:paraId="2F8F9C12" w14:textId="77777777" w:rsidR="006F507D" w:rsidRDefault="00000000">
      <w:pPr>
        <w:pBdr>
          <w:top w:val="nil"/>
          <w:left w:val="nil"/>
          <w:bottom w:val="nil"/>
          <w:right w:val="nil"/>
          <w:between w:val="nil"/>
        </w:pBdr>
        <w:spacing w:before="285" w:line="276" w:lineRule="auto"/>
        <w:ind w:left="23" w:right="335"/>
        <w:jc w:val="both"/>
        <w:rPr>
          <w:color w:val="000000"/>
        </w:rPr>
      </w:pPr>
      <w:r>
        <w:rPr>
          <w:color w:val="000000"/>
        </w:rPr>
        <w:t xml:space="preserve">Session notes and client records will be securely stored for </w:t>
      </w:r>
      <w:r>
        <w:rPr>
          <w:b/>
          <w:color w:val="000000"/>
        </w:rPr>
        <w:t>six years</w:t>
      </w:r>
      <w:r>
        <w:rPr>
          <w:color w:val="000000"/>
        </w:rPr>
        <w:t>, as per professional guidelines. Thereafter, they may be destroyed. I consent to my information being stored in password-encrypted digital files. Appointments may be recorded on a password-protected electronic calendar.</w:t>
      </w:r>
    </w:p>
    <w:p w14:paraId="336337C8" w14:textId="77777777" w:rsidR="006F507D" w:rsidRDefault="006F507D">
      <w:pPr>
        <w:pBdr>
          <w:top w:val="nil"/>
          <w:left w:val="nil"/>
          <w:bottom w:val="nil"/>
          <w:right w:val="nil"/>
          <w:between w:val="nil"/>
        </w:pBdr>
        <w:spacing w:before="27"/>
        <w:rPr>
          <w:color w:val="000000"/>
        </w:rPr>
      </w:pPr>
    </w:p>
    <w:p w14:paraId="005FB3F3" w14:textId="77777777" w:rsidR="006F507D" w:rsidRDefault="00000000">
      <w:pPr>
        <w:pStyle w:val="Heading2"/>
        <w:ind w:firstLine="23"/>
      </w:pPr>
      <w:r>
        <w:t>Session Duration &amp; Costs</w:t>
      </w:r>
    </w:p>
    <w:p w14:paraId="72871EE8" w14:textId="77777777" w:rsidR="006F507D" w:rsidRDefault="00000000">
      <w:pPr>
        <w:pBdr>
          <w:top w:val="nil"/>
          <w:left w:val="nil"/>
          <w:bottom w:val="nil"/>
          <w:right w:val="nil"/>
          <w:between w:val="nil"/>
        </w:pBdr>
        <w:spacing w:before="285" w:line="276" w:lineRule="auto"/>
        <w:ind w:left="23" w:right="92"/>
        <w:rPr>
          <w:color w:val="000000"/>
        </w:rPr>
        <w:sectPr w:rsidR="006F507D">
          <w:headerReference w:type="even" r:id="rId9"/>
          <w:headerReference w:type="default" r:id="rId10"/>
          <w:footerReference w:type="even" r:id="rId11"/>
          <w:footerReference w:type="default" r:id="rId12"/>
          <w:headerReference w:type="first" r:id="rId13"/>
          <w:footerReference w:type="first" r:id="rId14"/>
          <w:pgSz w:w="11920" w:h="16840"/>
          <w:pgMar w:top="2000" w:right="1417" w:bottom="280" w:left="1417" w:header="750" w:footer="0" w:gutter="0"/>
          <w:pgNumType w:start="1"/>
          <w:cols w:space="720"/>
        </w:sectPr>
      </w:pPr>
      <w:r>
        <w:rPr>
          <w:color w:val="000000"/>
        </w:rPr>
        <w:t xml:space="preserve">Sessions typically last </w:t>
      </w:r>
      <w:r>
        <w:rPr>
          <w:b/>
          <w:color w:val="000000"/>
        </w:rPr>
        <w:t>51 minutes</w:t>
      </w:r>
      <w:r>
        <w:rPr>
          <w:color w:val="000000"/>
        </w:rPr>
        <w:t xml:space="preserve">. Either party may terminate counselling at any stage. The maximum session limit is </w:t>
      </w:r>
      <w:r>
        <w:rPr>
          <w:b/>
          <w:color w:val="000000"/>
        </w:rPr>
        <w:t>12 sessions</w:t>
      </w:r>
      <w:r>
        <w:rPr>
          <w:color w:val="000000"/>
        </w:rPr>
        <w:t xml:space="preserve">, unless formally agreed otherwise. Fees are outlined in the financial contract. Missed appointments may be charged as per the </w:t>
      </w:r>
      <w:r>
        <w:rPr>
          <w:b/>
          <w:color w:val="000000"/>
        </w:rPr>
        <w:t>Consumer Protection Act, No. 68 of 2008</w:t>
      </w:r>
      <w:r>
        <w:rPr>
          <w:color w:val="000000"/>
        </w:rPr>
        <w:t xml:space="preserve">. Unpaid balances beyond </w:t>
      </w:r>
      <w:r>
        <w:rPr>
          <w:b/>
          <w:color w:val="000000"/>
        </w:rPr>
        <w:t xml:space="preserve">30 days </w:t>
      </w:r>
      <w:r>
        <w:rPr>
          <w:color w:val="000000"/>
        </w:rPr>
        <w:t xml:space="preserve">may be referred </w:t>
      </w:r>
      <w:proofErr w:type="gramStart"/>
      <w:r>
        <w:rPr>
          <w:color w:val="000000"/>
        </w:rPr>
        <w:t>to</w:t>
      </w:r>
      <w:proofErr w:type="gramEnd"/>
      <w:r>
        <w:rPr>
          <w:color w:val="000000"/>
        </w:rPr>
        <w:t xml:space="preserve"> a debt collector.</w:t>
      </w:r>
    </w:p>
    <w:p w14:paraId="44B99BE0" w14:textId="77777777" w:rsidR="006F507D" w:rsidRDefault="00000000">
      <w:pPr>
        <w:pStyle w:val="Heading2"/>
        <w:spacing w:before="98"/>
        <w:ind w:firstLine="23"/>
      </w:pPr>
      <w:r>
        <w:lastRenderedPageBreak/>
        <w:t>Acknowledgment</w:t>
      </w:r>
    </w:p>
    <w:p w14:paraId="1F9DB053" w14:textId="77777777" w:rsidR="006F507D" w:rsidRDefault="00000000">
      <w:pPr>
        <w:pBdr>
          <w:top w:val="nil"/>
          <w:left w:val="nil"/>
          <w:bottom w:val="nil"/>
          <w:right w:val="nil"/>
          <w:between w:val="nil"/>
        </w:pBdr>
        <w:spacing w:before="285" w:line="276" w:lineRule="auto"/>
        <w:ind w:left="23"/>
        <w:rPr>
          <w:color w:val="000000"/>
        </w:rPr>
      </w:pPr>
      <w:r>
        <w:rPr>
          <w:color w:val="000000"/>
        </w:rPr>
        <w:t>I acknowledge that I have read and understood the confidentiality policy and counselling terms.</w:t>
      </w:r>
    </w:p>
    <w:p w14:paraId="7F8232B8" w14:textId="77777777" w:rsidR="006F507D" w:rsidRDefault="00000000">
      <w:pPr>
        <w:pBdr>
          <w:top w:val="nil"/>
          <w:left w:val="nil"/>
          <w:bottom w:val="nil"/>
          <w:right w:val="nil"/>
          <w:between w:val="nil"/>
        </w:pBdr>
        <w:spacing w:before="240"/>
        <w:ind w:left="23"/>
        <w:rPr>
          <w:color w:val="000000"/>
          <w:sz w:val="36"/>
          <w:szCs w:val="36"/>
          <w:vertAlign w:val="subscript"/>
        </w:rPr>
      </w:pPr>
      <w:r>
        <w:rPr>
          <w:color w:val="000000"/>
        </w:rPr>
        <w:t xml:space="preserve">Client Signature: </w:t>
      </w:r>
      <w:r>
        <w:rPr>
          <w:noProof/>
          <w:color w:val="000000"/>
          <w:sz w:val="36"/>
          <w:szCs w:val="36"/>
          <w:vertAlign w:val="subscript"/>
        </w:rPr>
        <w:drawing>
          <wp:inline distT="0" distB="0" distL="0" distR="0" wp14:anchorId="0D666C77" wp14:editId="2D5BDBEF">
            <wp:extent cx="2143125" cy="33528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143125" cy="335280"/>
                    </a:xfrm>
                    <a:prstGeom prst="rect">
                      <a:avLst/>
                    </a:prstGeom>
                    <a:ln/>
                  </pic:spPr>
                </pic:pic>
              </a:graphicData>
            </a:graphic>
          </wp:inline>
        </w:drawing>
      </w:r>
    </w:p>
    <w:p w14:paraId="40E0C37D" w14:textId="77777777" w:rsidR="006F507D" w:rsidRDefault="00000000">
      <w:pPr>
        <w:pBdr>
          <w:top w:val="nil"/>
          <w:left w:val="nil"/>
          <w:bottom w:val="nil"/>
          <w:right w:val="nil"/>
          <w:between w:val="nil"/>
        </w:pBdr>
        <w:spacing w:before="246"/>
        <w:ind w:left="23"/>
        <w:rPr>
          <w:color w:val="000000"/>
          <w:sz w:val="36"/>
          <w:szCs w:val="36"/>
          <w:vertAlign w:val="subscript"/>
        </w:rPr>
      </w:pPr>
      <w:r>
        <w:rPr>
          <w:color w:val="000000"/>
        </w:rPr>
        <w:t xml:space="preserve">Date: </w:t>
      </w:r>
      <w:r>
        <w:rPr>
          <w:noProof/>
          <w:color w:val="000000"/>
          <w:sz w:val="36"/>
          <w:szCs w:val="36"/>
          <w:vertAlign w:val="subscript"/>
        </w:rPr>
        <w:drawing>
          <wp:inline distT="0" distB="0" distL="0" distR="0" wp14:anchorId="38113D56" wp14:editId="086ADA19">
            <wp:extent cx="2796540" cy="35052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796540" cy="350520"/>
                    </a:xfrm>
                    <a:prstGeom prst="rect">
                      <a:avLst/>
                    </a:prstGeom>
                    <a:ln/>
                  </pic:spPr>
                </pic:pic>
              </a:graphicData>
            </a:graphic>
          </wp:inline>
        </w:drawing>
      </w:r>
    </w:p>
    <w:p w14:paraId="09B87BFD" w14:textId="77777777" w:rsidR="006F507D" w:rsidRDefault="00000000">
      <w:pPr>
        <w:pBdr>
          <w:top w:val="nil"/>
          <w:left w:val="nil"/>
          <w:bottom w:val="nil"/>
          <w:right w:val="nil"/>
          <w:between w:val="nil"/>
        </w:pBdr>
        <w:spacing w:before="246"/>
        <w:ind w:left="23"/>
        <w:rPr>
          <w:color w:val="000000"/>
          <w:sz w:val="36"/>
          <w:szCs w:val="36"/>
          <w:vertAlign w:val="subscript"/>
        </w:rPr>
      </w:pPr>
      <w:r>
        <w:rPr>
          <w:color w:val="000000"/>
        </w:rPr>
        <w:t xml:space="preserve">Counsellor Signature: </w:t>
      </w:r>
      <w:r>
        <w:rPr>
          <w:noProof/>
          <w:color w:val="000000"/>
          <w:sz w:val="36"/>
          <w:szCs w:val="36"/>
          <w:vertAlign w:val="subscript"/>
        </w:rPr>
        <w:drawing>
          <wp:inline distT="0" distB="0" distL="0" distR="0" wp14:anchorId="063D99FF" wp14:editId="044985DC">
            <wp:extent cx="1784985" cy="34290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784985" cy="342900"/>
                    </a:xfrm>
                    <a:prstGeom prst="rect">
                      <a:avLst/>
                    </a:prstGeom>
                    <a:ln/>
                  </pic:spPr>
                </pic:pic>
              </a:graphicData>
            </a:graphic>
          </wp:inline>
        </w:drawing>
      </w:r>
    </w:p>
    <w:p w14:paraId="057949C4" w14:textId="77777777" w:rsidR="006F507D" w:rsidRDefault="00000000">
      <w:pPr>
        <w:pBdr>
          <w:top w:val="nil"/>
          <w:left w:val="nil"/>
          <w:bottom w:val="nil"/>
          <w:right w:val="nil"/>
          <w:between w:val="nil"/>
        </w:pBdr>
        <w:spacing w:before="246"/>
        <w:ind w:left="23"/>
        <w:rPr>
          <w:color w:val="000000"/>
          <w:sz w:val="36"/>
          <w:szCs w:val="36"/>
          <w:vertAlign w:val="subscript"/>
        </w:rPr>
      </w:pPr>
      <w:r>
        <w:rPr>
          <w:color w:val="000000"/>
        </w:rPr>
        <w:t xml:space="preserve">Date:  </w:t>
      </w:r>
      <w:r>
        <w:rPr>
          <w:noProof/>
          <w:color w:val="000000"/>
          <w:sz w:val="36"/>
          <w:szCs w:val="36"/>
          <w:vertAlign w:val="subscript"/>
        </w:rPr>
        <w:drawing>
          <wp:inline distT="0" distB="0" distL="0" distR="0" wp14:anchorId="13A10192" wp14:editId="22C5FDCE">
            <wp:extent cx="2781300" cy="32766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781300" cy="327660"/>
                    </a:xfrm>
                    <a:prstGeom prst="rect">
                      <a:avLst/>
                    </a:prstGeom>
                    <a:ln/>
                  </pic:spPr>
                </pic:pic>
              </a:graphicData>
            </a:graphic>
          </wp:inline>
        </w:drawing>
      </w:r>
    </w:p>
    <w:p w14:paraId="190FA82A" w14:textId="77777777" w:rsidR="006F507D" w:rsidRDefault="00000000">
      <w:pPr>
        <w:pBdr>
          <w:top w:val="nil"/>
          <w:left w:val="nil"/>
          <w:bottom w:val="nil"/>
          <w:right w:val="nil"/>
          <w:between w:val="nil"/>
        </w:pBdr>
        <w:spacing w:before="163"/>
        <w:rPr>
          <w:color w:val="000000"/>
          <w:sz w:val="20"/>
          <w:szCs w:val="20"/>
        </w:rPr>
      </w:pPr>
      <w:r>
        <w:rPr>
          <w:noProof/>
        </w:rPr>
        <mc:AlternateContent>
          <mc:Choice Requires="wps">
            <w:drawing>
              <wp:anchor distT="0" distB="0" distL="0" distR="0" simplePos="0" relativeHeight="251659264" behindDoc="0" locked="0" layoutInCell="1" hidden="0" allowOverlap="1" wp14:anchorId="20A6916B" wp14:editId="31257796">
                <wp:simplePos x="0" y="0"/>
                <wp:positionH relativeFrom="column">
                  <wp:posOffset>50800</wp:posOffset>
                </wp:positionH>
                <wp:positionV relativeFrom="paragraph">
                  <wp:posOffset>254000</wp:posOffset>
                </wp:positionV>
                <wp:extent cx="1270" cy="12700"/>
                <wp:effectExtent l="0" t="0" r="0" b="0"/>
                <wp:wrapTopAndBottom distT="0" distB="0"/>
                <wp:docPr id="13" name="Freeform: Shape 13"/>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496" y="0"/>
                              </a:lnTo>
                            </a:path>
                          </a:pathLst>
                        </a:custGeom>
                        <a:noFill/>
                        <a:ln w="12675"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254000</wp:posOffset>
                </wp:positionV>
                <wp:extent cx="1270" cy="12700"/>
                <wp:effectExtent b="0" l="0" r="0" t="0"/>
                <wp:wrapTopAndBottom distB="0" distT="0"/>
                <wp:docPr id="1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08B3236F" w14:textId="77777777" w:rsidR="006F507D" w:rsidRDefault="006F507D">
      <w:pPr>
        <w:pBdr>
          <w:top w:val="nil"/>
          <w:left w:val="nil"/>
          <w:bottom w:val="nil"/>
          <w:right w:val="nil"/>
          <w:between w:val="nil"/>
        </w:pBdr>
        <w:spacing w:before="216"/>
        <w:rPr>
          <w:color w:val="000000"/>
        </w:rPr>
      </w:pPr>
    </w:p>
    <w:p w14:paraId="5B631A70" w14:textId="77777777" w:rsidR="006F507D" w:rsidRDefault="006F507D">
      <w:pPr>
        <w:pBdr>
          <w:top w:val="nil"/>
          <w:left w:val="nil"/>
          <w:bottom w:val="nil"/>
          <w:right w:val="nil"/>
          <w:between w:val="nil"/>
        </w:pBdr>
        <w:spacing w:before="216"/>
        <w:rPr>
          <w:color w:val="000000"/>
        </w:rPr>
      </w:pPr>
    </w:p>
    <w:p w14:paraId="271AC1DD" w14:textId="41885DAE" w:rsidR="006F507D" w:rsidRDefault="006F507D">
      <w:pPr>
        <w:pBdr>
          <w:top w:val="nil"/>
          <w:left w:val="nil"/>
          <w:bottom w:val="nil"/>
          <w:right w:val="nil"/>
          <w:between w:val="nil"/>
        </w:pBdr>
        <w:spacing w:line="276" w:lineRule="auto"/>
        <w:ind w:left="23"/>
        <w:rPr>
          <w:i/>
          <w:color w:val="000000"/>
        </w:rPr>
      </w:pPr>
    </w:p>
    <w:sectPr w:rsidR="006F507D">
      <w:pgSz w:w="11920" w:h="16840"/>
      <w:pgMar w:top="2000" w:right="1417" w:bottom="280" w:left="1417" w:header="7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CC4AD" w14:textId="77777777" w:rsidR="00533001" w:rsidRDefault="00533001">
      <w:r>
        <w:separator/>
      </w:r>
    </w:p>
  </w:endnote>
  <w:endnote w:type="continuationSeparator" w:id="0">
    <w:p w14:paraId="7E2392D0" w14:textId="77777777" w:rsidR="00533001" w:rsidRDefault="0053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CCD7" w14:textId="77777777" w:rsidR="006F507D" w:rsidRDefault="006F507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9D50" w14:textId="77777777" w:rsidR="006F507D" w:rsidRDefault="00000000">
    <w:pPr>
      <w:tabs>
        <w:tab w:val="center" w:pos="4550"/>
        <w:tab w:val="left" w:pos="5818"/>
      </w:tabs>
      <w:ind w:right="260"/>
      <w:jc w:val="right"/>
      <w:rPr>
        <w:sz w:val="24"/>
        <w:szCs w:val="24"/>
      </w:rPr>
    </w:pPr>
    <w:r>
      <w:rPr>
        <w:sz w:val="24"/>
        <w:szCs w:val="24"/>
      </w:rPr>
      <w:t xml:space="preserve">Page </w:t>
    </w:r>
    <w:r>
      <w:rPr>
        <w:sz w:val="24"/>
        <w:szCs w:val="24"/>
      </w:rPr>
      <w:fldChar w:fldCharType="begin"/>
    </w:r>
    <w:r>
      <w:rPr>
        <w:sz w:val="24"/>
        <w:szCs w:val="24"/>
      </w:rPr>
      <w:instrText>PAGE</w:instrText>
    </w:r>
    <w:r>
      <w:rPr>
        <w:sz w:val="24"/>
        <w:szCs w:val="24"/>
      </w:rPr>
      <w:fldChar w:fldCharType="separate"/>
    </w:r>
    <w:r w:rsidR="002B3553">
      <w:rPr>
        <w:noProof/>
        <w:sz w:val="24"/>
        <w:szCs w:val="24"/>
      </w:rPr>
      <w:t>1</w:t>
    </w:r>
    <w:r>
      <w:rPr>
        <w:sz w:val="24"/>
        <w:szCs w:val="24"/>
      </w:rPr>
      <w:fldChar w:fldCharType="end"/>
    </w:r>
    <w:r>
      <w:rPr>
        <w:sz w:val="24"/>
        <w:szCs w:val="24"/>
      </w:rPr>
      <w:t xml:space="preserve"> | </w:t>
    </w:r>
    <w:r>
      <w:rPr>
        <w:sz w:val="24"/>
        <w:szCs w:val="24"/>
      </w:rPr>
      <w:fldChar w:fldCharType="begin"/>
    </w:r>
    <w:r>
      <w:rPr>
        <w:sz w:val="24"/>
        <w:szCs w:val="24"/>
      </w:rPr>
      <w:instrText>NUMPAGES</w:instrText>
    </w:r>
    <w:r>
      <w:rPr>
        <w:sz w:val="24"/>
        <w:szCs w:val="24"/>
      </w:rPr>
      <w:fldChar w:fldCharType="separate"/>
    </w:r>
    <w:r w:rsidR="002B3553">
      <w:rPr>
        <w:noProof/>
        <w:sz w:val="24"/>
        <w:szCs w:val="24"/>
      </w:rPr>
      <w:t>2</w:t>
    </w:r>
    <w:r>
      <w:rPr>
        <w:sz w:val="24"/>
        <w:szCs w:val="24"/>
      </w:rPr>
      <w:fldChar w:fldCharType="end"/>
    </w:r>
  </w:p>
  <w:p w14:paraId="78AFE239" w14:textId="77777777" w:rsidR="006F507D" w:rsidRDefault="006F507D">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0899E" w14:textId="77777777" w:rsidR="006F507D" w:rsidRDefault="006F507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0BAF6" w14:textId="77777777" w:rsidR="00533001" w:rsidRDefault="00533001">
      <w:r>
        <w:separator/>
      </w:r>
    </w:p>
  </w:footnote>
  <w:footnote w:type="continuationSeparator" w:id="0">
    <w:p w14:paraId="7C5D65FC" w14:textId="77777777" w:rsidR="00533001" w:rsidRDefault="00533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12C2" w14:textId="77777777" w:rsidR="006F507D" w:rsidRDefault="006F507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52E5E" w14:textId="77777777" w:rsidR="006F507D" w:rsidRDefault="00000000">
    <w:pPr>
      <w:widowControl/>
      <w:spacing w:before="240" w:after="240" w:line="276" w:lineRule="auto"/>
      <w:rPr>
        <w:color w:val="000000"/>
        <w:sz w:val="20"/>
        <w:szCs w:val="20"/>
      </w:rPr>
    </w:pPr>
    <w:r>
      <w:rPr>
        <w:b/>
        <w:noProof/>
      </w:rPr>
      <w:drawing>
        <wp:inline distT="114300" distB="114300" distL="114300" distR="114300" wp14:anchorId="584207E0" wp14:editId="78351096">
          <wp:extent cx="1646331" cy="976313"/>
          <wp:effectExtent l="0" t="0" r="0" b="0"/>
          <wp:docPr id="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646331" cy="9763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8B6EE" w14:textId="77777777" w:rsidR="006F507D" w:rsidRDefault="006F507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1CA9"/>
    <w:multiLevelType w:val="multilevel"/>
    <w:tmpl w:val="5D2601CC"/>
    <w:lvl w:ilvl="0">
      <w:start w:val="1"/>
      <w:numFmt w:val="decimal"/>
      <w:lvlText w:val="%1."/>
      <w:lvlJc w:val="left"/>
      <w:pPr>
        <w:ind w:left="743" w:hanging="360"/>
      </w:pPr>
      <w:rPr>
        <w:rFonts w:ascii="Arial" w:eastAsia="Arial" w:hAnsi="Arial" w:cs="Arial"/>
        <w:b w:val="0"/>
        <w:i w:val="0"/>
        <w:sz w:val="22"/>
        <w:szCs w:val="22"/>
      </w:rPr>
    </w:lvl>
    <w:lvl w:ilvl="1">
      <w:numFmt w:val="bullet"/>
      <w:lvlText w:val="•"/>
      <w:lvlJc w:val="left"/>
      <w:pPr>
        <w:ind w:left="1574" w:hanging="360"/>
      </w:pPr>
    </w:lvl>
    <w:lvl w:ilvl="2">
      <w:numFmt w:val="bullet"/>
      <w:lvlText w:val="•"/>
      <w:lvlJc w:val="left"/>
      <w:pPr>
        <w:ind w:left="2409" w:hanging="360"/>
      </w:pPr>
    </w:lvl>
    <w:lvl w:ilvl="3">
      <w:numFmt w:val="bullet"/>
      <w:lvlText w:val="•"/>
      <w:lvlJc w:val="left"/>
      <w:pPr>
        <w:ind w:left="3243" w:hanging="360"/>
      </w:pPr>
    </w:lvl>
    <w:lvl w:ilvl="4">
      <w:numFmt w:val="bullet"/>
      <w:lvlText w:val="•"/>
      <w:lvlJc w:val="left"/>
      <w:pPr>
        <w:ind w:left="4078" w:hanging="360"/>
      </w:pPr>
    </w:lvl>
    <w:lvl w:ilvl="5">
      <w:numFmt w:val="bullet"/>
      <w:lvlText w:val="•"/>
      <w:lvlJc w:val="left"/>
      <w:pPr>
        <w:ind w:left="4913" w:hanging="360"/>
      </w:pPr>
    </w:lvl>
    <w:lvl w:ilvl="6">
      <w:numFmt w:val="bullet"/>
      <w:lvlText w:val="•"/>
      <w:lvlJc w:val="left"/>
      <w:pPr>
        <w:ind w:left="5747" w:hanging="360"/>
      </w:pPr>
    </w:lvl>
    <w:lvl w:ilvl="7">
      <w:numFmt w:val="bullet"/>
      <w:lvlText w:val="•"/>
      <w:lvlJc w:val="left"/>
      <w:pPr>
        <w:ind w:left="6582" w:hanging="360"/>
      </w:pPr>
    </w:lvl>
    <w:lvl w:ilvl="8">
      <w:numFmt w:val="bullet"/>
      <w:lvlText w:val="•"/>
      <w:lvlJc w:val="left"/>
      <w:pPr>
        <w:ind w:left="7416" w:hanging="360"/>
      </w:pPr>
    </w:lvl>
  </w:abstractNum>
  <w:abstractNum w:abstractNumId="1" w15:restartNumberingAfterBreak="0">
    <w:nsid w:val="1F28697D"/>
    <w:multiLevelType w:val="multilevel"/>
    <w:tmpl w:val="76FADFC6"/>
    <w:lvl w:ilvl="0">
      <w:start w:val="1"/>
      <w:numFmt w:val="decimal"/>
      <w:lvlText w:val="%1."/>
      <w:lvlJc w:val="left"/>
      <w:pPr>
        <w:ind w:left="400" w:hanging="378"/>
      </w:pPr>
      <w:rPr>
        <w:rFonts w:ascii="Arial" w:eastAsia="Arial" w:hAnsi="Arial" w:cs="Arial"/>
        <w:b/>
        <w:i w:val="0"/>
        <w:sz w:val="34"/>
        <w:szCs w:val="34"/>
      </w:rPr>
    </w:lvl>
    <w:lvl w:ilvl="1">
      <w:start w:val="1"/>
      <w:numFmt w:val="decimal"/>
      <w:lvlText w:val="%2."/>
      <w:lvlJc w:val="left"/>
      <w:pPr>
        <w:ind w:left="743" w:hanging="360"/>
      </w:pPr>
      <w:rPr>
        <w:rFonts w:ascii="Arial" w:eastAsia="Arial" w:hAnsi="Arial" w:cs="Arial"/>
        <w:b w:val="0"/>
        <w:i w:val="0"/>
        <w:sz w:val="22"/>
        <w:szCs w:val="22"/>
      </w:rPr>
    </w:lvl>
    <w:lvl w:ilvl="2">
      <w:numFmt w:val="bullet"/>
      <w:lvlText w:val="•"/>
      <w:lvlJc w:val="left"/>
      <w:pPr>
        <w:ind w:left="1667" w:hanging="360"/>
      </w:pPr>
    </w:lvl>
    <w:lvl w:ilvl="3">
      <w:numFmt w:val="bullet"/>
      <w:lvlText w:val="•"/>
      <w:lvlJc w:val="left"/>
      <w:pPr>
        <w:ind w:left="2594" w:hanging="360"/>
      </w:pPr>
    </w:lvl>
    <w:lvl w:ilvl="4">
      <w:numFmt w:val="bullet"/>
      <w:lvlText w:val="•"/>
      <w:lvlJc w:val="left"/>
      <w:pPr>
        <w:ind w:left="3522" w:hanging="360"/>
      </w:pPr>
    </w:lvl>
    <w:lvl w:ilvl="5">
      <w:numFmt w:val="bullet"/>
      <w:lvlText w:val="•"/>
      <w:lvlJc w:val="left"/>
      <w:pPr>
        <w:ind w:left="4449" w:hanging="360"/>
      </w:pPr>
    </w:lvl>
    <w:lvl w:ilvl="6">
      <w:numFmt w:val="bullet"/>
      <w:lvlText w:val="•"/>
      <w:lvlJc w:val="left"/>
      <w:pPr>
        <w:ind w:left="5376" w:hanging="360"/>
      </w:pPr>
    </w:lvl>
    <w:lvl w:ilvl="7">
      <w:numFmt w:val="bullet"/>
      <w:lvlText w:val="•"/>
      <w:lvlJc w:val="left"/>
      <w:pPr>
        <w:ind w:left="6304" w:hanging="360"/>
      </w:pPr>
    </w:lvl>
    <w:lvl w:ilvl="8">
      <w:numFmt w:val="bullet"/>
      <w:lvlText w:val="•"/>
      <w:lvlJc w:val="left"/>
      <w:pPr>
        <w:ind w:left="7231" w:hanging="360"/>
      </w:pPr>
    </w:lvl>
  </w:abstractNum>
  <w:num w:numId="1" w16cid:durableId="1197422906">
    <w:abstractNumId w:val="0"/>
  </w:num>
  <w:num w:numId="2" w16cid:durableId="2048673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7D"/>
    <w:rsid w:val="002B3553"/>
    <w:rsid w:val="00533001"/>
    <w:rsid w:val="006F507D"/>
    <w:rsid w:val="008828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09CB"/>
  <w15:docId w15:val="{19004508-E302-49B3-8FC9-27155044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Z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23" w:hanging="376"/>
      <w:outlineLvl w:val="0"/>
    </w:pPr>
    <w:rPr>
      <w:b/>
      <w:bCs/>
      <w:sz w:val="34"/>
      <w:szCs w:val="34"/>
    </w:rPr>
  </w:style>
  <w:style w:type="paragraph" w:styleId="Heading2">
    <w:name w:val="heading 2"/>
    <w:basedOn w:val="Normal"/>
    <w:uiPriority w:val="9"/>
    <w:unhideWhenUsed/>
    <w:qFormat/>
    <w:pPr>
      <w:ind w:left="23"/>
      <w:outlineLvl w:val="1"/>
    </w:pPr>
    <w:rPr>
      <w:b/>
      <w:bCs/>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B63D46"/>
    <w:pPr>
      <w:tabs>
        <w:tab w:val="center" w:pos="4513"/>
        <w:tab w:val="right" w:pos="9026"/>
      </w:tabs>
    </w:pPr>
  </w:style>
  <w:style w:type="character" w:customStyle="1" w:styleId="HeaderChar">
    <w:name w:val="Header Char"/>
    <w:basedOn w:val="DefaultParagraphFont"/>
    <w:link w:val="Header"/>
    <w:uiPriority w:val="99"/>
    <w:rsid w:val="00B63D46"/>
    <w:rPr>
      <w:rFonts w:ascii="Arial" w:eastAsia="Arial" w:hAnsi="Arial" w:cs="Arial"/>
    </w:rPr>
  </w:style>
  <w:style w:type="paragraph" w:styleId="Footer">
    <w:name w:val="footer"/>
    <w:basedOn w:val="Normal"/>
    <w:link w:val="FooterChar"/>
    <w:uiPriority w:val="99"/>
    <w:unhideWhenUsed/>
    <w:rsid w:val="00B63D46"/>
    <w:pPr>
      <w:tabs>
        <w:tab w:val="center" w:pos="4513"/>
        <w:tab w:val="right" w:pos="9026"/>
      </w:tabs>
    </w:pPr>
  </w:style>
  <w:style w:type="character" w:customStyle="1" w:styleId="FooterChar">
    <w:name w:val="Footer Char"/>
    <w:basedOn w:val="DefaultParagraphFont"/>
    <w:link w:val="Footer"/>
    <w:uiPriority w:val="99"/>
    <w:rsid w:val="00B63D46"/>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RM/iMNBntXqjv/qPnX69iQGuQ==">CgMxLjA4AHIhMVNvYkt0a2x3T1BCU1lIcDE2V0p2bzVBUTh1eVlsTEpE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lifschitz</dc:creator>
  <cp:lastModifiedBy>joshua lifschitz</cp:lastModifiedBy>
  <cp:revision>2</cp:revision>
  <dcterms:created xsi:type="dcterms:W3CDTF">2025-04-22T10:43:00Z</dcterms:created>
  <dcterms:modified xsi:type="dcterms:W3CDTF">2025-04-22T10:43:00Z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2025-02-24T00:00:00Z</vt:filetime>
  </property>
  <property fmtid="{D5CDD505-2E9C-101B-9397-08002B2CF9AE}" pid="4" name="Producer">
    <vt:lpwstr>3-Heights(TM) PDF Security Shell 4.8.25.2 (http://www.pdf-tools.com)</vt:lpwstr>
  </property>
</Properties>
</file>