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F9" w:rsidRDefault="009540F9">
      <w:pPr>
        <w:pStyle w:val="normal0"/>
        <w:spacing w:before="240"/>
        <w:rPr>
          <w:b/>
          <w:sz w:val="34"/>
          <w:szCs w:val="34"/>
        </w:rPr>
      </w:pPr>
      <w:r w:rsidRPr="009540F9">
        <w:rPr>
          <w:b/>
          <w:sz w:val="34"/>
          <w:szCs w:val="34"/>
        </w:rPr>
        <w:drawing>
          <wp:inline distT="0" distB="0" distL="0" distR="0">
            <wp:extent cx="2004611" cy="1296500"/>
            <wp:effectExtent l="19050" t="0" r="0" b="0"/>
            <wp:docPr id="1" name="Picture 1" descr="C:\Users\Soulstis\Downloads\Soulstis image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lstis\Downloads\Soulstis image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11" cy="12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15" w:rsidRDefault="009540F9">
      <w:pPr>
        <w:pStyle w:val="normal0"/>
        <w:spacing w:before="240"/>
        <w:rPr>
          <w:b/>
          <w:sz w:val="34"/>
          <w:szCs w:val="34"/>
        </w:rPr>
      </w:pPr>
      <w:proofErr w:type="spellStart"/>
      <w:r>
        <w:rPr>
          <w:b/>
          <w:sz w:val="34"/>
          <w:szCs w:val="34"/>
        </w:rPr>
        <w:t>Toradol</w:t>
      </w:r>
      <w:proofErr w:type="spellEnd"/>
    </w:p>
    <w:p w:rsidR="00D20B15" w:rsidRDefault="009540F9">
      <w:pPr>
        <w:pStyle w:val="normal0"/>
        <w:spacing w:before="2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Overview</w:t>
      </w:r>
    </w:p>
    <w:p w:rsidR="00D20B15" w:rsidRDefault="009540F9">
      <w:pPr>
        <w:pStyle w:val="normal0"/>
        <w:spacing w:before="240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Ketorolac</w:t>
      </w:r>
      <w:proofErr w:type="spellEnd"/>
      <w:r>
        <w:rPr>
          <w:sz w:val="24"/>
          <w:szCs w:val="24"/>
          <w:highlight w:val="white"/>
        </w:rPr>
        <w:t xml:space="preserve"> (</w:t>
      </w:r>
      <w:proofErr w:type="spellStart"/>
      <w:r>
        <w:rPr>
          <w:sz w:val="24"/>
          <w:szCs w:val="24"/>
          <w:highlight w:val="white"/>
        </w:rPr>
        <w:t>Toradol</w:t>
      </w:r>
      <w:proofErr w:type="spellEnd"/>
      <w:r>
        <w:rPr>
          <w:sz w:val="24"/>
          <w:szCs w:val="24"/>
          <w:highlight w:val="white"/>
        </w:rPr>
        <w:t xml:space="preserve">), is a </w:t>
      </w:r>
      <w:proofErr w:type="spellStart"/>
      <w:r>
        <w:rPr>
          <w:sz w:val="24"/>
          <w:szCs w:val="24"/>
          <w:highlight w:val="white"/>
        </w:rPr>
        <w:t>nonsteroidal</w:t>
      </w:r>
      <w:proofErr w:type="spellEnd"/>
      <w:r>
        <w:rPr>
          <w:sz w:val="24"/>
          <w:szCs w:val="24"/>
          <w:highlight w:val="white"/>
        </w:rPr>
        <w:t xml:space="preserve"> anti-inflammatory drug, is an option for the management of acute moderate-to-severe pain.</w:t>
      </w:r>
    </w:p>
    <w:p w:rsidR="00D20B15" w:rsidRDefault="009540F9">
      <w:pPr>
        <w:pStyle w:val="normal0"/>
        <w:spacing w:before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Do not take Ibuprofen, Naproxen, or Aspirin within 6 hours of IV/IM </w:t>
      </w:r>
      <w:proofErr w:type="spellStart"/>
      <w:r>
        <w:rPr>
          <w:sz w:val="24"/>
          <w:szCs w:val="24"/>
          <w:highlight w:val="white"/>
        </w:rPr>
        <w:t>Toradol</w:t>
      </w:r>
      <w:proofErr w:type="spellEnd"/>
      <w:r>
        <w:rPr>
          <w:sz w:val="24"/>
          <w:szCs w:val="24"/>
          <w:highlight w:val="white"/>
        </w:rPr>
        <w:t xml:space="preserve"> </w:t>
      </w:r>
    </w:p>
    <w:p w:rsidR="00D20B15" w:rsidRDefault="009540F9">
      <w:pPr>
        <w:pStyle w:val="normal0"/>
        <w:spacing w:before="2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Contraindications:</w:t>
      </w:r>
    </w:p>
    <w:p w:rsidR="00D20B15" w:rsidRDefault="009540F9">
      <w:pPr>
        <w:pStyle w:val="normal0"/>
        <w:numPr>
          <w:ilvl w:val="0"/>
          <w:numId w:val="1"/>
        </w:numPr>
        <w:shd w:val="clear" w:color="auto" w:fill="FFFFFF"/>
        <w:spacing w:before="4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Gastrointestinal risk: </w:t>
      </w:r>
      <w:proofErr w:type="spellStart"/>
      <w:r>
        <w:rPr>
          <w:sz w:val="24"/>
          <w:szCs w:val="24"/>
          <w:highlight w:val="white"/>
        </w:rPr>
        <w:t>Ketorolac</w:t>
      </w:r>
      <w:proofErr w:type="spellEnd"/>
      <w:r>
        <w:rPr>
          <w:sz w:val="24"/>
          <w:szCs w:val="24"/>
          <w:highlight w:val="white"/>
        </w:rPr>
        <w:t xml:space="preserve"> can cause peptic ulcers and perforations of the stomach or intestines. </w:t>
      </w:r>
    </w:p>
    <w:p w:rsidR="00D20B15" w:rsidRDefault="009540F9">
      <w:pPr>
        <w:pStyle w:val="normal0"/>
        <w:numPr>
          <w:ilvl w:val="0"/>
          <w:numId w:val="1"/>
        </w:numPr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Cardiovascular thrombosis: </w:t>
      </w:r>
      <w:proofErr w:type="spellStart"/>
      <w:r>
        <w:rPr>
          <w:sz w:val="24"/>
          <w:szCs w:val="24"/>
          <w:highlight w:val="white"/>
        </w:rPr>
        <w:t>Ketorolac</w:t>
      </w:r>
      <w:proofErr w:type="spellEnd"/>
      <w:r>
        <w:rPr>
          <w:sz w:val="24"/>
          <w:szCs w:val="24"/>
          <w:highlight w:val="white"/>
        </w:rPr>
        <w:t xml:space="preserve"> can cause an increased risk of cardiovascular thrombotic events, myocardial infarctions, and hemorrhagic stroke. H</w:t>
      </w:r>
      <w:r>
        <w:rPr>
          <w:sz w:val="24"/>
          <w:szCs w:val="24"/>
          <w:highlight w:val="white"/>
        </w:rPr>
        <w:t xml:space="preserve">eart failure is a significant risk factor for the adverse effects of NSAIDs. Renal risk: </w:t>
      </w:r>
      <w:proofErr w:type="spellStart"/>
      <w:r>
        <w:rPr>
          <w:sz w:val="24"/>
          <w:szCs w:val="24"/>
          <w:highlight w:val="white"/>
        </w:rPr>
        <w:t>Ketorolac</w:t>
      </w:r>
      <w:proofErr w:type="spellEnd"/>
      <w:r>
        <w:rPr>
          <w:sz w:val="24"/>
          <w:szCs w:val="24"/>
          <w:highlight w:val="white"/>
        </w:rPr>
        <w:t xml:space="preserve"> can cause renal damage and failure. </w:t>
      </w:r>
    </w:p>
    <w:p w:rsidR="00D20B15" w:rsidRDefault="009540F9">
      <w:pPr>
        <w:pStyle w:val="normal0"/>
        <w:numPr>
          <w:ilvl w:val="0"/>
          <w:numId w:val="1"/>
        </w:numPr>
        <w:shd w:val="clear" w:color="auto" w:fill="FFFFFF"/>
        <w:spacing w:after="4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Bleeding risk: </w:t>
      </w:r>
      <w:proofErr w:type="spellStart"/>
      <w:r>
        <w:rPr>
          <w:sz w:val="24"/>
          <w:szCs w:val="24"/>
          <w:highlight w:val="white"/>
        </w:rPr>
        <w:t>Ketorolac</w:t>
      </w:r>
      <w:proofErr w:type="spellEnd"/>
      <w:r>
        <w:rPr>
          <w:sz w:val="24"/>
          <w:szCs w:val="24"/>
          <w:highlight w:val="white"/>
        </w:rPr>
        <w:t xml:space="preserve"> should not be used in patients with a high risk of bleeding, hemorrhagic diathesis, </w:t>
      </w:r>
      <w:proofErr w:type="spellStart"/>
      <w:r>
        <w:rPr>
          <w:sz w:val="24"/>
          <w:szCs w:val="24"/>
          <w:highlight w:val="white"/>
        </w:rPr>
        <w:t>cerebrovasc</w:t>
      </w:r>
      <w:r>
        <w:rPr>
          <w:sz w:val="24"/>
          <w:szCs w:val="24"/>
          <w:highlight w:val="white"/>
        </w:rPr>
        <w:t>ular</w:t>
      </w:r>
      <w:proofErr w:type="spellEnd"/>
      <w:r>
        <w:rPr>
          <w:sz w:val="24"/>
          <w:szCs w:val="24"/>
          <w:highlight w:val="white"/>
        </w:rPr>
        <w:t xml:space="preserve"> bleeding, and incomplete </w:t>
      </w:r>
      <w:proofErr w:type="spellStart"/>
      <w:r>
        <w:rPr>
          <w:sz w:val="24"/>
          <w:szCs w:val="24"/>
          <w:highlight w:val="white"/>
        </w:rPr>
        <w:t>hemostasis</w:t>
      </w:r>
      <w:proofErr w:type="spellEnd"/>
      <w:r>
        <w:rPr>
          <w:sz w:val="24"/>
          <w:szCs w:val="24"/>
          <w:highlight w:val="white"/>
        </w:rPr>
        <w:t>.</w:t>
      </w:r>
    </w:p>
    <w:sectPr w:rsidR="00D20B15" w:rsidSect="00D20B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70666"/>
    <w:multiLevelType w:val="multilevel"/>
    <w:tmpl w:val="537C2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20B15"/>
    <w:rsid w:val="009540F9"/>
    <w:rsid w:val="00D2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20B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20B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20B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20B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20B1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20B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20B15"/>
  </w:style>
  <w:style w:type="paragraph" w:styleId="Title">
    <w:name w:val="Title"/>
    <w:basedOn w:val="normal0"/>
    <w:next w:val="normal0"/>
    <w:rsid w:val="00D20B1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20B15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Soulstis</cp:lastModifiedBy>
  <cp:revision>2</cp:revision>
  <dcterms:created xsi:type="dcterms:W3CDTF">2025-02-05T20:19:00Z</dcterms:created>
  <dcterms:modified xsi:type="dcterms:W3CDTF">2025-02-05T20:19:00Z</dcterms:modified>
</cp:coreProperties>
</file>