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B51F" w14:textId="351BDF28" w:rsidR="00E311CE" w:rsidRPr="00E311CE" w:rsidRDefault="00E311CE" w:rsidP="00E311CE">
      <w:pPr>
        <w:jc w:val="center"/>
        <w:rPr>
          <w:rFonts w:ascii="Bookman Old Style" w:hAnsi="Bookman Old Style"/>
          <w:b/>
          <w:bCs/>
          <w:sz w:val="32"/>
          <w:szCs w:val="32"/>
          <w:u w:val="single"/>
        </w:rPr>
      </w:pPr>
      <w:r>
        <w:rPr>
          <w:rFonts w:ascii="Bookman Old Style" w:hAnsi="Bookman Old Style"/>
          <w:b/>
          <w:bCs/>
          <w:noProof/>
          <w:sz w:val="32"/>
          <w:szCs w:val="32"/>
          <w:u w:val="single"/>
        </w:rPr>
        <w:drawing>
          <wp:anchor distT="0" distB="0" distL="114300" distR="114300" simplePos="0" relativeHeight="251658240" behindDoc="1" locked="0" layoutInCell="1" allowOverlap="1" wp14:anchorId="1C7BEDFE" wp14:editId="486D02D4">
            <wp:simplePos x="0" y="0"/>
            <wp:positionH relativeFrom="margin">
              <wp:align>right</wp:align>
            </wp:positionH>
            <wp:positionV relativeFrom="paragraph">
              <wp:posOffset>0</wp:posOffset>
            </wp:positionV>
            <wp:extent cx="868680" cy="1124712"/>
            <wp:effectExtent l="0" t="0" r="7620" b="0"/>
            <wp:wrapTight wrapText="bothSides">
              <wp:wrapPolygon edited="0">
                <wp:start x="0" y="0"/>
                <wp:lineTo x="0" y="21222"/>
                <wp:lineTo x="21316" y="21222"/>
                <wp:lineTo x="21316" y="0"/>
                <wp:lineTo x="0" y="0"/>
              </wp:wrapPolygon>
            </wp:wrapTight>
            <wp:docPr id="2143465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65946" name="Picture 21434659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8680" cy="1124712"/>
                    </a:xfrm>
                    <a:prstGeom prst="rect">
                      <a:avLst/>
                    </a:prstGeom>
                  </pic:spPr>
                </pic:pic>
              </a:graphicData>
            </a:graphic>
            <wp14:sizeRelH relativeFrom="margin">
              <wp14:pctWidth>0</wp14:pctWidth>
            </wp14:sizeRelH>
            <wp14:sizeRelV relativeFrom="margin">
              <wp14:pctHeight>0</wp14:pctHeight>
            </wp14:sizeRelV>
          </wp:anchor>
        </w:drawing>
      </w:r>
      <w:r w:rsidRPr="00E311CE">
        <w:rPr>
          <w:rFonts w:ascii="Bookman Old Style" w:hAnsi="Bookman Old Style"/>
          <w:b/>
          <w:bCs/>
          <w:sz w:val="32"/>
          <w:szCs w:val="32"/>
          <w:u w:val="single"/>
        </w:rPr>
        <w:t xml:space="preserve">Equine </w:t>
      </w:r>
      <w:proofErr w:type="spellStart"/>
      <w:r w:rsidRPr="00E311CE">
        <w:rPr>
          <w:rFonts w:ascii="Bookman Old Style" w:hAnsi="Bookman Old Style"/>
          <w:b/>
          <w:bCs/>
          <w:sz w:val="32"/>
          <w:szCs w:val="32"/>
          <w:u w:val="single"/>
        </w:rPr>
        <w:t>Cushings</w:t>
      </w:r>
      <w:proofErr w:type="spellEnd"/>
      <w:r w:rsidRPr="00E311CE">
        <w:rPr>
          <w:rFonts w:ascii="Bookman Old Style" w:hAnsi="Bookman Old Style"/>
          <w:b/>
          <w:bCs/>
          <w:sz w:val="32"/>
          <w:szCs w:val="32"/>
          <w:u w:val="single"/>
        </w:rPr>
        <w:t xml:space="preserve"> Disease</w:t>
      </w:r>
    </w:p>
    <w:p w14:paraId="57BBA41F" w14:textId="2FA9EF83" w:rsidR="00E311CE" w:rsidRDefault="00E311CE" w:rsidP="00E311CE">
      <w:pPr>
        <w:jc w:val="center"/>
        <w:rPr>
          <w:rFonts w:ascii="Bookman Old Style" w:hAnsi="Bookman Old Style"/>
          <w:sz w:val="24"/>
          <w:szCs w:val="24"/>
        </w:rPr>
      </w:pPr>
      <w:r>
        <w:rPr>
          <w:rFonts w:ascii="Bookman Old Style" w:hAnsi="Bookman Old Style"/>
          <w:sz w:val="24"/>
          <w:szCs w:val="24"/>
        </w:rPr>
        <w:t>(</w:t>
      </w:r>
      <w:r w:rsidRPr="00E311CE">
        <w:rPr>
          <w:rFonts w:ascii="Bookman Old Style" w:hAnsi="Bookman Old Style"/>
          <w:sz w:val="24"/>
          <w:szCs w:val="24"/>
        </w:rPr>
        <w:t>Equine Pituitary Pars Intermedia Dysfunction</w:t>
      </w:r>
      <w:r>
        <w:rPr>
          <w:rFonts w:ascii="Bookman Old Style" w:hAnsi="Bookman Old Style"/>
          <w:sz w:val="24"/>
          <w:szCs w:val="24"/>
        </w:rPr>
        <w:t>)</w:t>
      </w:r>
    </w:p>
    <w:p w14:paraId="6260B603" w14:textId="7326DC45" w:rsidR="00E311CE" w:rsidRDefault="00E311CE" w:rsidP="00E311CE">
      <w:pPr>
        <w:jc w:val="center"/>
        <w:rPr>
          <w:rFonts w:ascii="Bookman Old Style" w:hAnsi="Bookman Old Style"/>
          <w:sz w:val="24"/>
          <w:szCs w:val="24"/>
        </w:rPr>
      </w:pPr>
    </w:p>
    <w:p w14:paraId="6BA76AF9" w14:textId="25CF20BD" w:rsidR="00E311CE" w:rsidRDefault="0062203D">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9264" behindDoc="1" locked="0" layoutInCell="1" allowOverlap="1" wp14:anchorId="261506BC" wp14:editId="1627BCEB">
            <wp:simplePos x="0" y="0"/>
            <wp:positionH relativeFrom="margin">
              <wp:align>left</wp:align>
            </wp:positionH>
            <wp:positionV relativeFrom="paragraph">
              <wp:posOffset>12065</wp:posOffset>
            </wp:positionV>
            <wp:extent cx="2230755" cy="1663700"/>
            <wp:effectExtent l="0" t="0" r="0" b="0"/>
            <wp:wrapTight wrapText="bothSides">
              <wp:wrapPolygon edited="0">
                <wp:start x="0" y="0"/>
                <wp:lineTo x="0" y="21270"/>
                <wp:lineTo x="21397" y="21270"/>
                <wp:lineTo x="21397" y="0"/>
                <wp:lineTo x="0" y="0"/>
              </wp:wrapPolygon>
            </wp:wrapTight>
            <wp:docPr id="1299953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53361" name="Picture 1299953361"/>
                    <pic:cNvPicPr/>
                  </pic:nvPicPr>
                  <pic:blipFill>
                    <a:blip r:embed="rId5">
                      <a:extLst>
                        <a:ext uri="{28A0092B-C50C-407E-A947-70E740481C1C}">
                          <a14:useLocalDpi xmlns:a14="http://schemas.microsoft.com/office/drawing/2010/main" val="0"/>
                        </a:ext>
                      </a:extLst>
                    </a:blip>
                    <a:stretch>
                      <a:fillRect/>
                    </a:stretch>
                  </pic:blipFill>
                  <pic:spPr>
                    <a:xfrm>
                      <a:off x="0" y="0"/>
                      <a:ext cx="2230755" cy="1663700"/>
                    </a:xfrm>
                    <a:prstGeom prst="rect">
                      <a:avLst/>
                    </a:prstGeom>
                  </pic:spPr>
                </pic:pic>
              </a:graphicData>
            </a:graphic>
            <wp14:sizeRelH relativeFrom="margin">
              <wp14:pctWidth>0</wp14:pctWidth>
            </wp14:sizeRelH>
            <wp14:sizeRelV relativeFrom="margin">
              <wp14:pctHeight>0</wp14:pctHeight>
            </wp14:sizeRelV>
          </wp:anchor>
        </w:drawing>
      </w:r>
      <w:r w:rsidR="00E311CE" w:rsidRPr="00E311CE">
        <w:rPr>
          <w:rFonts w:ascii="Bookman Old Style" w:hAnsi="Bookman Old Style"/>
          <w:sz w:val="24"/>
          <w:szCs w:val="24"/>
        </w:rPr>
        <w:t>Equine Cushing’s disease is one of the most common diseases of horses greater than 15 years of age</w:t>
      </w:r>
      <w:r w:rsidR="00E311CE">
        <w:rPr>
          <w:rFonts w:ascii="Bookman Old Style" w:hAnsi="Bookman Old Style"/>
          <w:sz w:val="24"/>
          <w:szCs w:val="24"/>
        </w:rPr>
        <w:t xml:space="preserve"> </w:t>
      </w:r>
      <w:r w:rsidR="00E311CE" w:rsidRPr="00E311CE">
        <w:rPr>
          <w:rFonts w:ascii="Bookman Old Style" w:hAnsi="Bookman Old Style"/>
          <w:sz w:val="24"/>
          <w:szCs w:val="24"/>
        </w:rPr>
        <w:t>affecting up to 30% of senior horses. The clinical signs are</w:t>
      </w:r>
      <w:r w:rsidR="00E311CE">
        <w:rPr>
          <w:rFonts w:ascii="Bookman Old Style" w:hAnsi="Bookman Old Style"/>
          <w:sz w:val="24"/>
          <w:szCs w:val="24"/>
        </w:rPr>
        <w:t xml:space="preserve"> </w:t>
      </w:r>
      <w:r w:rsidR="00E311CE" w:rsidRPr="00E311CE">
        <w:rPr>
          <w:rFonts w:ascii="Bookman Old Style" w:hAnsi="Bookman Old Style"/>
          <w:sz w:val="24"/>
          <w:szCs w:val="24"/>
        </w:rPr>
        <w:t>associated with abnormally elevated hormone concentrations in the blood</w:t>
      </w:r>
      <w:r w:rsidR="00E311CE">
        <w:rPr>
          <w:rFonts w:ascii="Bookman Old Style" w:hAnsi="Bookman Old Style"/>
          <w:sz w:val="24"/>
          <w:szCs w:val="24"/>
        </w:rPr>
        <w:t xml:space="preserve"> </w:t>
      </w:r>
      <w:r w:rsidR="00E311CE" w:rsidRPr="00E311CE">
        <w:rPr>
          <w:rFonts w:ascii="Bookman Old Style" w:hAnsi="Bookman Old Style"/>
          <w:sz w:val="24"/>
          <w:szCs w:val="24"/>
        </w:rPr>
        <w:t>including</w:t>
      </w:r>
      <w:r w:rsidR="00E311CE">
        <w:rPr>
          <w:rFonts w:ascii="Bookman Old Style" w:hAnsi="Bookman Old Style"/>
          <w:sz w:val="24"/>
          <w:szCs w:val="24"/>
        </w:rPr>
        <w:t xml:space="preserve"> </w:t>
      </w:r>
      <w:r w:rsidR="00E311CE" w:rsidRPr="00E311CE">
        <w:rPr>
          <w:rFonts w:ascii="Bookman Old Style" w:hAnsi="Bookman Old Style"/>
          <w:sz w:val="24"/>
          <w:szCs w:val="24"/>
        </w:rPr>
        <w:t>cortisol</w:t>
      </w:r>
      <w:r w:rsidR="00E311CE">
        <w:rPr>
          <w:rFonts w:ascii="Bookman Old Style" w:hAnsi="Bookman Old Style"/>
          <w:sz w:val="24"/>
          <w:szCs w:val="24"/>
        </w:rPr>
        <w:t xml:space="preserve"> </w:t>
      </w:r>
      <w:r w:rsidR="00E311CE" w:rsidRPr="00E311CE">
        <w:rPr>
          <w:rFonts w:ascii="Bookman Old Style" w:hAnsi="Bookman Old Style"/>
          <w:sz w:val="24"/>
          <w:szCs w:val="24"/>
        </w:rPr>
        <w:t>which</w:t>
      </w:r>
      <w:r w:rsidR="00E311CE">
        <w:rPr>
          <w:rFonts w:ascii="Bookman Old Style" w:hAnsi="Bookman Old Style"/>
          <w:sz w:val="24"/>
          <w:szCs w:val="24"/>
        </w:rPr>
        <w:t xml:space="preserve"> </w:t>
      </w:r>
      <w:r w:rsidR="00E311CE" w:rsidRPr="00E311CE">
        <w:rPr>
          <w:rFonts w:ascii="Bookman Old Style" w:hAnsi="Bookman Old Style"/>
          <w:sz w:val="24"/>
          <w:szCs w:val="24"/>
        </w:rPr>
        <w:t>plays an important role in this disease. This syndrome</w:t>
      </w:r>
      <w:r w:rsidR="00E311CE">
        <w:rPr>
          <w:rFonts w:ascii="Bookman Old Style" w:hAnsi="Bookman Old Style"/>
          <w:sz w:val="24"/>
          <w:szCs w:val="24"/>
        </w:rPr>
        <w:t xml:space="preserve"> </w:t>
      </w:r>
      <w:r w:rsidR="00E311CE" w:rsidRPr="00E311CE">
        <w:rPr>
          <w:rFonts w:ascii="Bookman Old Style" w:hAnsi="Bookman Old Style"/>
          <w:sz w:val="24"/>
          <w:szCs w:val="24"/>
        </w:rPr>
        <w:t>is also referred to as</w:t>
      </w:r>
      <w:r w:rsidR="00E311CE">
        <w:rPr>
          <w:rFonts w:ascii="Bookman Old Style" w:hAnsi="Bookman Old Style"/>
          <w:sz w:val="24"/>
          <w:szCs w:val="24"/>
        </w:rPr>
        <w:t xml:space="preserve"> </w:t>
      </w:r>
      <w:r w:rsidR="00E311CE" w:rsidRPr="00E311CE">
        <w:rPr>
          <w:rFonts w:ascii="Bookman Old Style" w:hAnsi="Bookman Old Style"/>
          <w:sz w:val="24"/>
          <w:szCs w:val="24"/>
        </w:rPr>
        <w:t>Equine Pituitary Pars Intermedia Dysfunction (PPID)</w:t>
      </w:r>
      <w:r w:rsidR="00E311CE">
        <w:rPr>
          <w:rFonts w:ascii="Bookman Old Style" w:hAnsi="Bookman Old Style"/>
          <w:sz w:val="24"/>
          <w:szCs w:val="24"/>
        </w:rPr>
        <w:t xml:space="preserve"> </w:t>
      </w:r>
      <w:r w:rsidR="00E311CE" w:rsidRPr="00E311CE">
        <w:rPr>
          <w:rFonts w:ascii="Bookman Old Style" w:hAnsi="Bookman Old Style"/>
          <w:sz w:val="24"/>
          <w:szCs w:val="24"/>
        </w:rPr>
        <w:t>because it reflects the location within the brain that is abnormal. The pituitary gland is located at the base of the brain. In horses with PPID, the middle lobe of the pituitary gland (pars intermedia) becomes enlarged</w:t>
      </w:r>
      <w:r w:rsidR="00E311CE">
        <w:rPr>
          <w:rFonts w:ascii="Bookman Old Style" w:hAnsi="Bookman Old Style"/>
          <w:sz w:val="24"/>
          <w:szCs w:val="24"/>
        </w:rPr>
        <w:t xml:space="preserve"> </w:t>
      </w:r>
      <w:r w:rsidR="00E311CE" w:rsidRPr="00E311CE">
        <w:rPr>
          <w:rFonts w:ascii="Bookman Old Style" w:hAnsi="Bookman Old Style"/>
          <w:sz w:val="24"/>
          <w:szCs w:val="24"/>
        </w:rPr>
        <w:t>with age</w:t>
      </w:r>
      <w:r w:rsidR="00E311CE">
        <w:rPr>
          <w:rFonts w:ascii="Bookman Old Style" w:hAnsi="Bookman Old Style"/>
          <w:sz w:val="24"/>
          <w:szCs w:val="24"/>
        </w:rPr>
        <w:t xml:space="preserve"> </w:t>
      </w:r>
      <w:r w:rsidR="00E311CE" w:rsidRPr="00E311CE">
        <w:rPr>
          <w:rFonts w:ascii="Bookman Old Style" w:hAnsi="Bookman Old Style"/>
          <w:sz w:val="24"/>
          <w:szCs w:val="24"/>
        </w:rPr>
        <w:t>and results in over production of hormones. The growth</w:t>
      </w:r>
      <w:r w:rsidR="00E311CE">
        <w:rPr>
          <w:rFonts w:ascii="Bookman Old Style" w:hAnsi="Bookman Old Style"/>
          <w:sz w:val="24"/>
          <w:szCs w:val="24"/>
        </w:rPr>
        <w:t xml:space="preserve"> </w:t>
      </w:r>
      <w:r w:rsidR="00E311CE" w:rsidRPr="00E311CE">
        <w:rPr>
          <w:rFonts w:ascii="Bookman Old Style" w:hAnsi="Bookman Old Style"/>
          <w:sz w:val="24"/>
          <w:szCs w:val="24"/>
        </w:rPr>
        <w:t xml:space="preserve">of the middle lobe of the pituitary gland can compress the adjacent structures in the pituitary and hypothalamus resulting in loss of their function. The enlargement of the pituitary gland is often referred to as a pituitary adenoma. </w:t>
      </w:r>
    </w:p>
    <w:p w14:paraId="26FC48EF" w14:textId="140BAD61" w:rsidR="00E311CE" w:rsidRPr="00C805EC" w:rsidRDefault="0062203D">
      <w:pPr>
        <w:rPr>
          <w:rFonts w:ascii="Bookman Old Style" w:hAnsi="Bookman Old Style"/>
          <w:sz w:val="24"/>
          <w:szCs w:val="24"/>
          <w:u w:val="single"/>
        </w:rPr>
      </w:pPr>
      <w:r w:rsidRPr="00C805EC">
        <w:rPr>
          <w:rFonts w:ascii="Bookman Old Style" w:hAnsi="Bookman Old Style"/>
          <w:noProof/>
          <w:sz w:val="24"/>
          <w:szCs w:val="24"/>
          <w:u w:val="single"/>
        </w:rPr>
        <w:drawing>
          <wp:anchor distT="0" distB="0" distL="114300" distR="114300" simplePos="0" relativeHeight="251660288" behindDoc="1" locked="0" layoutInCell="1" allowOverlap="1" wp14:anchorId="45F9945C" wp14:editId="1F072E98">
            <wp:simplePos x="0" y="0"/>
            <wp:positionH relativeFrom="margin">
              <wp:align>right</wp:align>
            </wp:positionH>
            <wp:positionV relativeFrom="paragraph">
              <wp:posOffset>265430</wp:posOffset>
            </wp:positionV>
            <wp:extent cx="2212848" cy="1472184"/>
            <wp:effectExtent l="0" t="0" r="0" b="0"/>
            <wp:wrapTight wrapText="bothSides">
              <wp:wrapPolygon edited="0">
                <wp:start x="0" y="0"/>
                <wp:lineTo x="0" y="21246"/>
                <wp:lineTo x="21389" y="21246"/>
                <wp:lineTo x="21389" y="0"/>
                <wp:lineTo x="0" y="0"/>
              </wp:wrapPolygon>
            </wp:wrapTight>
            <wp:docPr id="2100667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67817" name="Picture 2100667817"/>
                    <pic:cNvPicPr/>
                  </pic:nvPicPr>
                  <pic:blipFill>
                    <a:blip r:embed="rId6">
                      <a:extLst>
                        <a:ext uri="{28A0092B-C50C-407E-A947-70E740481C1C}">
                          <a14:useLocalDpi xmlns:a14="http://schemas.microsoft.com/office/drawing/2010/main" val="0"/>
                        </a:ext>
                      </a:extLst>
                    </a:blip>
                    <a:stretch>
                      <a:fillRect/>
                    </a:stretch>
                  </pic:blipFill>
                  <pic:spPr>
                    <a:xfrm>
                      <a:off x="0" y="0"/>
                      <a:ext cx="2212848" cy="1472184"/>
                    </a:xfrm>
                    <a:prstGeom prst="rect">
                      <a:avLst/>
                    </a:prstGeom>
                  </pic:spPr>
                </pic:pic>
              </a:graphicData>
            </a:graphic>
            <wp14:sizeRelH relativeFrom="margin">
              <wp14:pctWidth>0</wp14:pctWidth>
            </wp14:sizeRelH>
            <wp14:sizeRelV relativeFrom="margin">
              <wp14:pctHeight>0</wp14:pctHeight>
            </wp14:sizeRelV>
          </wp:anchor>
        </w:drawing>
      </w:r>
      <w:r w:rsidR="00E311CE" w:rsidRPr="00C805EC">
        <w:rPr>
          <w:rFonts w:ascii="Bookman Old Style" w:hAnsi="Bookman Old Style"/>
          <w:sz w:val="24"/>
          <w:szCs w:val="24"/>
          <w:u w:val="single"/>
        </w:rPr>
        <w:t xml:space="preserve">Clinical Signs: </w:t>
      </w:r>
    </w:p>
    <w:p w14:paraId="6078912E" w14:textId="6BD2E0EC" w:rsidR="00E311CE" w:rsidRDefault="00E311CE">
      <w:pPr>
        <w:rPr>
          <w:rFonts w:ascii="Bookman Old Style" w:hAnsi="Bookman Old Style"/>
          <w:sz w:val="24"/>
          <w:szCs w:val="24"/>
        </w:rPr>
      </w:pPr>
      <w:r w:rsidRPr="00E311CE">
        <w:rPr>
          <w:rFonts w:ascii="Bookman Old Style" w:hAnsi="Bookman Old Style"/>
          <w:sz w:val="24"/>
          <w:szCs w:val="24"/>
        </w:rPr>
        <w:t>Clinical signs of PPID can vary depending upon the stage of disease. The average age of horses diagnosed with PPID is 20 years, with over 85 percent of the horses being greater than 15 years of age. Although most common in aged horses, PPID has been diagnosed in horses as young as10</w:t>
      </w:r>
      <w:r>
        <w:rPr>
          <w:rFonts w:ascii="Bookman Old Style" w:hAnsi="Bookman Old Style"/>
          <w:sz w:val="24"/>
          <w:szCs w:val="24"/>
        </w:rPr>
        <w:t xml:space="preserve"> </w:t>
      </w:r>
      <w:r w:rsidRPr="00E311CE">
        <w:rPr>
          <w:rFonts w:ascii="Bookman Old Style" w:hAnsi="Bookman Old Style"/>
          <w:sz w:val="24"/>
          <w:szCs w:val="24"/>
        </w:rPr>
        <w:t>years of age. All breeds of horses can develop PPID. The most classic symptom</w:t>
      </w:r>
      <w:r>
        <w:rPr>
          <w:rFonts w:ascii="Bookman Old Style" w:hAnsi="Bookman Old Style"/>
          <w:sz w:val="24"/>
          <w:szCs w:val="24"/>
        </w:rPr>
        <w:t xml:space="preserve"> </w:t>
      </w:r>
      <w:r w:rsidRPr="00E311CE">
        <w:rPr>
          <w:rFonts w:ascii="Bookman Old Style" w:hAnsi="Bookman Old Style"/>
          <w:sz w:val="24"/>
          <w:szCs w:val="24"/>
        </w:rPr>
        <w:t>which owners associate with Cushing’s Disease is long hair coat that does not shed properly. This condition is referred to as</w:t>
      </w:r>
      <w:r>
        <w:rPr>
          <w:rFonts w:ascii="Bookman Old Style" w:hAnsi="Bookman Old Style"/>
          <w:sz w:val="24"/>
          <w:szCs w:val="24"/>
        </w:rPr>
        <w:t xml:space="preserve"> </w:t>
      </w:r>
      <w:r w:rsidRPr="00E311CE">
        <w:rPr>
          <w:rFonts w:ascii="Bookman Old Style" w:hAnsi="Bookman Old Style"/>
          <w:sz w:val="24"/>
          <w:szCs w:val="24"/>
        </w:rPr>
        <w:t>hirsutism. Other symptoms that have been associated with PPID include</w:t>
      </w:r>
      <w:r w:rsidR="00F14FAB">
        <w:rPr>
          <w:rFonts w:ascii="Bookman Old Style" w:hAnsi="Bookman Old Style"/>
          <w:sz w:val="24"/>
          <w:szCs w:val="24"/>
        </w:rPr>
        <w:t xml:space="preserve"> slow to shed or patchy hair loss, </w:t>
      </w:r>
      <w:r w:rsidRPr="00E311CE">
        <w:rPr>
          <w:rFonts w:ascii="Bookman Old Style" w:hAnsi="Bookman Old Style"/>
          <w:sz w:val="24"/>
          <w:szCs w:val="24"/>
        </w:rPr>
        <w:t>excessive drinking and urination (polyuria/polydipsia), laminitis, lethargy, excessive sweating, muscle mass loss, repeated infections</w:t>
      </w:r>
      <w:r>
        <w:rPr>
          <w:rFonts w:ascii="Bookman Old Style" w:hAnsi="Bookman Old Style"/>
          <w:sz w:val="24"/>
          <w:szCs w:val="24"/>
        </w:rPr>
        <w:t xml:space="preserve"> </w:t>
      </w:r>
      <w:r w:rsidRPr="00E311CE">
        <w:rPr>
          <w:rFonts w:ascii="Bookman Old Style" w:hAnsi="Bookman Old Style"/>
          <w:sz w:val="24"/>
          <w:szCs w:val="24"/>
        </w:rPr>
        <w:t>such as sole abscesses, tooth root infections, and sinusitis;</w:t>
      </w:r>
      <w:r>
        <w:rPr>
          <w:rFonts w:ascii="Bookman Old Style" w:hAnsi="Bookman Old Style"/>
          <w:sz w:val="24"/>
          <w:szCs w:val="24"/>
        </w:rPr>
        <w:t xml:space="preserve"> </w:t>
      </w:r>
      <w:r w:rsidRPr="00E311CE">
        <w:rPr>
          <w:rFonts w:ascii="Bookman Old Style" w:hAnsi="Bookman Old Style"/>
          <w:sz w:val="24"/>
          <w:szCs w:val="24"/>
        </w:rPr>
        <w:t>anhidrosis (stop sweating), infertility and bulging eyes that are a result of redistribution of supraorbital fat. Horses with PPID may also be insulin resistant. Insulin resistance can contribute to muscle loss, abnormal fat accumulation,</w:t>
      </w:r>
      <w:r>
        <w:rPr>
          <w:rFonts w:ascii="Bookman Old Style" w:hAnsi="Bookman Old Style"/>
          <w:sz w:val="24"/>
          <w:szCs w:val="24"/>
        </w:rPr>
        <w:t xml:space="preserve"> </w:t>
      </w:r>
      <w:r w:rsidRPr="00E311CE">
        <w:rPr>
          <w:rFonts w:ascii="Bookman Old Style" w:hAnsi="Bookman Old Style"/>
          <w:sz w:val="24"/>
          <w:szCs w:val="24"/>
        </w:rPr>
        <w:t>and</w:t>
      </w:r>
      <w:r>
        <w:rPr>
          <w:rFonts w:ascii="Bookman Old Style" w:hAnsi="Bookman Old Style"/>
          <w:sz w:val="24"/>
          <w:szCs w:val="24"/>
        </w:rPr>
        <w:t xml:space="preserve"> </w:t>
      </w:r>
      <w:r w:rsidRPr="00E311CE">
        <w:rPr>
          <w:rFonts w:ascii="Bookman Old Style" w:hAnsi="Bookman Old Style"/>
          <w:sz w:val="24"/>
          <w:szCs w:val="24"/>
        </w:rPr>
        <w:t xml:space="preserve">laminitis. </w:t>
      </w:r>
    </w:p>
    <w:p w14:paraId="026371AE" w14:textId="77777777" w:rsidR="00551680" w:rsidRDefault="00551680">
      <w:pPr>
        <w:rPr>
          <w:rFonts w:ascii="Bookman Old Style" w:hAnsi="Bookman Old Style"/>
          <w:sz w:val="24"/>
          <w:szCs w:val="24"/>
        </w:rPr>
      </w:pPr>
    </w:p>
    <w:p w14:paraId="66F21438" w14:textId="51A35793" w:rsidR="00E311CE" w:rsidRDefault="00E311CE">
      <w:pPr>
        <w:rPr>
          <w:rFonts w:ascii="Bookman Old Style" w:hAnsi="Bookman Old Style"/>
          <w:sz w:val="24"/>
          <w:szCs w:val="24"/>
        </w:rPr>
      </w:pPr>
      <w:r w:rsidRPr="00C805EC">
        <w:rPr>
          <w:rFonts w:ascii="Bookman Old Style" w:hAnsi="Bookman Old Style"/>
          <w:sz w:val="24"/>
          <w:szCs w:val="24"/>
          <w:u w:val="single"/>
        </w:rPr>
        <w:lastRenderedPageBreak/>
        <w:t>Diagnosis</w:t>
      </w:r>
      <w:r>
        <w:rPr>
          <w:rFonts w:ascii="Bookman Old Style" w:hAnsi="Bookman Old Style"/>
          <w:sz w:val="24"/>
          <w:szCs w:val="24"/>
        </w:rPr>
        <w:t>:</w:t>
      </w:r>
    </w:p>
    <w:p w14:paraId="63B601E9" w14:textId="55432899" w:rsidR="009F6189" w:rsidRDefault="00E311CE">
      <w:pPr>
        <w:rPr>
          <w:rFonts w:ascii="Bookman Old Style" w:hAnsi="Bookman Old Style"/>
          <w:sz w:val="24"/>
          <w:szCs w:val="24"/>
        </w:rPr>
      </w:pPr>
      <w:r w:rsidRPr="00E311CE">
        <w:rPr>
          <w:rFonts w:ascii="Bookman Old Style" w:hAnsi="Bookman Old Style"/>
          <w:sz w:val="24"/>
          <w:szCs w:val="24"/>
        </w:rPr>
        <w:t>The</w:t>
      </w:r>
      <w:r>
        <w:rPr>
          <w:rFonts w:ascii="Bookman Old Style" w:hAnsi="Bookman Old Style"/>
          <w:sz w:val="24"/>
          <w:szCs w:val="24"/>
        </w:rPr>
        <w:t xml:space="preserve"> </w:t>
      </w:r>
      <w:r w:rsidRPr="00E311CE">
        <w:rPr>
          <w:rFonts w:ascii="Bookman Old Style" w:hAnsi="Bookman Old Style"/>
          <w:sz w:val="24"/>
          <w:szCs w:val="24"/>
        </w:rPr>
        <w:t>most common clinic sign of Cushing’s is</w:t>
      </w:r>
      <w:r>
        <w:rPr>
          <w:rFonts w:ascii="Bookman Old Style" w:hAnsi="Bookman Old Style"/>
          <w:sz w:val="24"/>
          <w:szCs w:val="24"/>
        </w:rPr>
        <w:t xml:space="preserve"> </w:t>
      </w:r>
      <w:r w:rsidRPr="00E311CE">
        <w:rPr>
          <w:rFonts w:ascii="Bookman Old Style" w:hAnsi="Bookman Old Style"/>
          <w:sz w:val="24"/>
          <w:szCs w:val="24"/>
        </w:rPr>
        <w:t>hirsutism</w:t>
      </w:r>
      <w:r>
        <w:rPr>
          <w:rFonts w:ascii="Bookman Old Style" w:hAnsi="Bookman Old Style"/>
          <w:sz w:val="24"/>
          <w:szCs w:val="24"/>
        </w:rPr>
        <w:t xml:space="preserve"> </w:t>
      </w:r>
      <w:r w:rsidRPr="00E311CE">
        <w:rPr>
          <w:rFonts w:ascii="Bookman Old Style" w:hAnsi="Bookman Old Style"/>
          <w:sz w:val="24"/>
          <w:szCs w:val="24"/>
        </w:rPr>
        <w:t>(long haircoat or slow to shed out)</w:t>
      </w:r>
      <w:r>
        <w:rPr>
          <w:rFonts w:ascii="Bookman Old Style" w:hAnsi="Bookman Old Style"/>
          <w:sz w:val="24"/>
          <w:szCs w:val="24"/>
        </w:rPr>
        <w:t xml:space="preserve"> </w:t>
      </w:r>
      <w:r w:rsidRPr="00E311CE">
        <w:rPr>
          <w:rFonts w:ascii="Bookman Old Style" w:hAnsi="Bookman Old Style"/>
          <w:sz w:val="24"/>
          <w:szCs w:val="24"/>
        </w:rPr>
        <w:t>in the aged horse. Horses that have subtle signs of PPID need to be tested to confirm the disease. Of the tests available, no single test is 100 percent accurate. The most commonly used tests in the field</w:t>
      </w:r>
      <w:r>
        <w:rPr>
          <w:rFonts w:ascii="Bookman Old Style" w:hAnsi="Bookman Old Style"/>
          <w:sz w:val="24"/>
          <w:szCs w:val="24"/>
        </w:rPr>
        <w:t xml:space="preserve"> </w:t>
      </w:r>
      <w:proofErr w:type="gramStart"/>
      <w:r w:rsidRPr="00E311CE">
        <w:rPr>
          <w:rFonts w:ascii="Bookman Old Style" w:hAnsi="Bookman Old Style"/>
          <w:sz w:val="24"/>
          <w:szCs w:val="24"/>
        </w:rPr>
        <w:t>is</w:t>
      </w:r>
      <w:proofErr w:type="gramEnd"/>
      <w:r>
        <w:rPr>
          <w:rFonts w:ascii="Bookman Old Style" w:hAnsi="Bookman Old Style"/>
          <w:sz w:val="24"/>
          <w:szCs w:val="24"/>
        </w:rPr>
        <w:t xml:space="preserve"> </w:t>
      </w:r>
      <w:r w:rsidRPr="00E311CE">
        <w:rPr>
          <w:rFonts w:ascii="Bookman Old Style" w:hAnsi="Bookman Old Style"/>
          <w:sz w:val="24"/>
          <w:szCs w:val="24"/>
        </w:rPr>
        <w:t>the</w:t>
      </w:r>
      <w:r>
        <w:rPr>
          <w:rFonts w:ascii="Bookman Old Style" w:hAnsi="Bookman Old Style"/>
          <w:sz w:val="24"/>
          <w:szCs w:val="24"/>
        </w:rPr>
        <w:t xml:space="preserve"> </w:t>
      </w:r>
      <w:r w:rsidRPr="00E311CE">
        <w:rPr>
          <w:rFonts w:ascii="Bookman Old Style" w:hAnsi="Bookman Old Style"/>
          <w:sz w:val="24"/>
          <w:szCs w:val="24"/>
        </w:rPr>
        <w:t>measurement of resting plasma ACTH concentration</w:t>
      </w:r>
      <w:r>
        <w:rPr>
          <w:rFonts w:ascii="Bookman Old Style" w:hAnsi="Bookman Old Style"/>
          <w:sz w:val="24"/>
          <w:szCs w:val="24"/>
        </w:rPr>
        <w:t xml:space="preserve"> </w:t>
      </w:r>
      <w:r w:rsidRPr="00E311CE">
        <w:rPr>
          <w:rFonts w:ascii="Bookman Old Style" w:hAnsi="Bookman Old Style"/>
          <w:sz w:val="24"/>
          <w:szCs w:val="24"/>
        </w:rPr>
        <w:t>or the TRH Stimulation Test. A single blood measurement of ACTH concentration is</w:t>
      </w:r>
      <w:r>
        <w:rPr>
          <w:rFonts w:ascii="Bookman Old Style" w:hAnsi="Bookman Old Style"/>
          <w:sz w:val="24"/>
          <w:szCs w:val="24"/>
        </w:rPr>
        <w:t xml:space="preserve"> </w:t>
      </w:r>
      <w:r w:rsidRPr="00E311CE">
        <w:rPr>
          <w:rFonts w:ascii="Bookman Old Style" w:hAnsi="Bookman Old Style"/>
          <w:sz w:val="24"/>
          <w:szCs w:val="24"/>
        </w:rPr>
        <w:t>commonly used to test</w:t>
      </w:r>
      <w:r>
        <w:rPr>
          <w:rFonts w:ascii="Bookman Old Style" w:hAnsi="Bookman Old Style"/>
          <w:sz w:val="24"/>
          <w:szCs w:val="24"/>
        </w:rPr>
        <w:t xml:space="preserve"> </w:t>
      </w:r>
      <w:r w:rsidRPr="00E311CE">
        <w:rPr>
          <w:rFonts w:ascii="Bookman Old Style" w:hAnsi="Bookman Old Style"/>
          <w:sz w:val="24"/>
          <w:szCs w:val="24"/>
        </w:rPr>
        <w:t>for PPID.</w:t>
      </w:r>
      <w:r>
        <w:rPr>
          <w:rFonts w:ascii="Bookman Old Style" w:hAnsi="Bookman Old Style"/>
          <w:sz w:val="24"/>
          <w:szCs w:val="24"/>
        </w:rPr>
        <w:t xml:space="preserve"> </w:t>
      </w:r>
      <w:r w:rsidRPr="00E311CE">
        <w:rPr>
          <w:rFonts w:ascii="Bookman Old Style" w:hAnsi="Bookman Old Style"/>
          <w:sz w:val="24"/>
          <w:szCs w:val="24"/>
        </w:rPr>
        <w:t>If this test comes back inconclusive</w:t>
      </w:r>
      <w:r>
        <w:rPr>
          <w:rFonts w:ascii="Bookman Old Style" w:hAnsi="Bookman Old Style"/>
          <w:sz w:val="24"/>
          <w:szCs w:val="24"/>
        </w:rPr>
        <w:t xml:space="preserve"> or your horse has subtle symptoms</w:t>
      </w:r>
      <w:r w:rsidRPr="00E311CE">
        <w:rPr>
          <w:rFonts w:ascii="Bookman Old Style" w:hAnsi="Bookman Old Style"/>
          <w:sz w:val="24"/>
          <w:szCs w:val="24"/>
        </w:rPr>
        <w:t>, the TRH Stim Test (Thyrotropin Releasing Hormone)</w:t>
      </w:r>
      <w:r>
        <w:rPr>
          <w:rFonts w:ascii="Bookman Old Style" w:hAnsi="Bookman Old Style"/>
          <w:sz w:val="24"/>
          <w:szCs w:val="24"/>
        </w:rPr>
        <w:t xml:space="preserve"> is a more definitive test.</w:t>
      </w:r>
      <w:r w:rsidRPr="00E311CE">
        <w:rPr>
          <w:rFonts w:ascii="Bookman Old Style" w:hAnsi="Bookman Old Style"/>
          <w:sz w:val="24"/>
          <w:szCs w:val="24"/>
        </w:rPr>
        <w:t xml:space="preserve"> Insulin resistance can occur in horses with PPID, but it also occurs in horses with equine metabolic syndrome and obese horses.</w:t>
      </w:r>
      <w:r>
        <w:rPr>
          <w:rFonts w:ascii="Bookman Old Style" w:hAnsi="Bookman Old Style"/>
          <w:sz w:val="24"/>
          <w:szCs w:val="24"/>
        </w:rPr>
        <w:t xml:space="preserve"> </w:t>
      </w:r>
      <w:r w:rsidRPr="00E311CE">
        <w:rPr>
          <w:rFonts w:ascii="Bookman Old Style" w:hAnsi="Bookman Old Style"/>
          <w:sz w:val="24"/>
          <w:szCs w:val="24"/>
        </w:rPr>
        <w:t>We commonly wi</w:t>
      </w:r>
      <w:r>
        <w:rPr>
          <w:rFonts w:ascii="Bookman Old Style" w:hAnsi="Bookman Old Style"/>
          <w:sz w:val="24"/>
          <w:szCs w:val="24"/>
        </w:rPr>
        <w:t>ll</w:t>
      </w:r>
      <w:r w:rsidRPr="00E311CE">
        <w:rPr>
          <w:rFonts w:ascii="Bookman Old Style" w:hAnsi="Bookman Old Style"/>
          <w:sz w:val="24"/>
          <w:szCs w:val="24"/>
        </w:rPr>
        <w:t xml:space="preserve"> test both insulin and glucose levels at the same time as testing the ACTH levels.</w:t>
      </w:r>
      <w:r>
        <w:rPr>
          <w:rFonts w:ascii="Bookman Old Style" w:hAnsi="Bookman Old Style"/>
          <w:sz w:val="24"/>
          <w:szCs w:val="24"/>
        </w:rPr>
        <w:t xml:space="preserve"> </w:t>
      </w:r>
      <w:r w:rsidRPr="00E311CE">
        <w:rPr>
          <w:rFonts w:ascii="Bookman Old Style" w:hAnsi="Bookman Old Style"/>
          <w:sz w:val="24"/>
          <w:szCs w:val="24"/>
        </w:rPr>
        <w:t>Not all horses with PPID are insulin resistant. Testing for both diseases is recommended if your horse or pony has laminitis. Horses will have natural elevations of ACTH levels in the late summer and fall (Mid July</w:t>
      </w:r>
      <w:r w:rsidR="009F6189">
        <w:rPr>
          <w:rFonts w:ascii="Bookman Old Style" w:hAnsi="Bookman Old Style"/>
          <w:sz w:val="24"/>
          <w:szCs w:val="24"/>
        </w:rPr>
        <w:t>-</w:t>
      </w:r>
      <w:r w:rsidRPr="00E311CE">
        <w:rPr>
          <w:rFonts w:ascii="Bookman Old Style" w:hAnsi="Bookman Old Style"/>
          <w:sz w:val="24"/>
          <w:szCs w:val="24"/>
        </w:rPr>
        <w:t xml:space="preserve"> Mid November).</w:t>
      </w:r>
      <w:r w:rsidR="00233370">
        <w:rPr>
          <w:rFonts w:ascii="Bookman Old Style" w:hAnsi="Bookman Old Style"/>
          <w:sz w:val="24"/>
          <w:szCs w:val="24"/>
        </w:rPr>
        <w:t xml:space="preserve"> </w:t>
      </w:r>
      <w:r w:rsidRPr="00E311CE">
        <w:rPr>
          <w:rFonts w:ascii="Bookman Old Style" w:hAnsi="Bookman Old Style"/>
          <w:sz w:val="24"/>
          <w:szCs w:val="24"/>
        </w:rPr>
        <w:t>This will be taken in consideration when evaluating the ACTH test. Also, the TRH Stim Test is not recommended</w:t>
      </w:r>
      <w:r>
        <w:rPr>
          <w:rFonts w:ascii="Bookman Old Style" w:hAnsi="Bookman Old Style"/>
          <w:sz w:val="24"/>
          <w:szCs w:val="24"/>
        </w:rPr>
        <w:t xml:space="preserve"> </w:t>
      </w:r>
      <w:r w:rsidRPr="00E311CE">
        <w:rPr>
          <w:rFonts w:ascii="Bookman Old Style" w:hAnsi="Bookman Old Style"/>
          <w:sz w:val="24"/>
          <w:szCs w:val="24"/>
        </w:rPr>
        <w:t>during July-November.</w:t>
      </w:r>
    </w:p>
    <w:p w14:paraId="21E58988" w14:textId="7E2B4865" w:rsidR="009F6189" w:rsidRPr="00C805EC" w:rsidRDefault="00233370">
      <w:pPr>
        <w:rPr>
          <w:rFonts w:ascii="Bookman Old Style" w:hAnsi="Bookman Old Style"/>
          <w:sz w:val="24"/>
          <w:szCs w:val="24"/>
          <w:u w:val="single"/>
        </w:rPr>
      </w:pPr>
      <w:r w:rsidRPr="00C805EC">
        <w:rPr>
          <w:rFonts w:ascii="Bookman Old Style" w:hAnsi="Bookman Old Style"/>
          <w:noProof/>
          <w:sz w:val="24"/>
          <w:szCs w:val="24"/>
          <w:u w:val="single"/>
        </w:rPr>
        <w:drawing>
          <wp:anchor distT="0" distB="0" distL="114300" distR="114300" simplePos="0" relativeHeight="251661312" behindDoc="1" locked="0" layoutInCell="1" allowOverlap="1" wp14:anchorId="277702DD" wp14:editId="2E15901C">
            <wp:simplePos x="0" y="0"/>
            <wp:positionH relativeFrom="column">
              <wp:posOffset>3741420</wp:posOffset>
            </wp:positionH>
            <wp:positionV relativeFrom="paragraph">
              <wp:posOffset>10160</wp:posOffset>
            </wp:positionV>
            <wp:extent cx="2496312" cy="1435608"/>
            <wp:effectExtent l="0" t="0" r="0" b="0"/>
            <wp:wrapTight wrapText="bothSides">
              <wp:wrapPolygon edited="0">
                <wp:start x="0" y="0"/>
                <wp:lineTo x="0" y="21218"/>
                <wp:lineTo x="21430" y="21218"/>
                <wp:lineTo x="21430" y="0"/>
                <wp:lineTo x="0" y="0"/>
              </wp:wrapPolygon>
            </wp:wrapTight>
            <wp:docPr id="801716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16361" name="Picture 801716361"/>
                    <pic:cNvPicPr/>
                  </pic:nvPicPr>
                  <pic:blipFill>
                    <a:blip r:embed="rId7">
                      <a:extLst>
                        <a:ext uri="{28A0092B-C50C-407E-A947-70E740481C1C}">
                          <a14:useLocalDpi xmlns:a14="http://schemas.microsoft.com/office/drawing/2010/main" val="0"/>
                        </a:ext>
                      </a:extLst>
                    </a:blip>
                    <a:stretch>
                      <a:fillRect/>
                    </a:stretch>
                  </pic:blipFill>
                  <pic:spPr>
                    <a:xfrm>
                      <a:off x="0" y="0"/>
                      <a:ext cx="2496312" cy="1435608"/>
                    </a:xfrm>
                    <a:prstGeom prst="rect">
                      <a:avLst/>
                    </a:prstGeom>
                  </pic:spPr>
                </pic:pic>
              </a:graphicData>
            </a:graphic>
            <wp14:sizeRelH relativeFrom="margin">
              <wp14:pctWidth>0</wp14:pctWidth>
            </wp14:sizeRelH>
            <wp14:sizeRelV relativeFrom="margin">
              <wp14:pctHeight>0</wp14:pctHeight>
            </wp14:sizeRelV>
          </wp:anchor>
        </w:drawing>
      </w:r>
      <w:r w:rsidR="00E311CE" w:rsidRPr="00C805EC">
        <w:rPr>
          <w:rFonts w:ascii="Bookman Old Style" w:hAnsi="Bookman Old Style"/>
          <w:sz w:val="24"/>
          <w:szCs w:val="24"/>
          <w:u w:val="single"/>
        </w:rPr>
        <w:t>Therapy</w:t>
      </w:r>
      <w:r w:rsidR="009F6189" w:rsidRPr="00C805EC">
        <w:rPr>
          <w:rFonts w:ascii="Bookman Old Style" w:hAnsi="Bookman Old Style"/>
          <w:sz w:val="24"/>
          <w:szCs w:val="24"/>
          <w:u w:val="single"/>
        </w:rPr>
        <w:t>:</w:t>
      </w:r>
    </w:p>
    <w:p w14:paraId="4A041AB2" w14:textId="20CFB04F" w:rsidR="009F6189" w:rsidRDefault="00E311CE">
      <w:pPr>
        <w:rPr>
          <w:rFonts w:ascii="Bookman Old Style" w:hAnsi="Bookman Old Style"/>
          <w:sz w:val="24"/>
          <w:szCs w:val="24"/>
        </w:rPr>
      </w:pPr>
      <w:r w:rsidRPr="00E311CE">
        <w:rPr>
          <w:rFonts w:ascii="Bookman Old Style" w:hAnsi="Bookman Old Style"/>
          <w:sz w:val="24"/>
          <w:szCs w:val="24"/>
        </w:rPr>
        <w:t>Treatment</w:t>
      </w:r>
      <w:r>
        <w:rPr>
          <w:rFonts w:ascii="Bookman Old Style" w:hAnsi="Bookman Old Style"/>
          <w:sz w:val="24"/>
          <w:szCs w:val="24"/>
        </w:rPr>
        <w:t xml:space="preserve"> </w:t>
      </w:r>
      <w:r w:rsidRPr="00E311CE">
        <w:rPr>
          <w:rFonts w:ascii="Bookman Old Style" w:hAnsi="Bookman Old Style"/>
          <w:sz w:val="24"/>
          <w:szCs w:val="24"/>
        </w:rPr>
        <w:t>may not</w:t>
      </w:r>
      <w:r>
        <w:rPr>
          <w:rFonts w:ascii="Bookman Old Style" w:hAnsi="Bookman Old Style"/>
          <w:sz w:val="24"/>
          <w:szCs w:val="24"/>
        </w:rPr>
        <w:t xml:space="preserve"> </w:t>
      </w:r>
      <w:r w:rsidRPr="00E311CE">
        <w:rPr>
          <w:rFonts w:ascii="Bookman Old Style" w:hAnsi="Bookman Old Style"/>
          <w:sz w:val="24"/>
          <w:szCs w:val="24"/>
        </w:rPr>
        <w:t>achieve</w:t>
      </w:r>
      <w:r>
        <w:rPr>
          <w:rFonts w:ascii="Bookman Old Style" w:hAnsi="Bookman Old Style"/>
          <w:sz w:val="24"/>
          <w:szCs w:val="24"/>
        </w:rPr>
        <w:t xml:space="preserve"> </w:t>
      </w:r>
      <w:r w:rsidRPr="00E311CE">
        <w:rPr>
          <w:rFonts w:ascii="Bookman Old Style" w:hAnsi="Bookman Old Style"/>
          <w:sz w:val="24"/>
          <w:szCs w:val="24"/>
        </w:rPr>
        <w:t>complete resolution or remission of disease. The most important reason to treat is to improve the quality of life</w:t>
      </w:r>
      <w:r w:rsidR="009F6189">
        <w:rPr>
          <w:rFonts w:ascii="Bookman Old Style" w:hAnsi="Bookman Old Style"/>
          <w:sz w:val="24"/>
          <w:szCs w:val="24"/>
        </w:rPr>
        <w:t>, reduce clinical signs, and prevent future problems</w:t>
      </w:r>
      <w:r w:rsidRPr="00E311CE">
        <w:rPr>
          <w:rFonts w:ascii="Bookman Old Style" w:hAnsi="Bookman Old Style"/>
          <w:sz w:val="24"/>
          <w:szCs w:val="24"/>
        </w:rPr>
        <w:t xml:space="preserve">. Pergolide is the drug of choice for treatment of PPID. </w:t>
      </w:r>
      <w:r w:rsidR="005C1119" w:rsidRPr="00E311CE">
        <w:rPr>
          <w:rFonts w:ascii="Bookman Old Style" w:hAnsi="Bookman Old Style"/>
          <w:sz w:val="24"/>
          <w:szCs w:val="24"/>
        </w:rPr>
        <w:t>Usually,</w:t>
      </w:r>
      <w:r w:rsidRPr="00E311CE">
        <w:rPr>
          <w:rFonts w:ascii="Bookman Old Style" w:hAnsi="Bookman Old Style"/>
          <w:sz w:val="24"/>
          <w:szCs w:val="24"/>
        </w:rPr>
        <w:t xml:space="preserve"> we will start the horse on a ½ dose for the </w:t>
      </w:r>
      <w:r w:rsidR="009F6189">
        <w:rPr>
          <w:rFonts w:ascii="Bookman Old Style" w:hAnsi="Bookman Old Style"/>
          <w:sz w:val="24"/>
          <w:szCs w:val="24"/>
        </w:rPr>
        <w:t>1-2 week</w:t>
      </w:r>
      <w:r w:rsidR="007E6E97">
        <w:rPr>
          <w:rFonts w:ascii="Bookman Old Style" w:hAnsi="Bookman Old Style"/>
          <w:sz w:val="24"/>
          <w:szCs w:val="24"/>
        </w:rPr>
        <w:t>s</w:t>
      </w:r>
      <w:r w:rsidR="009F6189">
        <w:rPr>
          <w:rFonts w:ascii="Bookman Old Style" w:hAnsi="Bookman Old Style"/>
          <w:sz w:val="24"/>
          <w:szCs w:val="24"/>
        </w:rPr>
        <w:t xml:space="preserve"> and then</w:t>
      </w:r>
      <w:r w:rsidRPr="00E311CE">
        <w:rPr>
          <w:rFonts w:ascii="Bookman Old Style" w:hAnsi="Bookman Old Style"/>
          <w:sz w:val="24"/>
          <w:szCs w:val="24"/>
        </w:rPr>
        <w:t xml:space="preserve"> increase to a full dose. This medication is for life and is given orally. The most common side effect is reduced appetite initially (which is why we start at ½ dose to prevent this from happening). A </w:t>
      </w:r>
      <w:r w:rsidRPr="009F6189">
        <w:rPr>
          <w:rFonts w:ascii="Bookman Old Style" w:hAnsi="Bookman Old Style"/>
          <w:sz w:val="24"/>
          <w:szCs w:val="24"/>
          <w:u w:val="single"/>
        </w:rPr>
        <w:t>common complaint</w:t>
      </w:r>
      <w:r w:rsidRPr="00E311CE">
        <w:rPr>
          <w:rFonts w:ascii="Bookman Old Style" w:hAnsi="Bookman Old Style"/>
          <w:sz w:val="24"/>
          <w:szCs w:val="24"/>
        </w:rPr>
        <w:t xml:space="preserve"> is the medication is not very palatable (tasty)</w:t>
      </w:r>
      <w:r w:rsidR="009F6189">
        <w:rPr>
          <w:rFonts w:ascii="Bookman Old Style" w:hAnsi="Bookman Old Style"/>
          <w:sz w:val="24"/>
          <w:szCs w:val="24"/>
        </w:rPr>
        <w:t xml:space="preserve"> and </w:t>
      </w:r>
      <w:r w:rsidR="005C1119">
        <w:rPr>
          <w:rFonts w:ascii="Bookman Old Style" w:hAnsi="Bookman Old Style"/>
          <w:sz w:val="24"/>
          <w:szCs w:val="24"/>
        </w:rPr>
        <w:t>horses</w:t>
      </w:r>
      <w:r w:rsidR="009F6189">
        <w:rPr>
          <w:rFonts w:ascii="Bookman Old Style" w:hAnsi="Bookman Old Style"/>
          <w:sz w:val="24"/>
          <w:szCs w:val="24"/>
        </w:rPr>
        <w:t xml:space="preserve"> don’t like it</w:t>
      </w:r>
      <w:r w:rsidRPr="00E311CE">
        <w:rPr>
          <w:rFonts w:ascii="Bookman Old Style" w:hAnsi="Bookman Old Style"/>
          <w:sz w:val="24"/>
          <w:szCs w:val="24"/>
        </w:rPr>
        <w:t>. Putting the pergolide in something tasty like Senior Feed or Fig Newtons</w:t>
      </w:r>
      <w:r w:rsidR="009F6189">
        <w:rPr>
          <w:rFonts w:ascii="Bookman Old Style" w:hAnsi="Bookman Old Style"/>
          <w:sz w:val="24"/>
          <w:szCs w:val="24"/>
        </w:rPr>
        <w:t xml:space="preserve"> can help but </w:t>
      </w:r>
      <w:r w:rsidR="00C805EC">
        <w:rPr>
          <w:rFonts w:ascii="Bookman Old Style" w:hAnsi="Bookman Old Style"/>
          <w:sz w:val="24"/>
          <w:szCs w:val="24"/>
        </w:rPr>
        <w:t>horses</w:t>
      </w:r>
      <w:r w:rsidR="009F6189">
        <w:rPr>
          <w:rFonts w:ascii="Bookman Old Style" w:hAnsi="Bookman Old Style"/>
          <w:sz w:val="24"/>
          <w:szCs w:val="24"/>
        </w:rPr>
        <w:t xml:space="preserve"> tend to get wise to tricks and may refuse start to refuse any treats which the pergolide has been hidden in. There is a compounded injectable medication, Cabergoline available if pergolide is completely refused by your horse.</w:t>
      </w:r>
      <w:r w:rsidRPr="00E311CE">
        <w:rPr>
          <w:rFonts w:ascii="Bookman Old Style" w:hAnsi="Bookman Old Style"/>
          <w:sz w:val="24"/>
          <w:szCs w:val="24"/>
        </w:rPr>
        <w:t xml:space="preserve"> After starting treatment, it is recommended to recheck bloodwork in 1-2 months and then annually after that. </w:t>
      </w:r>
    </w:p>
    <w:p w14:paraId="2642CD5D" w14:textId="19B74ACB" w:rsidR="009F6189" w:rsidRDefault="00E311CE">
      <w:pPr>
        <w:rPr>
          <w:rFonts w:ascii="Bookman Old Style" w:hAnsi="Bookman Old Style"/>
          <w:sz w:val="24"/>
          <w:szCs w:val="24"/>
        </w:rPr>
      </w:pPr>
      <w:r w:rsidRPr="00E311CE">
        <w:rPr>
          <w:rFonts w:ascii="Bookman Old Style" w:hAnsi="Bookman Old Style"/>
          <w:sz w:val="24"/>
          <w:szCs w:val="24"/>
        </w:rPr>
        <w:t>Supportive care is also important for enhancement of the quality of life of horses with PPID. High quality preventative medicine such as regular deworming,</w:t>
      </w:r>
      <w:r>
        <w:rPr>
          <w:rFonts w:ascii="Bookman Old Style" w:hAnsi="Bookman Old Style"/>
          <w:sz w:val="24"/>
          <w:szCs w:val="24"/>
        </w:rPr>
        <w:t xml:space="preserve"> </w:t>
      </w:r>
      <w:r w:rsidRPr="00E311CE">
        <w:rPr>
          <w:rFonts w:ascii="Bookman Old Style" w:hAnsi="Bookman Old Style"/>
          <w:sz w:val="24"/>
          <w:szCs w:val="24"/>
        </w:rPr>
        <w:t>current vaccinations, dental care and consistent farrier work</w:t>
      </w:r>
      <w:r>
        <w:rPr>
          <w:rFonts w:ascii="Bookman Old Style" w:hAnsi="Bookman Old Style"/>
          <w:sz w:val="24"/>
          <w:szCs w:val="24"/>
        </w:rPr>
        <w:t xml:space="preserve"> </w:t>
      </w:r>
      <w:r w:rsidRPr="00E311CE">
        <w:rPr>
          <w:rFonts w:ascii="Bookman Old Style" w:hAnsi="Bookman Old Style"/>
          <w:sz w:val="24"/>
          <w:szCs w:val="24"/>
        </w:rPr>
        <w:t>is recommended. In the</w:t>
      </w:r>
      <w:r>
        <w:rPr>
          <w:rFonts w:ascii="Bookman Old Style" w:hAnsi="Bookman Old Style"/>
          <w:sz w:val="24"/>
          <w:szCs w:val="24"/>
        </w:rPr>
        <w:t xml:space="preserve"> </w:t>
      </w:r>
      <w:r w:rsidRPr="00E311CE">
        <w:rPr>
          <w:rFonts w:ascii="Bookman Old Style" w:hAnsi="Bookman Old Style"/>
          <w:sz w:val="24"/>
          <w:szCs w:val="24"/>
        </w:rPr>
        <w:t>summer, clipping of</w:t>
      </w:r>
      <w:r>
        <w:rPr>
          <w:rFonts w:ascii="Bookman Old Style" w:hAnsi="Bookman Old Style"/>
          <w:sz w:val="24"/>
          <w:szCs w:val="24"/>
        </w:rPr>
        <w:t xml:space="preserve"> </w:t>
      </w:r>
      <w:r w:rsidRPr="00E311CE">
        <w:rPr>
          <w:rFonts w:ascii="Bookman Old Style" w:hAnsi="Bookman Old Style"/>
          <w:sz w:val="24"/>
          <w:szCs w:val="24"/>
        </w:rPr>
        <w:t>a long haircoat</w:t>
      </w:r>
      <w:r>
        <w:rPr>
          <w:rFonts w:ascii="Bookman Old Style" w:hAnsi="Bookman Old Style"/>
          <w:sz w:val="24"/>
          <w:szCs w:val="24"/>
        </w:rPr>
        <w:t xml:space="preserve"> </w:t>
      </w:r>
      <w:r w:rsidRPr="00E311CE">
        <w:rPr>
          <w:rFonts w:ascii="Bookman Old Style" w:hAnsi="Bookman Old Style"/>
          <w:sz w:val="24"/>
          <w:szCs w:val="24"/>
        </w:rPr>
        <w:t>will keep the horse more comfortable.</w:t>
      </w:r>
      <w:r>
        <w:rPr>
          <w:rFonts w:ascii="Bookman Old Style" w:hAnsi="Bookman Old Style"/>
          <w:sz w:val="24"/>
          <w:szCs w:val="24"/>
        </w:rPr>
        <w:t xml:space="preserve"> </w:t>
      </w:r>
      <w:r w:rsidRPr="00E311CE">
        <w:rPr>
          <w:rFonts w:ascii="Bookman Old Style" w:hAnsi="Bookman Old Style"/>
          <w:sz w:val="24"/>
          <w:szCs w:val="24"/>
        </w:rPr>
        <w:t xml:space="preserve">Some horses with Cushing’s will become heat intolerant and stop sweating. This is really tough on horses in Arizona during the summer. </w:t>
      </w:r>
      <w:r w:rsidRPr="00E311CE">
        <w:rPr>
          <w:rFonts w:ascii="Bookman Old Style" w:hAnsi="Bookman Old Style"/>
          <w:sz w:val="24"/>
          <w:szCs w:val="24"/>
        </w:rPr>
        <w:lastRenderedPageBreak/>
        <w:t>Some anhidrosis supplements will help (One-AC, True</w:t>
      </w:r>
      <w:r>
        <w:rPr>
          <w:rFonts w:ascii="Bookman Old Style" w:hAnsi="Bookman Old Style"/>
          <w:sz w:val="24"/>
          <w:szCs w:val="24"/>
        </w:rPr>
        <w:t xml:space="preserve"> </w:t>
      </w:r>
      <w:r w:rsidRPr="00E311CE">
        <w:rPr>
          <w:rFonts w:ascii="Bookman Old Style" w:hAnsi="Bookman Old Style"/>
          <w:sz w:val="24"/>
          <w:szCs w:val="24"/>
        </w:rPr>
        <w:t>Sweat, Platinum Refresh). Other things which may help include keeping the horse in during the day in shade, cold-hosing as needed, and fans and misters. Some horses with</w:t>
      </w:r>
      <w:r>
        <w:rPr>
          <w:rFonts w:ascii="Bookman Old Style" w:hAnsi="Bookman Old Style"/>
          <w:sz w:val="24"/>
          <w:szCs w:val="24"/>
        </w:rPr>
        <w:t xml:space="preserve"> </w:t>
      </w:r>
      <w:r w:rsidRPr="00E311CE">
        <w:rPr>
          <w:rFonts w:ascii="Bookman Old Style" w:hAnsi="Bookman Old Style"/>
          <w:sz w:val="24"/>
          <w:szCs w:val="24"/>
        </w:rPr>
        <w:t>PPID have been documented to be insulin resistant</w:t>
      </w:r>
      <w:r w:rsidR="009F6189">
        <w:rPr>
          <w:rFonts w:ascii="Bookman Old Style" w:hAnsi="Bookman Old Style"/>
          <w:sz w:val="24"/>
          <w:szCs w:val="24"/>
        </w:rPr>
        <w:t>/fat</w:t>
      </w:r>
      <w:r w:rsidRPr="00E311CE">
        <w:rPr>
          <w:rFonts w:ascii="Bookman Old Style" w:hAnsi="Bookman Old Style"/>
          <w:sz w:val="24"/>
          <w:szCs w:val="24"/>
        </w:rPr>
        <w:t xml:space="preserve"> and require a special diet. Insulin sensitivity can be improved by reducing body fat and avoiding feeds high in starch and sugar. Horses or ponies that have </w:t>
      </w:r>
      <w:r w:rsidRPr="009F6189">
        <w:rPr>
          <w:rFonts w:ascii="Bookman Old Style" w:hAnsi="Bookman Old Style"/>
          <w:sz w:val="24"/>
          <w:szCs w:val="24"/>
          <w:u w:val="single"/>
        </w:rPr>
        <w:t>both insulin resistance and PPID</w:t>
      </w:r>
      <w:r w:rsidRPr="00E311CE">
        <w:rPr>
          <w:rFonts w:ascii="Bookman Old Style" w:hAnsi="Bookman Old Style"/>
          <w:sz w:val="24"/>
          <w:szCs w:val="24"/>
        </w:rPr>
        <w:t xml:space="preserve"> shoul</w:t>
      </w:r>
      <w:r w:rsidR="00653136">
        <w:rPr>
          <w:rFonts w:ascii="Bookman Old Style" w:hAnsi="Bookman Old Style"/>
          <w:sz w:val="24"/>
          <w:szCs w:val="24"/>
        </w:rPr>
        <w:t>d be fed g</w:t>
      </w:r>
      <w:r w:rsidRPr="00E311CE">
        <w:rPr>
          <w:rFonts w:ascii="Bookman Old Style" w:hAnsi="Bookman Old Style"/>
          <w:sz w:val="24"/>
          <w:szCs w:val="24"/>
        </w:rPr>
        <w:t>rass hay and low carbohydrate feeds</w:t>
      </w:r>
      <w:r w:rsidR="009F6189">
        <w:rPr>
          <w:rFonts w:ascii="Bookman Old Style" w:hAnsi="Bookman Old Style"/>
          <w:sz w:val="24"/>
          <w:szCs w:val="24"/>
        </w:rPr>
        <w:t xml:space="preserve"> </w:t>
      </w:r>
      <w:r w:rsidRPr="00E311CE">
        <w:rPr>
          <w:rFonts w:ascii="Bookman Old Style" w:hAnsi="Bookman Old Style"/>
          <w:sz w:val="24"/>
          <w:szCs w:val="24"/>
        </w:rPr>
        <w:t xml:space="preserve">(ex. Purina </w:t>
      </w:r>
      <w:proofErr w:type="spellStart"/>
      <w:r w:rsidRPr="00E311CE">
        <w:rPr>
          <w:rFonts w:ascii="Bookman Old Style" w:hAnsi="Bookman Old Style"/>
          <w:sz w:val="24"/>
          <w:szCs w:val="24"/>
        </w:rPr>
        <w:t>Wellsolve</w:t>
      </w:r>
      <w:proofErr w:type="spellEnd"/>
      <w:r w:rsidRPr="00E311CE">
        <w:rPr>
          <w:rFonts w:ascii="Bookman Old Style" w:hAnsi="Bookman Old Style"/>
          <w:sz w:val="24"/>
          <w:szCs w:val="24"/>
        </w:rPr>
        <w:t xml:space="preserve">, </w:t>
      </w:r>
      <w:proofErr w:type="spellStart"/>
      <w:r w:rsidRPr="00E311CE">
        <w:rPr>
          <w:rFonts w:ascii="Bookman Old Style" w:hAnsi="Bookman Old Style"/>
          <w:sz w:val="24"/>
          <w:szCs w:val="24"/>
        </w:rPr>
        <w:t>Nutrena</w:t>
      </w:r>
      <w:proofErr w:type="spellEnd"/>
      <w:r w:rsidRPr="00E311CE">
        <w:rPr>
          <w:rFonts w:ascii="Bookman Old Style" w:hAnsi="Bookman Old Style"/>
          <w:sz w:val="24"/>
          <w:szCs w:val="24"/>
        </w:rPr>
        <w:t xml:space="preserve"> Safe Choice Special Care)</w:t>
      </w:r>
      <w:r w:rsidR="009F6189">
        <w:rPr>
          <w:rFonts w:ascii="Bookman Old Style" w:hAnsi="Bookman Old Style"/>
          <w:sz w:val="24"/>
          <w:szCs w:val="24"/>
        </w:rPr>
        <w:t xml:space="preserve"> </w:t>
      </w:r>
      <w:r w:rsidRPr="00E311CE">
        <w:rPr>
          <w:rFonts w:ascii="Bookman Old Style" w:hAnsi="Bookman Old Style"/>
          <w:sz w:val="24"/>
          <w:szCs w:val="24"/>
        </w:rPr>
        <w:t>are recommended.</w:t>
      </w:r>
      <w:r>
        <w:rPr>
          <w:rFonts w:ascii="Bookman Old Style" w:hAnsi="Bookman Old Style"/>
          <w:sz w:val="24"/>
          <w:szCs w:val="24"/>
        </w:rPr>
        <w:t xml:space="preserve"> </w:t>
      </w:r>
      <w:r w:rsidRPr="00E311CE">
        <w:rPr>
          <w:rFonts w:ascii="Bookman Old Style" w:hAnsi="Bookman Old Style"/>
          <w:sz w:val="24"/>
          <w:szCs w:val="24"/>
        </w:rPr>
        <w:t>Pasture access should be limited to one to two hours a day in addition to elimination of all treats such as sugar cubes</w:t>
      </w:r>
      <w:r>
        <w:rPr>
          <w:rFonts w:ascii="Bookman Old Style" w:hAnsi="Bookman Old Style"/>
          <w:sz w:val="24"/>
          <w:szCs w:val="24"/>
        </w:rPr>
        <w:t xml:space="preserve"> </w:t>
      </w:r>
      <w:r w:rsidRPr="00E311CE">
        <w:rPr>
          <w:rFonts w:ascii="Bookman Old Style" w:hAnsi="Bookman Old Style"/>
          <w:sz w:val="24"/>
          <w:szCs w:val="24"/>
        </w:rPr>
        <w:t xml:space="preserve">and apples. </w:t>
      </w:r>
      <w:r w:rsidR="00653136">
        <w:rPr>
          <w:rFonts w:ascii="Bookman Old Style" w:hAnsi="Bookman Old Style"/>
          <w:sz w:val="24"/>
          <w:szCs w:val="24"/>
        </w:rPr>
        <w:t xml:space="preserve">Horses with both insulin resistance and </w:t>
      </w:r>
      <w:r w:rsidR="005C1119">
        <w:rPr>
          <w:rFonts w:ascii="Bookman Old Style" w:hAnsi="Bookman Old Style"/>
          <w:sz w:val="24"/>
          <w:szCs w:val="24"/>
        </w:rPr>
        <w:t>Cushing’s</w:t>
      </w:r>
      <w:r w:rsidR="00653136">
        <w:rPr>
          <w:rFonts w:ascii="Bookman Old Style" w:hAnsi="Bookman Old Style"/>
          <w:sz w:val="24"/>
          <w:szCs w:val="24"/>
        </w:rPr>
        <w:t xml:space="preserve"> disease are at high risk for laminitis. </w:t>
      </w:r>
      <w:r w:rsidR="009F6189">
        <w:rPr>
          <w:rFonts w:ascii="Bookman Old Style" w:hAnsi="Bookman Old Style"/>
          <w:sz w:val="24"/>
          <w:szCs w:val="24"/>
        </w:rPr>
        <w:t xml:space="preserve">If your horse has Cushing’s and is not overweight or thin, severe diet restrictions may not be necessary and these horses may need alfalfa or senior or pasture in their diet. If your </w:t>
      </w:r>
      <w:r w:rsidR="005C1119">
        <w:rPr>
          <w:rFonts w:ascii="Bookman Old Style" w:hAnsi="Bookman Old Style"/>
          <w:sz w:val="24"/>
          <w:szCs w:val="24"/>
        </w:rPr>
        <w:t>Cushing’s</w:t>
      </w:r>
      <w:r w:rsidR="009F6189">
        <w:rPr>
          <w:rFonts w:ascii="Bookman Old Style" w:hAnsi="Bookman Old Style"/>
          <w:sz w:val="24"/>
          <w:szCs w:val="24"/>
        </w:rPr>
        <w:t xml:space="preserve"> horse is thin, </w:t>
      </w:r>
      <w:r w:rsidRPr="00E311CE">
        <w:rPr>
          <w:rFonts w:ascii="Bookman Old Style" w:hAnsi="Bookman Old Style"/>
          <w:sz w:val="24"/>
          <w:szCs w:val="24"/>
        </w:rPr>
        <w:t>the addition of fat in the form of rice bran, Purina Enrich Plus, or</w:t>
      </w:r>
      <w:r>
        <w:rPr>
          <w:rFonts w:ascii="Bookman Old Style" w:hAnsi="Bookman Old Style"/>
          <w:sz w:val="24"/>
          <w:szCs w:val="24"/>
        </w:rPr>
        <w:t xml:space="preserve"> </w:t>
      </w:r>
      <w:r w:rsidRPr="00E311CE">
        <w:rPr>
          <w:rFonts w:ascii="Bookman Old Style" w:hAnsi="Bookman Old Style"/>
          <w:sz w:val="24"/>
          <w:szCs w:val="24"/>
        </w:rPr>
        <w:t>canola</w:t>
      </w:r>
      <w:r>
        <w:rPr>
          <w:rFonts w:ascii="Bookman Old Style" w:hAnsi="Bookman Old Style"/>
          <w:sz w:val="24"/>
          <w:szCs w:val="24"/>
        </w:rPr>
        <w:t xml:space="preserve"> </w:t>
      </w:r>
      <w:r w:rsidRPr="00E311CE">
        <w:rPr>
          <w:rFonts w:ascii="Bookman Old Style" w:hAnsi="Bookman Old Style"/>
          <w:sz w:val="24"/>
          <w:szCs w:val="24"/>
        </w:rPr>
        <w:t>oil can be supplemented for added calories</w:t>
      </w:r>
      <w:r w:rsidR="009F6189">
        <w:rPr>
          <w:rFonts w:ascii="Bookman Old Style" w:hAnsi="Bookman Old Style"/>
          <w:sz w:val="24"/>
          <w:szCs w:val="24"/>
        </w:rPr>
        <w:t xml:space="preserve">. </w:t>
      </w:r>
      <w:r w:rsidRPr="00E311CE">
        <w:rPr>
          <w:rFonts w:ascii="Bookman Old Style" w:hAnsi="Bookman Old Style"/>
          <w:sz w:val="24"/>
          <w:szCs w:val="24"/>
        </w:rPr>
        <w:t xml:space="preserve"> </w:t>
      </w:r>
      <w:r w:rsidR="00653136">
        <w:rPr>
          <w:rFonts w:ascii="Bookman Old Style" w:hAnsi="Bookman Old Style"/>
          <w:sz w:val="24"/>
          <w:szCs w:val="24"/>
        </w:rPr>
        <w:t xml:space="preserve">Horses with just </w:t>
      </w:r>
      <w:r w:rsidR="005C1119">
        <w:rPr>
          <w:rFonts w:ascii="Bookman Old Style" w:hAnsi="Bookman Old Style"/>
          <w:sz w:val="24"/>
          <w:szCs w:val="24"/>
        </w:rPr>
        <w:t>Cushing’s</w:t>
      </w:r>
      <w:r w:rsidR="00653136">
        <w:rPr>
          <w:rFonts w:ascii="Bookman Old Style" w:hAnsi="Bookman Old Style"/>
          <w:sz w:val="24"/>
          <w:szCs w:val="24"/>
        </w:rPr>
        <w:t xml:space="preserve"> disease and not insulin resistant and not overweight have much lower risk of lami</w:t>
      </w:r>
      <w:r w:rsidR="00871802">
        <w:rPr>
          <w:rFonts w:ascii="Bookman Old Style" w:hAnsi="Bookman Old Style"/>
          <w:sz w:val="24"/>
          <w:szCs w:val="24"/>
        </w:rPr>
        <w:t>ni</w:t>
      </w:r>
      <w:r w:rsidR="00653136">
        <w:rPr>
          <w:rFonts w:ascii="Bookman Old Style" w:hAnsi="Bookman Old Style"/>
          <w:sz w:val="24"/>
          <w:szCs w:val="24"/>
        </w:rPr>
        <w:t xml:space="preserve">tis. </w:t>
      </w:r>
    </w:p>
    <w:p w14:paraId="0753A66D" w14:textId="3237EB18" w:rsidR="0037475E" w:rsidRPr="00E311CE" w:rsidRDefault="00E311CE">
      <w:pPr>
        <w:rPr>
          <w:rFonts w:ascii="Bookman Old Style" w:hAnsi="Bookman Old Style"/>
          <w:sz w:val="24"/>
          <w:szCs w:val="24"/>
        </w:rPr>
      </w:pPr>
      <w:r w:rsidRPr="00E311CE">
        <w:rPr>
          <w:rFonts w:ascii="Bookman Old Style" w:hAnsi="Bookman Old Style"/>
          <w:sz w:val="24"/>
          <w:szCs w:val="24"/>
        </w:rPr>
        <w:t>Recognition of the clinical signs and early diagnoses are the</w:t>
      </w:r>
      <w:r>
        <w:rPr>
          <w:rFonts w:ascii="Bookman Old Style" w:hAnsi="Bookman Old Style"/>
          <w:sz w:val="24"/>
          <w:szCs w:val="24"/>
        </w:rPr>
        <w:t xml:space="preserve"> </w:t>
      </w:r>
      <w:r w:rsidRPr="00E311CE">
        <w:rPr>
          <w:rFonts w:ascii="Bookman Old Style" w:hAnsi="Bookman Old Style"/>
          <w:sz w:val="24"/>
          <w:szCs w:val="24"/>
        </w:rPr>
        <w:t>first steps in identification of horses with PPID/ Cushing’s. Treatment and implementation of excellent wellness practices are</w:t>
      </w:r>
      <w:r>
        <w:rPr>
          <w:rFonts w:ascii="Bookman Old Style" w:hAnsi="Bookman Old Style"/>
          <w:sz w:val="24"/>
          <w:szCs w:val="24"/>
        </w:rPr>
        <w:t xml:space="preserve"> </w:t>
      </w:r>
      <w:r w:rsidRPr="00E311CE">
        <w:rPr>
          <w:rFonts w:ascii="Bookman Old Style" w:hAnsi="Bookman Old Style"/>
          <w:sz w:val="24"/>
          <w:szCs w:val="24"/>
        </w:rPr>
        <w:t>important in</w:t>
      </w:r>
      <w:r>
        <w:rPr>
          <w:rFonts w:ascii="Bookman Old Style" w:hAnsi="Bookman Old Style"/>
          <w:sz w:val="24"/>
          <w:szCs w:val="24"/>
        </w:rPr>
        <w:t xml:space="preserve"> </w:t>
      </w:r>
      <w:r w:rsidRPr="00E311CE">
        <w:rPr>
          <w:rFonts w:ascii="Bookman Old Style" w:hAnsi="Bookman Old Style"/>
          <w:sz w:val="24"/>
          <w:szCs w:val="24"/>
        </w:rPr>
        <w:t>extending the life of a horse with</w:t>
      </w:r>
      <w:r>
        <w:rPr>
          <w:rFonts w:ascii="Bookman Old Style" w:hAnsi="Bookman Old Style"/>
          <w:sz w:val="24"/>
          <w:szCs w:val="24"/>
        </w:rPr>
        <w:t xml:space="preserve"> </w:t>
      </w:r>
      <w:r w:rsidRPr="00E311CE">
        <w:rPr>
          <w:rFonts w:ascii="Bookman Old Style" w:hAnsi="Bookman Old Style"/>
          <w:sz w:val="24"/>
          <w:szCs w:val="24"/>
        </w:rPr>
        <w:t>Cushing’s Disease</w:t>
      </w:r>
    </w:p>
    <w:sectPr w:rsidR="0037475E" w:rsidRPr="00E31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E"/>
    <w:rsid w:val="00233370"/>
    <w:rsid w:val="00356562"/>
    <w:rsid w:val="0037475E"/>
    <w:rsid w:val="003F5B64"/>
    <w:rsid w:val="00551680"/>
    <w:rsid w:val="005C1119"/>
    <w:rsid w:val="0062203D"/>
    <w:rsid w:val="00653136"/>
    <w:rsid w:val="007E6E97"/>
    <w:rsid w:val="00871802"/>
    <w:rsid w:val="009F6189"/>
    <w:rsid w:val="00AF7A74"/>
    <w:rsid w:val="00C805EC"/>
    <w:rsid w:val="00D507EE"/>
    <w:rsid w:val="00E311CE"/>
    <w:rsid w:val="00F1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C6BE"/>
  <w15:chartTrackingRefBased/>
  <w15:docId w15:val="{ABB08A05-A548-41E7-8B45-6124523E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Hulse</dc:creator>
  <cp:keywords/>
  <dc:description/>
  <cp:lastModifiedBy>Traci Hulse</cp:lastModifiedBy>
  <cp:revision>11</cp:revision>
  <dcterms:created xsi:type="dcterms:W3CDTF">2024-09-20T02:14:00Z</dcterms:created>
  <dcterms:modified xsi:type="dcterms:W3CDTF">2025-08-16T23:17:00Z</dcterms:modified>
</cp:coreProperties>
</file>