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C28" w:rsidRDefault="00985C28" w:rsidP="00985C28">
      <w:pPr>
        <w:pStyle w:val="Default"/>
      </w:pPr>
      <w:bookmarkStart w:id="0" w:name="_GoBack"/>
      <w:bookmarkEnd w:id="0"/>
    </w:p>
    <w:p w:rsidR="00985C28" w:rsidRDefault="00985C28" w:rsidP="00985C28">
      <w:pPr>
        <w:pStyle w:val="Default"/>
        <w:rPr>
          <w:rFonts w:cstheme="minorBidi"/>
          <w:color w:val="auto"/>
        </w:rPr>
      </w:pPr>
    </w:p>
    <w:p w:rsidR="005B0E29" w:rsidRDefault="005B0E29" w:rsidP="005B0E29">
      <w:pPr>
        <w:jc w:val="center"/>
      </w:pPr>
    </w:p>
    <w:p w:rsidR="005B0E29" w:rsidRDefault="005B0E29" w:rsidP="005B0E29">
      <w:pPr>
        <w:jc w:val="center"/>
      </w:pPr>
    </w:p>
    <w:p w:rsidR="00961CE4" w:rsidRDefault="00961CE4" w:rsidP="00961CE4">
      <w:pPr>
        <w:spacing w:after="0" w:line="240" w:lineRule="auto"/>
        <w:jc w:val="center"/>
        <w:rPr>
          <w:rStyle w:val="A1"/>
          <w:rFonts w:ascii="Century Gothic" w:hAnsi="Century Gothic"/>
          <w:color w:val="485340" w:themeColor="accent6" w:themeShade="80"/>
        </w:rPr>
      </w:pPr>
      <w:r>
        <w:rPr>
          <w:rStyle w:val="A1"/>
          <w:rFonts w:ascii="Century Gothic" w:hAnsi="Century Gothic"/>
          <w:color w:val="485340" w:themeColor="accent6" w:themeShade="80"/>
        </w:rPr>
        <w:t xml:space="preserve">CONUS </w:t>
      </w:r>
      <w:r w:rsidR="00985C28" w:rsidRPr="00700F3A">
        <w:rPr>
          <w:rStyle w:val="A1"/>
          <w:rFonts w:ascii="Century Gothic" w:hAnsi="Century Gothic"/>
          <w:color w:val="485340" w:themeColor="accent6" w:themeShade="80"/>
        </w:rPr>
        <w:t xml:space="preserve">Guideline for Evaluating </w:t>
      </w:r>
    </w:p>
    <w:p w:rsidR="00961CE4" w:rsidRDefault="00985C28" w:rsidP="00961CE4">
      <w:pPr>
        <w:spacing w:after="0" w:line="240" w:lineRule="auto"/>
        <w:jc w:val="center"/>
        <w:rPr>
          <w:rStyle w:val="A1"/>
          <w:rFonts w:ascii="Century Gothic" w:hAnsi="Century Gothic"/>
          <w:color w:val="485340" w:themeColor="accent6" w:themeShade="80"/>
        </w:rPr>
      </w:pPr>
      <w:r w:rsidRPr="00700F3A">
        <w:rPr>
          <w:rStyle w:val="A1"/>
          <w:rFonts w:ascii="Century Gothic" w:hAnsi="Century Gothic"/>
          <w:color w:val="485340" w:themeColor="accent6" w:themeShade="80"/>
        </w:rPr>
        <w:t xml:space="preserve">Insecticide Resistance in Vectors </w:t>
      </w:r>
    </w:p>
    <w:p w:rsidR="00DC57CC" w:rsidRPr="00700F3A" w:rsidRDefault="00985C28" w:rsidP="00961CE4">
      <w:pPr>
        <w:spacing w:after="0" w:line="240" w:lineRule="auto"/>
        <w:jc w:val="center"/>
        <w:rPr>
          <w:rStyle w:val="A1"/>
          <w:rFonts w:ascii="Century Gothic" w:hAnsi="Century Gothic"/>
          <w:color w:val="485340" w:themeColor="accent6" w:themeShade="80"/>
        </w:rPr>
      </w:pPr>
      <w:r w:rsidRPr="00700F3A">
        <w:rPr>
          <w:rStyle w:val="A1"/>
          <w:rFonts w:ascii="Century Gothic" w:hAnsi="Century Gothic"/>
          <w:color w:val="485340" w:themeColor="accent6" w:themeShade="80"/>
        </w:rPr>
        <w:t>Using the CDC Bottle Bioassay</w:t>
      </w:r>
      <w:r w:rsidR="00961CE4">
        <w:rPr>
          <w:rStyle w:val="A1"/>
          <w:rFonts w:ascii="Century Gothic" w:hAnsi="Century Gothic"/>
          <w:color w:val="485340" w:themeColor="accent6" w:themeShade="80"/>
        </w:rPr>
        <w:t xml:space="preserve"> </w:t>
      </w:r>
    </w:p>
    <w:p w:rsidR="00985C28" w:rsidRDefault="00985C28" w:rsidP="00985C28"/>
    <w:p w:rsidR="00985C28" w:rsidRDefault="00985C28" w:rsidP="00985C28"/>
    <w:p w:rsidR="00985C28" w:rsidRDefault="00A919DD" w:rsidP="00A919DD">
      <w:pPr>
        <w:jc w:val="center"/>
      </w:pPr>
      <w:r>
        <w:rPr>
          <w:noProof/>
        </w:rPr>
        <w:drawing>
          <wp:inline distT="0" distB="0" distL="0" distR="0">
            <wp:extent cx="6400800" cy="4267200"/>
            <wp:effectExtent l="95250" t="95250" r="95250"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6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a:ln w="88900" cap="sq" cmpd="thickThin">
                      <a:solidFill>
                        <a:schemeClr val="tx2">
                          <a:lumMod val="50000"/>
                          <a:lumOff val="50000"/>
                        </a:schemeClr>
                      </a:solidFill>
                      <a:prstDash val="solid"/>
                      <a:miter lim="800000"/>
                    </a:ln>
                    <a:effectLst>
                      <a:innerShdw blurRad="76200">
                        <a:srgbClr val="000000"/>
                      </a:innerShdw>
                    </a:effectLst>
                  </pic:spPr>
                </pic:pic>
              </a:graphicData>
            </a:graphic>
          </wp:inline>
        </w:drawing>
      </w:r>
    </w:p>
    <w:p w:rsidR="00985C28" w:rsidRDefault="00985C28" w:rsidP="00985C28"/>
    <w:p w:rsidR="004C2D13" w:rsidRDefault="004C2D13" w:rsidP="00866765">
      <w:pPr>
        <w:autoSpaceDE w:val="0"/>
        <w:autoSpaceDN w:val="0"/>
        <w:adjustRightInd w:val="0"/>
        <w:spacing w:after="0" w:line="240" w:lineRule="auto"/>
        <w:rPr>
          <w:rFonts w:ascii="Century Gothic" w:hAnsi="Century Gothic"/>
          <w:b/>
          <w:bCs/>
          <w:color w:val="485340" w:themeColor="accent6" w:themeShade="80"/>
          <w:sz w:val="48"/>
          <w:szCs w:val="48"/>
        </w:rPr>
      </w:pPr>
    </w:p>
    <w:p w:rsidR="00961CE4" w:rsidRDefault="00961CE4" w:rsidP="00866765">
      <w:pPr>
        <w:autoSpaceDE w:val="0"/>
        <w:autoSpaceDN w:val="0"/>
        <w:adjustRightInd w:val="0"/>
        <w:spacing w:after="0" w:line="240" w:lineRule="auto"/>
        <w:rPr>
          <w:rFonts w:ascii="Century Gothic" w:hAnsi="Century Gothic"/>
          <w:b/>
          <w:bCs/>
          <w:color w:val="485340" w:themeColor="accent6" w:themeShade="80"/>
          <w:sz w:val="48"/>
          <w:szCs w:val="48"/>
        </w:rPr>
      </w:pPr>
    </w:p>
    <w:p w:rsidR="00A919DD" w:rsidRPr="00A919DD" w:rsidRDefault="00866765" w:rsidP="00866765">
      <w:pPr>
        <w:autoSpaceDE w:val="0"/>
        <w:autoSpaceDN w:val="0"/>
        <w:adjustRightInd w:val="0"/>
        <w:spacing w:after="0" w:line="240" w:lineRule="auto"/>
        <w:rPr>
          <w:rFonts w:ascii="Century Gothic" w:hAnsi="Century Gothic" w:cs="Century Gothic"/>
          <w:sz w:val="23"/>
          <w:szCs w:val="23"/>
        </w:rPr>
      </w:pPr>
      <w:r w:rsidRPr="00866765">
        <w:rPr>
          <w:rFonts w:ascii="Century Gothic" w:hAnsi="Century Gothic"/>
          <w:b/>
          <w:bCs/>
          <w:color w:val="485340" w:themeColor="accent6" w:themeShade="80"/>
          <w:sz w:val="48"/>
          <w:szCs w:val="48"/>
        </w:rPr>
        <w:lastRenderedPageBreak/>
        <w:t>INDEX</w:t>
      </w:r>
      <w:r w:rsidRPr="00866765">
        <w:rPr>
          <w:rFonts w:ascii="Century Gothic" w:hAnsi="Century Gothic"/>
          <w:b/>
          <w:bCs/>
          <w:sz w:val="48"/>
          <w:szCs w:val="48"/>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color w:val="6C7C5F" w:themeColor="accent6" w:themeShade="BF"/>
          <w:sz w:val="26"/>
          <w:szCs w:val="26"/>
        </w:rPr>
      </w:pPr>
      <w:r w:rsidRPr="00866765">
        <w:rPr>
          <w:rFonts w:ascii="Century Gothic" w:hAnsi="Century Gothic" w:cs="Century Gothic"/>
          <w:b/>
          <w:bCs/>
          <w:color w:val="6C7C5F" w:themeColor="accent6" w:themeShade="BF"/>
          <w:sz w:val="26"/>
          <w:szCs w:val="26"/>
        </w:rPr>
        <w:t>1. Introduction....................................................................................................</w:t>
      </w:r>
      <w:r w:rsidR="00043720">
        <w:rPr>
          <w:rFonts w:ascii="Century Gothic" w:hAnsi="Century Gothic" w:cs="Century Gothic"/>
          <w:b/>
          <w:bCs/>
          <w:color w:val="6C7C5F" w:themeColor="accent6" w:themeShade="BF"/>
          <w:sz w:val="26"/>
          <w:szCs w:val="26"/>
        </w:rPr>
        <w:t>.</w:t>
      </w:r>
      <w:r w:rsidR="0083614F">
        <w:rPr>
          <w:rFonts w:ascii="Century Gothic" w:hAnsi="Century Gothic" w:cs="Century Gothic"/>
          <w:b/>
          <w:bCs/>
          <w:color w:val="6C7C5F" w:themeColor="accent6" w:themeShade="BF"/>
          <w:sz w:val="26"/>
          <w:szCs w:val="26"/>
        </w:rPr>
        <w:t>4</w:t>
      </w:r>
      <w:r w:rsidRPr="00866765">
        <w:rPr>
          <w:rFonts w:ascii="Century Gothic" w:hAnsi="Century Gothic" w:cs="Century Gothic"/>
          <w:b/>
          <w:bCs/>
          <w:color w:val="6C7C5F" w:themeColor="accent6" w:themeShade="BF"/>
          <w:sz w:val="26"/>
          <w:szCs w:val="26"/>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color w:val="6C7C5F" w:themeColor="accent6" w:themeShade="BF"/>
          <w:sz w:val="26"/>
          <w:szCs w:val="26"/>
        </w:rPr>
      </w:pPr>
      <w:r w:rsidRPr="00866765">
        <w:rPr>
          <w:rFonts w:ascii="Century Gothic" w:hAnsi="Century Gothic" w:cs="Century Gothic"/>
          <w:b/>
          <w:bCs/>
          <w:color w:val="6C7C5F" w:themeColor="accent6" w:themeShade="BF"/>
          <w:sz w:val="26"/>
          <w:szCs w:val="26"/>
        </w:rPr>
        <w:t>2. Material and reagents....................................................</w:t>
      </w:r>
      <w:r w:rsidR="0083614F">
        <w:rPr>
          <w:rFonts w:ascii="Century Gothic" w:hAnsi="Century Gothic" w:cs="Century Gothic"/>
          <w:b/>
          <w:bCs/>
          <w:color w:val="6C7C5F" w:themeColor="accent6" w:themeShade="BF"/>
          <w:sz w:val="26"/>
          <w:szCs w:val="26"/>
        </w:rPr>
        <w:t>...............................4</w:t>
      </w:r>
      <w:r w:rsidRPr="00866765">
        <w:rPr>
          <w:rFonts w:ascii="Century Gothic" w:hAnsi="Century Gothic" w:cs="Century Gothic"/>
          <w:b/>
          <w:bCs/>
          <w:color w:val="6C7C5F" w:themeColor="accent6" w:themeShade="BF"/>
          <w:sz w:val="26"/>
          <w:szCs w:val="26"/>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2.1. Material..............................................................................</w:t>
      </w:r>
      <w:r w:rsidR="0083614F">
        <w:rPr>
          <w:rFonts w:ascii="Century Gothic" w:hAnsi="Century Gothic" w:cs="Century Gothic"/>
          <w:sz w:val="23"/>
          <w:szCs w:val="23"/>
        </w:rPr>
        <w:t>...............................4</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2.2. Reagents............................................................................</w:t>
      </w:r>
      <w:r w:rsidR="0083614F">
        <w:rPr>
          <w:rFonts w:ascii="Century Gothic" w:hAnsi="Century Gothic" w:cs="Century Gothic"/>
          <w:sz w:val="23"/>
          <w:szCs w:val="23"/>
        </w:rPr>
        <w:t>...............................5</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2.3. Biological material............................................................</w:t>
      </w:r>
      <w:r w:rsidR="0083614F">
        <w:rPr>
          <w:rFonts w:ascii="Century Gothic" w:hAnsi="Century Gothic" w:cs="Century Gothic"/>
          <w:sz w:val="23"/>
          <w:szCs w:val="23"/>
        </w:rPr>
        <w:t>...............................5</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color w:val="6C7C5F" w:themeColor="accent6" w:themeShade="BF"/>
          <w:sz w:val="26"/>
          <w:szCs w:val="26"/>
        </w:rPr>
      </w:pPr>
      <w:r w:rsidRPr="00866765">
        <w:rPr>
          <w:rFonts w:ascii="Century Gothic" w:hAnsi="Century Gothic" w:cs="Century Gothic"/>
          <w:b/>
          <w:bCs/>
          <w:color w:val="6C7C5F" w:themeColor="accent6" w:themeShade="BF"/>
          <w:sz w:val="26"/>
          <w:szCs w:val="26"/>
        </w:rPr>
        <w:t>3. Initial considerations.....................................................................................</w:t>
      </w:r>
      <w:r w:rsidR="00043720">
        <w:rPr>
          <w:rFonts w:ascii="Century Gothic" w:hAnsi="Century Gothic" w:cs="Century Gothic"/>
          <w:b/>
          <w:bCs/>
          <w:color w:val="6C7C5F" w:themeColor="accent6" w:themeShade="BF"/>
          <w:sz w:val="26"/>
          <w:szCs w:val="26"/>
        </w:rPr>
        <w:t>.</w:t>
      </w:r>
      <w:r w:rsidR="0083614F">
        <w:rPr>
          <w:rFonts w:ascii="Century Gothic" w:hAnsi="Century Gothic" w:cs="Century Gothic"/>
          <w:b/>
          <w:bCs/>
          <w:color w:val="6C7C5F" w:themeColor="accent6" w:themeShade="BF"/>
          <w:sz w:val="26"/>
          <w:szCs w:val="26"/>
        </w:rPr>
        <w:t>6</w:t>
      </w:r>
      <w:r w:rsidRPr="00866765">
        <w:rPr>
          <w:rFonts w:ascii="Century Gothic" w:hAnsi="Century Gothic" w:cs="Century Gothic"/>
          <w:b/>
          <w:bCs/>
          <w:color w:val="6C7C5F" w:themeColor="accent6" w:themeShade="BF"/>
          <w:sz w:val="26"/>
          <w:szCs w:val="26"/>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3.1. Diagnostic dose and diagnostic time............................</w:t>
      </w:r>
      <w:r w:rsidR="0083614F">
        <w:rPr>
          <w:rFonts w:ascii="Century Gothic" w:hAnsi="Century Gothic" w:cs="Century Gothic"/>
          <w:sz w:val="23"/>
          <w:szCs w:val="23"/>
        </w:rPr>
        <w:t>...............................6</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3.2. Preparation of stock solutions..........................................</w:t>
      </w:r>
      <w:r w:rsidR="003953CC">
        <w:rPr>
          <w:rFonts w:ascii="Century Gothic" w:hAnsi="Century Gothic" w:cs="Century Gothic"/>
          <w:sz w:val="23"/>
          <w:szCs w:val="23"/>
        </w:rPr>
        <w:t>...............................7</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3.3. Mosquito handling............................................................</w:t>
      </w:r>
      <w:r w:rsidR="003953CC">
        <w:rPr>
          <w:rFonts w:ascii="Century Gothic" w:hAnsi="Century Gothic" w:cs="Century Gothic"/>
          <w:sz w:val="23"/>
          <w:szCs w:val="23"/>
        </w:rPr>
        <w:t>...............................8</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3.4. Procedures for cleaning and drying bottles befo</w:t>
      </w:r>
      <w:r w:rsidR="003953CC">
        <w:rPr>
          <w:rFonts w:ascii="Century Gothic" w:hAnsi="Century Gothic" w:cs="Century Gothic"/>
          <w:sz w:val="23"/>
          <w:szCs w:val="23"/>
        </w:rPr>
        <w:t>re coating.....................8</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3.5. Marking of bottles..........................................................................................</w:t>
      </w:r>
      <w:r w:rsidR="003953CC">
        <w:rPr>
          <w:rFonts w:ascii="Century Gothic" w:hAnsi="Century Gothic" w:cs="Century Gothic"/>
          <w:sz w:val="23"/>
          <w:szCs w:val="23"/>
        </w:rPr>
        <w:t>..8</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3.6. Bottle coating...................................................................</w:t>
      </w:r>
      <w:r w:rsidR="003953CC">
        <w:rPr>
          <w:rFonts w:ascii="Century Gothic" w:hAnsi="Century Gothic" w:cs="Century Gothic"/>
          <w:sz w:val="23"/>
          <w:szCs w:val="23"/>
        </w:rPr>
        <w:t>................................9</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color w:val="6C7C5F" w:themeColor="accent6" w:themeShade="BF"/>
          <w:sz w:val="26"/>
          <w:szCs w:val="26"/>
        </w:rPr>
      </w:pPr>
      <w:r w:rsidRPr="00866765">
        <w:rPr>
          <w:rFonts w:ascii="Century Gothic" w:hAnsi="Century Gothic" w:cs="Century Gothic"/>
          <w:b/>
          <w:bCs/>
          <w:color w:val="6C7C5F" w:themeColor="accent6" w:themeShade="BF"/>
          <w:sz w:val="26"/>
          <w:szCs w:val="26"/>
        </w:rPr>
        <w:t>4. CDC bottle bioassay method.....................................................................</w:t>
      </w:r>
      <w:r w:rsidR="00043720">
        <w:rPr>
          <w:rFonts w:ascii="Century Gothic" w:hAnsi="Century Gothic" w:cs="Century Gothic"/>
          <w:b/>
          <w:bCs/>
          <w:color w:val="6C7C5F" w:themeColor="accent6" w:themeShade="BF"/>
          <w:sz w:val="26"/>
          <w:szCs w:val="26"/>
        </w:rPr>
        <w:t>.</w:t>
      </w:r>
      <w:r w:rsidR="003953CC">
        <w:rPr>
          <w:rFonts w:ascii="Century Gothic" w:hAnsi="Century Gothic" w:cs="Century Gothic"/>
          <w:b/>
          <w:bCs/>
          <w:color w:val="6C7C5F" w:themeColor="accent6" w:themeShade="BF"/>
          <w:sz w:val="26"/>
          <w:szCs w:val="26"/>
        </w:rPr>
        <w:t>11</w:t>
      </w:r>
      <w:r w:rsidRPr="00866765">
        <w:rPr>
          <w:rFonts w:ascii="Century Gothic" w:hAnsi="Century Gothic" w:cs="Century Gothic"/>
          <w:b/>
          <w:bCs/>
          <w:color w:val="6C7C5F" w:themeColor="accent6" w:themeShade="BF"/>
          <w:sz w:val="26"/>
          <w:szCs w:val="26"/>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4.1. General considerations...................................................</w:t>
      </w:r>
      <w:r w:rsidR="003953CC">
        <w:rPr>
          <w:rFonts w:ascii="Century Gothic" w:hAnsi="Century Gothic" w:cs="Century Gothic"/>
          <w:sz w:val="23"/>
          <w:szCs w:val="23"/>
        </w:rPr>
        <w:t>..............................11</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4.2. Bioassay procedure.........................................................</w:t>
      </w:r>
      <w:r w:rsidR="003953CC">
        <w:rPr>
          <w:rFonts w:ascii="Century Gothic" w:hAnsi="Century Gothic" w:cs="Century Gothic"/>
          <w:sz w:val="23"/>
          <w:szCs w:val="23"/>
        </w:rPr>
        <w:t>..............................11</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4.3. Handling of coated bottles...........................................</w:t>
      </w:r>
      <w:r w:rsidR="003953CC">
        <w:rPr>
          <w:rFonts w:ascii="Century Gothic" w:hAnsi="Century Gothic" w:cs="Century Gothic"/>
          <w:sz w:val="23"/>
          <w:szCs w:val="23"/>
        </w:rPr>
        <w:t>...............................12</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4.4. Identification of mechanisms of resistance..................</w:t>
      </w:r>
      <w:r w:rsidR="003953CC">
        <w:rPr>
          <w:rFonts w:ascii="Century Gothic" w:hAnsi="Century Gothic" w:cs="Century Gothic"/>
          <w:sz w:val="23"/>
          <w:szCs w:val="23"/>
        </w:rPr>
        <w:t>..............................13</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4.5. Validity of the data..........................................................</w:t>
      </w:r>
      <w:r w:rsidR="003953CC">
        <w:rPr>
          <w:rFonts w:ascii="Century Gothic" w:hAnsi="Century Gothic" w:cs="Century Gothic"/>
          <w:sz w:val="23"/>
          <w:szCs w:val="23"/>
        </w:rPr>
        <w:t>..............................13</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4.6. Interpretation of results....................................................</w:t>
      </w:r>
      <w:r w:rsidR="003953CC">
        <w:rPr>
          <w:rFonts w:ascii="Century Gothic" w:hAnsi="Century Gothic" w:cs="Century Gothic"/>
          <w:sz w:val="23"/>
          <w:szCs w:val="23"/>
        </w:rPr>
        <w:t>..............................13</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color w:val="6C7C5F" w:themeColor="accent6" w:themeShade="BF"/>
          <w:sz w:val="26"/>
          <w:szCs w:val="26"/>
        </w:rPr>
      </w:pPr>
      <w:r w:rsidRPr="00866765">
        <w:rPr>
          <w:rFonts w:ascii="Century Gothic" w:hAnsi="Century Gothic" w:cs="Century Gothic"/>
          <w:b/>
          <w:bCs/>
          <w:color w:val="6C7C5F" w:themeColor="accent6" w:themeShade="BF"/>
          <w:sz w:val="26"/>
          <w:szCs w:val="26"/>
        </w:rPr>
        <w:t>5. Resistance surveillance...............................................................................</w:t>
      </w:r>
      <w:r w:rsidR="003953CC">
        <w:rPr>
          <w:rFonts w:ascii="Century Gothic" w:hAnsi="Century Gothic" w:cs="Century Gothic"/>
          <w:b/>
          <w:bCs/>
          <w:color w:val="6C7C5F" w:themeColor="accent6" w:themeShade="BF"/>
          <w:sz w:val="26"/>
          <w:szCs w:val="26"/>
        </w:rPr>
        <w:t>15</w:t>
      </w:r>
      <w:r w:rsidRPr="00866765">
        <w:rPr>
          <w:rFonts w:ascii="Century Gothic" w:hAnsi="Century Gothic" w:cs="Century Gothic"/>
          <w:b/>
          <w:bCs/>
          <w:color w:val="6C7C5F" w:themeColor="accent6" w:themeShade="BF"/>
          <w:sz w:val="26"/>
          <w:szCs w:val="26"/>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5.1. Background......................................................................</w:t>
      </w:r>
      <w:r w:rsidR="003953CC">
        <w:rPr>
          <w:rFonts w:ascii="Century Gothic" w:hAnsi="Century Gothic" w:cs="Century Gothic"/>
          <w:sz w:val="23"/>
          <w:szCs w:val="23"/>
        </w:rPr>
        <w:t>..............................15</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5.2. Features of resistance emergence............................................................</w:t>
      </w:r>
      <w:r w:rsidR="003953CC">
        <w:rPr>
          <w:rFonts w:ascii="Century Gothic" w:hAnsi="Century Gothic" w:cs="Century Gothic"/>
          <w:sz w:val="23"/>
          <w:szCs w:val="23"/>
        </w:rPr>
        <w:t>..15</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5.3. Focal nature of resistance.............................................</w:t>
      </w:r>
      <w:r w:rsidR="003953CC">
        <w:rPr>
          <w:rFonts w:ascii="Century Gothic" w:hAnsi="Century Gothic" w:cs="Century Gothic"/>
          <w:sz w:val="23"/>
          <w:szCs w:val="23"/>
        </w:rPr>
        <w:t>...............................15</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5.4. Resistance and disease control.....................................</w:t>
      </w:r>
      <w:r w:rsidR="003953CC">
        <w:rPr>
          <w:rFonts w:ascii="Century Gothic" w:hAnsi="Century Gothic" w:cs="Century Gothic"/>
          <w:sz w:val="23"/>
          <w:szCs w:val="23"/>
        </w:rPr>
        <w:t>..............................15</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5.5. Guiding principles............................................................</w:t>
      </w:r>
      <w:r w:rsidR="003953CC">
        <w:rPr>
          <w:rFonts w:ascii="Century Gothic" w:hAnsi="Century Gothic" w:cs="Century Gothic"/>
          <w:sz w:val="23"/>
          <w:szCs w:val="23"/>
        </w:rPr>
        <w:t>..............................16</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sz w:val="26"/>
          <w:szCs w:val="26"/>
        </w:rPr>
      </w:pPr>
      <w:r w:rsidRPr="00866765">
        <w:rPr>
          <w:rFonts w:ascii="Century Gothic" w:hAnsi="Century Gothic" w:cs="Century Gothic"/>
          <w:b/>
          <w:bCs/>
          <w:color w:val="6C7C5F" w:themeColor="accent6" w:themeShade="BF"/>
          <w:sz w:val="26"/>
          <w:szCs w:val="26"/>
        </w:rPr>
        <w:t>6. CDC bottle bioassay and synergists............................</w:t>
      </w:r>
      <w:r w:rsidR="003953CC">
        <w:rPr>
          <w:rFonts w:ascii="Century Gothic" w:hAnsi="Century Gothic" w:cs="Century Gothic"/>
          <w:b/>
          <w:bCs/>
          <w:color w:val="6C7C5F" w:themeColor="accent6" w:themeShade="BF"/>
          <w:sz w:val="26"/>
          <w:szCs w:val="26"/>
        </w:rPr>
        <w:t>..............................16</w:t>
      </w:r>
      <w:r w:rsidRPr="00866765">
        <w:rPr>
          <w:rFonts w:ascii="Century Gothic" w:hAnsi="Century Gothic" w:cs="Century Gothic"/>
          <w:b/>
          <w:bCs/>
          <w:color w:val="6C7C5F" w:themeColor="accent6" w:themeShade="BF"/>
          <w:sz w:val="26"/>
          <w:szCs w:val="26"/>
        </w:rPr>
        <w:t xml:space="preserve"> </w:t>
      </w:r>
    </w:p>
    <w:p w:rsidR="00A919DD" w:rsidRPr="00A919DD" w:rsidRDefault="00A919DD" w:rsidP="00A919DD">
      <w:pPr>
        <w:autoSpaceDE w:val="0"/>
        <w:autoSpaceDN w:val="0"/>
        <w:adjustRightInd w:val="0"/>
        <w:spacing w:after="0" w:line="241" w:lineRule="atLeast"/>
        <w:rPr>
          <w:rFonts w:ascii="Century Gothic" w:hAnsi="Century Gothic" w:cs="Century Gothic"/>
          <w:sz w:val="23"/>
          <w:szCs w:val="23"/>
        </w:rPr>
      </w:pPr>
      <w:r w:rsidRPr="00A919DD">
        <w:rPr>
          <w:rFonts w:ascii="Century Gothic" w:hAnsi="Century Gothic" w:cs="Century Gothic"/>
          <w:sz w:val="23"/>
          <w:szCs w:val="23"/>
        </w:rPr>
        <w:t>6.1. Background......................................................................</w:t>
      </w:r>
      <w:r w:rsidR="003953CC">
        <w:rPr>
          <w:rFonts w:ascii="Century Gothic" w:hAnsi="Century Gothic" w:cs="Century Gothic"/>
          <w:sz w:val="23"/>
          <w:szCs w:val="23"/>
        </w:rPr>
        <w:t>..............................16</w:t>
      </w:r>
      <w:r w:rsidRPr="00A919DD">
        <w:rPr>
          <w:rFonts w:ascii="Century Gothic" w:hAnsi="Century Gothic" w:cs="Century Gothic"/>
          <w:sz w:val="23"/>
          <w:szCs w:val="23"/>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color w:val="6C7C5F" w:themeColor="accent6" w:themeShade="BF"/>
          <w:sz w:val="26"/>
          <w:szCs w:val="26"/>
        </w:rPr>
      </w:pPr>
      <w:r w:rsidRPr="00866765">
        <w:rPr>
          <w:rFonts w:ascii="Century Gothic" w:hAnsi="Century Gothic" w:cs="Century Gothic"/>
          <w:b/>
          <w:bCs/>
          <w:color w:val="6C7C5F" w:themeColor="accent6" w:themeShade="BF"/>
          <w:sz w:val="26"/>
          <w:szCs w:val="26"/>
        </w:rPr>
        <w:t>7. Bibliography...................................................................</w:t>
      </w:r>
      <w:r w:rsidR="003953CC">
        <w:rPr>
          <w:rFonts w:ascii="Century Gothic" w:hAnsi="Century Gothic" w:cs="Century Gothic"/>
          <w:b/>
          <w:bCs/>
          <w:color w:val="6C7C5F" w:themeColor="accent6" w:themeShade="BF"/>
          <w:sz w:val="26"/>
          <w:szCs w:val="26"/>
        </w:rPr>
        <w:t>..............................16</w:t>
      </w:r>
      <w:r w:rsidRPr="00866765">
        <w:rPr>
          <w:rFonts w:ascii="Century Gothic" w:hAnsi="Century Gothic" w:cs="Century Gothic"/>
          <w:b/>
          <w:bCs/>
          <w:color w:val="6C7C5F" w:themeColor="accent6" w:themeShade="BF"/>
          <w:sz w:val="26"/>
          <w:szCs w:val="26"/>
        </w:rPr>
        <w:t xml:space="preserve"> </w:t>
      </w:r>
    </w:p>
    <w:p w:rsidR="00A919DD" w:rsidRPr="00A919DD" w:rsidRDefault="00A919DD" w:rsidP="00A919DD">
      <w:pPr>
        <w:autoSpaceDE w:val="0"/>
        <w:autoSpaceDN w:val="0"/>
        <w:adjustRightInd w:val="0"/>
        <w:spacing w:before="120" w:after="0" w:line="281" w:lineRule="atLeast"/>
        <w:rPr>
          <w:rFonts w:ascii="Century Gothic" w:hAnsi="Century Gothic" w:cs="Century Gothic"/>
          <w:color w:val="6C7C5F" w:themeColor="accent6" w:themeShade="BF"/>
          <w:sz w:val="26"/>
          <w:szCs w:val="26"/>
        </w:rPr>
      </w:pPr>
      <w:r w:rsidRPr="00866765">
        <w:rPr>
          <w:rFonts w:ascii="Century Gothic" w:hAnsi="Century Gothic" w:cs="Century Gothic"/>
          <w:b/>
          <w:bCs/>
          <w:color w:val="6C7C5F" w:themeColor="accent6" w:themeShade="BF"/>
          <w:sz w:val="26"/>
          <w:szCs w:val="26"/>
        </w:rPr>
        <w:t>Appendix 1. Frequently asked questions (FAQs)...........</w:t>
      </w:r>
      <w:r w:rsidR="003953CC">
        <w:rPr>
          <w:rFonts w:ascii="Century Gothic" w:hAnsi="Century Gothic" w:cs="Century Gothic"/>
          <w:b/>
          <w:bCs/>
          <w:color w:val="6C7C5F" w:themeColor="accent6" w:themeShade="BF"/>
          <w:sz w:val="26"/>
          <w:szCs w:val="26"/>
        </w:rPr>
        <w:t>..............................17</w:t>
      </w:r>
      <w:r w:rsidRPr="00866765">
        <w:rPr>
          <w:rFonts w:ascii="Century Gothic" w:hAnsi="Century Gothic" w:cs="Century Gothic"/>
          <w:b/>
          <w:bCs/>
          <w:color w:val="6C7C5F" w:themeColor="accent6" w:themeShade="BF"/>
          <w:sz w:val="26"/>
          <w:szCs w:val="26"/>
        </w:rPr>
        <w:t xml:space="preserve"> </w:t>
      </w:r>
    </w:p>
    <w:p w:rsidR="00A919DD" w:rsidRDefault="00A919DD" w:rsidP="00A919DD">
      <w:pPr>
        <w:rPr>
          <w:rFonts w:ascii="Century Gothic" w:hAnsi="Century Gothic" w:cs="Century Gothic"/>
          <w:b/>
          <w:bCs/>
          <w:sz w:val="26"/>
          <w:szCs w:val="26"/>
        </w:rPr>
      </w:pPr>
    </w:p>
    <w:p w:rsidR="003953CC" w:rsidRDefault="003953CC" w:rsidP="00A919DD">
      <w:pPr>
        <w:rPr>
          <w:rFonts w:ascii="Century Gothic" w:hAnsi="Century Gothic" w:cs="Century Gothic"/>
          <w:b/>
          <w:bCs/>
          <w:sz w:val="26"/>
          <w:szCs w:val="26"/>
        </w:rPr>
      </w:pPr>
    </w:p>
    <w:p w:rsidR="003953CC" w:rsidRDefault="003953CC" w:rsidP="00A919DD">
      <w:pPr>
        <w:rPr>
          <w:rFonts w:ascii="Century Gothic" w:hAnsi="Century Gothic" w:cs="Century Gothic"/>
          <w:b/>
          <w:bCs/>
          <w:sz w:val="26"/>
          <w:szCs w:val="26"/>
        </w:rPr>
      </w:pPr>
    </w:p>
    <w:p w:rsidR="003953CC" w:rsidRDefault="003953CC" w:rsidP="00A919DD">
      <w:pPr>
        <w:rPr>
          <w:rFonts w:ascii="Century Gothic" w:hAnsi="Century Gothic" w:cs="Century Gothic"/>
          <w:b/>
          <w:bCs/>
          <w:sz w:val="26"/>
          <w:szCs w:val="26"/>
        </w:rPr>
      </w:pPr>
    </w:p>
    <w:p w:rsidR="00866765" w:rsidRDefault="00866765" w:rsidP="00866765">
      <w:pPr>
        <w:spacing w:line="240" w:lineRule="auto"/>
        <w:rPr>
          <w:rFonts w:ascii="Century Gothic" w:hAnsi="Century Gothic" w:cs="Century Gothic"/>
          <w:b/>
          <w:bCs/>
          <w:color w:val="485340" w:themeColor="accent6" w:themeShade="80"/>
          <w:sz w:val="48"/>
          <w:szCs w:val="48"/>
        </w:rPr>
      </w:pPr>
    </w:p>
    <w:p w:rsidR="00985C28" w:rsidRPr="00700F3A" w:rsidRDefault="00985C28" w:rsidP="00866765">
      <w:pPr>
        <w:spacing w:line="240" w:lineRule="auto"/>
        <w:rPr>
          <w:color w:val="485340" w:themeColor="accent6" w:themeShade="80"/>
        </w:rPr>
      </w:pPr>
      <w:r w:rsidRPr="00700F3A">
        <w:rPr>
          <w:rFonts w:ascii="Century Gothic" w:hAnsi="Century Gothic" w:cs="Century Gothic"/>
          <w:b/>
          <w:bCs/>
          <w:color w:val="485340" w:themeColor="accent6" w:themeShade="80"/>
          <w:sz w:val="48"/>
          <w:szCs w:val="48"/>
        </w:rPr>
        <w:lastRenderedPageBreak/>
        <w:t>PREFACE</w:t>
      </w:r>
    </w:p>
    <w:p w:rsidR="00985C28" w:rsidRDefault="00985C28" w:rsidP="00985C28">
      <w:pPr>
        <w:autoSpaceDE w:val="0"/>
        <w:autoSpaceDN w:val="0"/>
        <w:adjustRightInd w:val="0"/>
        <w:spacing w:before="120" w:after="60" w:line="241" w:lineRule="atLeast"/>
        <w:jc w:val="both"/>
        <w:rPr>
          <w:rFonts w:ascii="Garamond" w:hAnsi="Garamond"/>
          <w:sz w:val="23"/>
          <w:szCs w:val="23"/>
        </w:rPr>
      </w:pPr>
    </w:p>
    <w:p w:rsidR="00985C28" w:rsidRDefault="00985C28" w:rsidP="00043720">
      <w:pPr>
        <w:autoSpaceDE w:val="0"/>
        <w:autoSpaceDN w:val="0"/>
        <w:adjustRightInd w:val="0"/>
        <w:spacing w:after="0" w:line="240" w:lineRule="auto"/>
        <w:jc w:val="both"/>
        <w:rPr>
          <w:rFonts w:ascii="Garamond" w:hAnsi="Garamond"/>
          <w:sz w:val="24"/>
          <w:szCs w:val="24"/>
        </w:rPr>
      </w:pPr>
      <w:r w:rsidRPr="00A919DD">
        <w:rPr>
          <w:rFonts w:ascii="Garamond" w:hAnsi="Garamond"/>
          <w:sz w:val="24"/>
          <w:szCs w:val="24"/>
        </w:rPr>
        <w:t xml:space="preserve">Insecticide resistance in a vector population is initially detected and characterized by using some sort of bioassay to determine whether a particular insecticide is able to control a vector at a given time. Ideally, this fundamental question should be answered before a particular insecticide is chosen and procured for vector control. </w:t>
      </w:r>
    </w:p>
    <w:p w:rsidR="00043720" w:rsidRPr="00A919DD" w:rsidRDefault="00043720" w:rsidP="00043720">
      <w:pPr>
        <w:autoSpaceDE w:val="0"/>
        <w:autoSpaceDN w:val="0"/>
        <w:adjustRightInd w:val="0"/>
        <w:spacing w:after="0" w:line="240" w:lineRule="auto"/>
        <w:jc w:val="both"/>
        <w:rPr>
          <w:rFonts w:ascii="Garamond" w:hAnsi="Garamond"/>
          <w:sz w:val="24"/>
          <w:szCs w:val="24"/>
        </w:rPr>
      </w:pPr>
    </w:p>
    <w:p w:rsidR="00866765" w:rsidRDefault="00985C28" w:rsidP="00043720">
      <w:pPr>
        <w:autoSpaceDE w:val="0"/>
        <w:autoSpaceDN w:val="0"/>
        <w:adjustRightInd w:val="0"/>
        <w:spacing w:after="0" w:line="240" w:lineRule="auto"/>
        <w:jc w:val="both"/>
        <w:rPr>
          <w:rFonts w:ascii="Garamond" w:hAnsi="Garamond" w:cs="Garamond"/>
          <w:sz w:val="24"/>
          <w:szCs w:val="24"/>
        </w:rPr>
      </w:pPr>
      <w:r w:rsidRPr="00A919DD">
        <w:rPr>
          <w:rFonts w:ascii="Garamond" w:hAnsi="Garamond"/>
          <w:sz w:val="24"/>
          <w:szCs w:val="24"/>
        </w:rPr>
        <w:t>The Centers for Disease Control and Prevention (CDC) bottle bioassay is a surveillance tool for detecting resistance to insecticides in vector populations. It is designed to help determine if a par</w:t>
      </w:r>
      <w:r w:rsidRPr="00A919DD">
        <w:rPr>
          <w:rFonts w:ascii="Garamond" w:hAnsi="Garamond"/>
          <w:sz w:val="24"/>
          <w:szCs w:val="24"/>
        </w:rPr>
        <w:softHyphen/>
      </w:r>
      <w:r w:rsidRPr="00A919DD">
        <w:rPr>
          <w:rFonts w:ascii="Garamond" w:hAnsi="Garamond" w:cs="Garamond"/>
          <w:sz w:val="24"/>
          <w:szCs w:val="24"/>
        </w:rPr>
        <w:t xml:space="preserve">ticular formulation of an insecticide is able to control a vector at a specific location at a given time. This information, combined with results of bioassays using synergists and those of biochemical and molecular assays, can assist in determining which insecticide should be used if resistance is detected. </w:t>
      </w:r>
    </w:p>
    <w:p w:rsidR="00043720" w:rsidRPr="00A919DD" w:rsidRDefault="00043720" w:rsidP="00043720">
      <w:pPr>
        <w:autoSpaceDE w:val="0"/>
        <w:autoSpaceDN w:val="0"/>
        <w:adjustRightInd w:val="0"/>
        <w:spacing w:after="0" w:line="240" w:lineRule="auto"/>
        <w:jc w:val="both"/>
        <w:rPr>
          <w:rFonts w:ascii="Garamond" w:hAnsi="Garamond" w:cs="Garamond"/>
          <w:sz w:val="24"/>
          <w:szCs w:val="24"/>
        </w:rPr>
      </w:pPr>
    </w:p>
    <w:p w:rsidR="00866765" w:rsidRDefault="00985C28" w:rsidP="00043720">
      <w:pPr>
        <w:autoSpaceDE w:val="0"/>
        <w:autoSpaceDN w:val="0"/>
        <w:adjustRightInd w:val="0"/>
        <w:spacing w:after="0" w:line="240" w:lineRule="auto"/>
        <w:jc w:val="both"/>
        <w:rPr>
          <w:rFonts w:ascii="Garamond" w:hAnsi="Garamond" w:cs="Garamond"/>
          <w:sz w:val="24"/>
          <w:szCs w:val="24"/>
        </w:rPr>
      </w:pPr>
      <w:r w:rsidRPr="00A919DD">
        <w:rPr>
          <w:rFonts w:ascii="Garamond" w:hAnsi="Garamond" w:cs="Garamond"/>
          <w:sz w:val="24"/>
          <w:szCs w:val="24"/>
        </w:rPr>
        <w:t>The aim of this document is to provide a practical laboratory guideline that describes how to per</w:t>
      </w:r>
      <w:r w:rsidRPr="00A919DD">
        <w:rPr>
          <w:rFonts w:ascii="Garamond" w:hAnsi="Garamond" w:cs="Garamond"/>
          <w:sz w:val="24"/>
          <w:szCs w:val="24"/>
        </w:rPr>
        <w:softHyphen/>
        <w:t xml:space="preserve">form and interpret the CDC bottle bioassay. Information for resistance testing can also be obtained from the CDC website at </w:t>
      </w:r>
      <w:hyperlink r:id="rId10" w:history="1">
        <w:r w:rsidR="00866765" w:rsidRPr="006746A1">
          <w:rPr>
            <w:rStyle w:val="Hyperlink"/>
            <w:rFonts w:ascii="Garamond" w:hAnsi="Garamond" w:cs="Garamond"/>
            <w:sz w:val="24"/>
            <w:szCs w:val="24"/>
          </w:rPr>
          <w:t>http://www.cdc.gov/malaria</w:t>
        </w:r>
      </w:hyperlink>
      <w:r w:rsidRPr="00A919DD">
        <w:rPr>
          <w:rFonts w:ascii="Garamond" w:hAnsi="Garamond" w:cs="Garamond"/>
          <w:sz w:val="24"/>
          <w:szCs w:val="24"/>
        </w:rPr>
        <w:t xml:space="preserve">. </w:t>
      </w:r>
    </w:p>
    <w:p w:rsidR="00043720" w:rsidRPr="00866765" w:rsidRDefault="00043720" w:rsidP="00043720">
      <w:pPr>
        <w:autoSpaceDE w:val="0"/>
        <w:autoSpaceDN w:val="0"/>
        <w:adjustRightInd w:val="0"/>
        <w:spacing w:after="0" w:line="240" w:lineRule="auto"/>
        <w:jc w:val="both"/>
        <w:rPr>
          <w:rFonts w:ascii="Garamond" w:hAnsi="Garamond" w:cs="Garamond"/>
          <w:sz w:val="24"/>
          <w:szCs w:val="24"/>
        </w:rPr>
      </w:pPr>
    </w:p>
    <w:p w:rsidR="00866765" w:rsidRPr="00866765" w:rsidRDefault="00866765" w:rsidP="00043720">
      <w:pPr>
        <w:autoSpaceDE w:val="0"/>
        <w:autoSpaceDN w:val="0"/>
        <w:adjustRightInd w:val="0"/>
        <w:spacing w:after="0" w:line="240" w:lineRule="auto"/>
        <w:jc w:val="both"/>
        <w:rPr>
          <w:rFonts w:ascii="Garamond" w:hAnsi="Garamond" w:cs="Garamond"/>
          <w:sz w:val="24"/>
          <w:szCs w:val="24"/>
        </w:rPr>
      </w:pPr>
      <w:r w:rsidRPr="00866765">
        <w:rPr>
          <w:rFonts w:ascii="Garamond" w:hAnsi="Garamond"/>
          <w:sz w:val="24"/>
          <w:szCs w:val="24"/>
        </w:rPr>
        <w:t>We hope you find this tool useful in the support of vector control programs.</w:t>
      </w:r>
    </w:p>
    <w:p w:rsidR="00985C28" w:rsidRDefault="00985C28" w:rsidP="00985C28">
      <w:pPr>
        <w:autoSpaceDE w:val="0"/>
        <w:autoSpaceDN w:val="0"/>
        <w:adjustRightInd w:val="0"/>
        <w:spacing w:before="120" w:after="60" w:line="241" w:lineRule="atLeast"/>
        <w:jc w:val="both"/>
        <w:rPr>
          <w:rFonts w:ascii="Garamond" w:hAnsi="Garamond" w:cs="Garamond"/>
          <w:sz w:val="23"/>
          <w:szCs w:val="23"/>
        </w:rPr>
      </w:pPr>
    </w:p>
    <w:p w:rsidR="00866765" w:rsidRPr="00866765" w:rsidRDefault="00866765" w:rsidP="00866765">
      <w:pPr>
        <w:autoSpaceDE w:val="0"/>
        <w:autoSpaceDN w:val="0"/>
        <w:adjustRightInd w:val="0"/>
        <w:spacing w:after="0" w:line="240" w:lineRule="auto"/>
        <w:rPr>
          <w:rFonts w:ascii="Garamond" w:hAnsi="Garamond" w:cs="Garamond"/>
          <w:color w:val="000000"/>
          <w:sz w:val="24"/>
          <w:szCs w:val="24"/>
        </w:rPr>
      </w:pPr>
    </w:p>
    <w:p w:rsidR="00866765" w:rsidRPr="00866765" w:rsidRDefault="00866765" w:rsidP="00866765">
      <w:pPr>
        <w:autoSpaceDE w:val="0"/>
        <w:autoSpaceDN w:val="0"/>
        <w:adjustRightInd w:val="0"/>
        <w:spacing w:before="120" w:after="360" w:line="241" w:lineRule="atLeast"/>
        <w:rPr>
          <w:rFonts w:ascii="Garamond" w:hAnsi="Garamond"/>
          <w:sz w:val="24"/>
          <w:szCs w:val="24"/>
        </w:rPr>
      </w:pPr>
      <w:r w:rsidRPr="00866765">
        <w:rPr>
          <w:rFonts w:ascii="Garamond" w:hAnsi="Garamond"/>
          <w:sz w:val="24"/>
          <w:szCs w:val="24"/>
        </w:rPr>
        <w:t>Sincerely,</w:t>
      </w: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Janet C. McAllister</w:t>
      </w:r>
      <w:r w:rsidR="004C2D13">
        <w:rPr>
          <w:rFonts w:ascii="Garamond" w:hAnsi="Garamond"/>
          <w:sz w:val="24"/>
          <w:szCs w:val="24"/>
        </w:rPr>
        <w:t>, PhD</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Mariah (Cassie) Scott</w:t>
      </w: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Research Entomologist</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Biologist</w:t>
      </w: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Arboviral Disease Branch</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Arboviral Disease Branch</w:t>
      </w: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Division of Vector-Borne Diseases</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Division of Vector-Borne Diseases</w:t>
      </w: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Centers for Disease Control and Prevention</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Centers for Disease Control and Prevention</w:t>
      </w:r>
    </w:p>
    <w:p w:rsidR="00866765" w:rsidRPr="00866765" w:rsidRDefault="00866765" w:rsidP="00866765">
      <w:pPr>
        <w:autoSpaceDE w:val="0"/>
        <w:autoSpaceDN w:val="0"/>
        <w:adjustRightInd w:val="0"/>
        <w:spacing w:after="0" w:line="240" w:lineRule="auto"/>
        <w:rPr>
          <w:rFonts w:ascii="Garamond" w:hAnsi="Garamond"/>
          <w:sz w:val="24"/>
          <w:szCs w:val="24"/>
        </w:rPr>
      </w:pP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3156 Rampart Road</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3156 Rampart Road</w:t>
      </w: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Fort Collins, CO 80521</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Fort Collins, CO 80521</w:t>
      </w:r>
    </w:p>
    <w:p w:rsidR="00866765" w:rsidRP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Tel: 970.225.4239</w:t>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Tel: 970.226.3547</w:t>
      </w:r>
    </w:p>
    <w:p w:rsidR="00866765" w:rsidRDefault="00866765" w:rsidP="00866765">
      <w:pPr>
        <w:autoSpaceDE w:val="0"/>
        <w:autoSpaceDN w:val="0"/>
        <w:adjustRightInd w:val="0"/>
        <w:spacing w:after="0" w:line="240" w:lineRule="auto"/>
        <w:rPr>
          <w:rFonts w:ascii="Garamond" w:hAnsi="Garamond"/>
          <w:sz w:val="24"/>
          <w:szCs w:val="24"/>
        </w:rPr>
      </w:pPr>
      <w:r w:rsidRPr="00866765">
        <w:rPr>
          <w:rFonts w:ascii="Garamond" w:hAnsi="Garamond"/>
          <w:sz w:val="24"/>
          <w:szCs w:val="24"/>
        </w:rPr>
        <w:t xml:space="preserve">E-mail: </w:t>
      </w:r>
      <w:hyperlink r:id="rId11" w:history="1">
        <w:r w:rsidRPr="00866765">
          <w:rPr>
            <w:rStyle w:val="Hyperlink"/>
            <w:rFonts w:ascii="Garamond" w:hAnsi="Garamond"/>
            <w:sz w:val="24"/>
            <w:szCs w:val="24"/>
          </w:rPr>
          <w:t>jvm6@cdc.gov</w:t>
        </w:r>
      </w:hyperlink>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r>
      <w:r w:rsidRPr="00866765">
        <w:rPr>
          <w:rFonts w:ascii="Garamond" w:hAnsi="Garamond"/>
          <w:sz w:val="24"/>
          <w:szCs w:val="24"/>
        </w:rPr>
        <w:tab/>
        <w:t xml:space="preserve">E-mail: </w:t>
      </w:r>
      <w:hyperlink r:id="rId12" w:history="1">
        <w:r w:rsidRPr="006746A1">
          <w:rPr>
            <w:rStyle w:val="Hyperlink"/>
            <w:rFonts w:ascii="Garamond" w:hAnsi="Garamond"/>
            <w:sz w:val="24"/>
            <w:szCs w:val="24"/>
          </w:rPr>
          <w:t>gni6@cdc.gov</w:t>
        </w:r>
      </w:hyperlink>
    </w:p>
    <w:p w:rsidR="00866765" w:rsidRPr="00866765" w:rsidRDefault="00866765" w:rsidP="00866765">
      <w:pPr>
        <w:autoSpaceDE w:val="0"/>
        <w:autoSpaceDN w:val="0"/>
        <w:adjustRightInd w:val="0"/>
        <w:spacing w:after="0" w:line="240" w:lineRule="auto"/>
        <w:rPr>
          <w:rFonts w:ascii="Garamond" w:hAnsi="Garamond"/>
          <w:sz w:val="24"/>
          <w:szCs w:val="24"/>
        </w:rPr>
      </w:pPr>
    </w:p>
    <w:p w:rsidR="00866765" w:rsidRPr="00866765" w:rsidRDefault="00866765" w:rsidP="00866765">
      <w:pPr>
        <w:autoSpaceDE w:val="0"/>
        <w:autoSpaceDN w:val="0"/>
        <w:adjustRightInd w:val="0"/>
        <w:spacing w:after="0" w:line="240" w:lineRule="auto"/>
        <w:rPr>
          <w:rFonts w:ascii="Garamond" w:hAnsi="Garamond"/>
          <w:sz w:val="24"/>
          <w:szCs w:val="24"/>
        </w:rPr>
      </w:pPr>
    </w:p>
    <w:p w:rsidR="00866765" w:rsidRDefault="00866765" w:rsidP="00866765">
      <w:pPr>
        <w:autoSpaceDE w:val="0"/>
        <w:autoSpaceDN w:val="0"/>
        <w:adjustRightInd w:val="0"/>
        <w:spacing w:after="0" w:line="240" w:lineRule="auto"/>
        <w:rPr>
          <w:rFonts w:ascii="Garamond" w:hAnsi="Garamond"/>
          <w:sz w:val="23"/>
          <w:szCs w:val="23"/>
        </w:rPr>
      </w:pPr>
    </w:p>
    <w:p w:rsidR="00866765" w:rsidRDefault="00866765" w:rsidP="00866765">
      <w:pPr>
        <w:autoSpaceDE w:val="0"/>
        <w:autoSpaceDN w:val="0"/>
        <w:adjustRightInd w:val="0"/>
        <w:spacing w:before="120" w:after="360" w:line="241" w:lineRule="atLeast"/>
        <w:rPr>
          <w:rFonts w:ascii="Garamond" w:hAnsi="Garamond"/>
          <w:sz w:val="23"/>
          <w:szCs w:val="23"/>
        </w:rPr>
      </w:pPr>
    </w:p>
    <w:p w:rsidR="00866765" w:rsidRPr="00866765" w:rsidRDefault="00866765" w:rsidP="00866765">
      <w:pPr>
        <w:autoSpaceDE w:val="0"/>
        <w:autoSpaceDN w:val="0"/>
        <w:adjustRightInd w:val="0"/>
        <w:spacing w:before="120" w:after="360" w:line="241" w:lineRule="atLeast"/>
        <w:rPr>
          <w:rFonts w:ascii="Garamond" w:hAnsi="Garamond"/>
          <w:sz w:val="23"/>
          <w:szCs w:val="23"/>
        </w:rPr>
        <w:sectPr w:rsidR="00866765" w:rsidRPr="00866765" w:rsidSect="004C2D13">
          <w:footerReference w:type="default" r:id="rId13"/>
          <w:pgSz w:w="12240" w:h="15840"/>
          <w:pgMar w:top="1400" w:right="900" w:bottom="0" w:left="900" w:header="720" w:footer="720" w:gutter="0"/>
          <w:pgBorders w:offsetFrom="page">
            <w:top w:val="thinThickThinMediumGap" w:sz="36" w:space="24" w:color="AECAC8" w:themeColor="accent2" w:themeTint="99"/>
          </w:pgBorders>
          <w:cols w:space="720"/>
          <w:noEndnote/>
        </w:sectPr>
      </w:pPr>
    </w:p>
    <w:p w:rsidR="00985C28" w:rsidRDefault="00985C28" w:rsidP="00985C28">
      <w:pPr>
        <w:autoSpaceDE w:val="0"/>
        <w:autoSpaceDN w:val="0"/>
        <w:adjustRightInd w:val="0"/>
        <w:spacing w:before="120" w:after="60" w:line="241" w:lineRule="atLeast"/>
        <w:jc w:val="both"/>
        <w:rPr>
          <w:rFonts w:ascii="Garamond" w:hAnsi="Garamond" w:cs="Garamond"/>
          <w:sz w:val="23"/>
          <w:szCs w:val="23"/>
        </w:rPr>
      </w:pPr>
    </w:p>
    <w:p w:rsidR="00985C28" w:rsidRDefault="00985C28" w:rsidP="00985C28">
      <w:pPr>
        <w:autoSpaceDE w:val="0"/>
        <w:autoSpaceDN w:val="0"/>
        <w:adjustRightInd w:val="0"/>
        <w:spacing w:after="0" w:line="481" w:lineRule="atLeast"/>
        <w:rPr>
          <w:rFonts w:ascii="Century Gothic" w:hAnsi="Century Gothic"/>
          <w:b/>
          <w:bCs/>
          <w:sz w:val="48"/>
          <w:szCs w:val="48"/>
        </w:rPr>
      </w:pPr>
      <w:r w:rsidRPr="00985C28">
        <w:rPr>
          <w:rFonts w:ascii="Century Gothic" w:hAnsi="Century Gothic"/>
          <w:b/>
          <w:bCs/>
          <w:color w:val="485340" w:themeColor="accent6" w:themeShade="80"/>
          <w:sz w:val="48"/>
          <w:szCs w:val="48"/>
        </w:rPr>
        <w:t>GUIDELINE</w:t>
      </w:r>
      <w:r w:rsidR="00700F3A" w:rsidRPr="00700F3A">
        <w:rPr>
          <w:rFonts w:ascii="Century Gothic" w:hAnsi="Century Gothic"/>
          <w:b/>
          <w:bCs/>
          <w:color w:val="485340" w:themeColor="accent6" w:themeShade="80"/>
          <w:sz w:val="48"/>
          <w:szCs w:val="48"/>
        </w:rPr>
        <w:t>S</w:t>
      </w:r>
      <w:r w:rsidRPr="00985C28">
        <w:rPr>
          <w:rFonts w:ascii="Century Gothic" w:hAnsi="Century Gothic"/>
          <w:b/>
          <w:bCs/>
          <w:sz w:val="48"/>
          <w:szCs w:val="48"/>
        </w:rPr>
        <w:t xml:space="preserve"> </w:t>
      </w:r>
    </w:p>
    <w:p w:rsidR="00043720" w:rsidRPr="00985C28" w:rsidRDefault="00043720" w:rsidP="00985C28">
      <w:pPr>
        <w:autoSpaceDE w:val="0"/>
        <w:autoSpaceDN w:val="0"/>
        <w:adjustRightInd w:val="0"/>
        <w:spacing w:after="0" w:line="481" w:lineRule="atLeast"/>
        <w:rPr>
          <w:rFonts w:ascii="Century Gothic" w:hAnsi="Century Gothic"/>
          <w:sz w:val="48"/>
          <w:szCs w:val="48"/>
        </w:rPr>
      </w:pPr>
    </w:p>
    <w:p w:rsidR="00043720" w:rsidRDefault="00043720" w:rsidP="00043720">
      <w:pPr>
        <w:autoSpaceDE w:val="0"/>
        <w:autoSpaceDN w:val="0"/>
        <w:adjustRightInd w:val="0"/>
        <w:spacing w:after="0" w:line="240" w:lineRule="auto"/>
        <w:rPr>
          <w:rFonts w:ascii="Century Gothic" w:hAnsi="Century Gothic"/>
          <w:b/>
          <w:bCs/>
          <w:color w:val="6C7C5F" w:themeColor="accent6" w:themeShade="BF"/>
          <w:sz w:val="28"/>
          <w:szCs w:val="28"/>
        </w:rPr>
      </w:pPr>
      <w:r w:rsidRPr="00043720">
        <w:rPr>
          <w:rFonts w:ascii="Century Gothic" w:hAnsi="Century Gothic"/>
          <w:b/>
          <w:bCs/>
          <w:color w:val="6C7C5F" w:themeColor="accent6" w:themeShade="BF"/>
          <w:sz w:val="28"/>
          <w:szCs w:val="28"/>
        </w:rPr>
        <w:t>1.</w:t>
      </w:r>
      <w:r>
        <w:rPr>
          <w:rFonts w:ascii="Century Gothic" w:hAnsi="Century Gothic"/>
          <w:b/>
          <w:bCs/>
          <w:color w:val="6C7C5F" w:themeColor="accent6" w:themeShade="BF"/>
          <w:sz w:val="28"/>
          <w:szCs w:val="28"/>
        </w:rPr>
        <w:t xml:space="preserve"> </w:t>
      </w:r>
      <w:r w:rsidR="00985C28" w:rsidRPr="00043720">
        <w:rPr>
          <w:rFonts w:ascii="Century Gothic" w:hAnsi="Century Gothic"/>
          <w:b/>
          <w:bCs/>
          <w:color w:val="6C7C5F" w:themeColor="accent6" w:themeShade="BF"/>
          <w:sz w:val="28"/>
          <w:szCs w:val="28"/>
        </w:rPr>
        <w:t xml:space="preserve">Introduction </w:t>
      </w:r>
    </w:p>
    <w:p w:rsidR="00512C2B" w:rsidRPr="00043720" w:rsidRDefault="00512C2B" w:rsidP="00043720">
      <w:pPr>
        <w:autoSpaceDE w:val="0"/>
        <w:autoSpaceDN w:val="0"/>
        <w:adjustRightInd w:val="0"/>
        <w:spacing w:after="0" w:line="240" w:lineRule="auto"/>
        <w:rPr>
          <w:rFonts w:ascii="Century Gothic" w:hAnsi="Century Gothic"/>
          <w:b/>
          <w:bCs/>
          <w:color w:val="6C7C5F" w:themeColor="accent6" w:themeShade="BF"/>
          <w:sz w:val="28"/>
          <w:szCs w:val="28"/>
        </w:rPr>
      </w:pPr>
    </w:p>
    <w:p w:rsidR="004C2D13" w:rsidRDefault="00985C28" w:rsidP="00043720">
      <w:pPr>
        <w:autoSpaceDE w:val="0"/>
        <w:autoSpaceDN w:val="0"/>
        <w:adjustRightInd w:val="0"/>
        <w:spacing w:after="0" w:line="240" w:lineRule="auto"/>
        <w:jc w:val="both"/>
        <w:rPr>
          <w:rFonts w:ascii="Garamond" w:hAnsi="Garamond" w:cs="Garamond"/>
          <w:sz w:val="24"/>
          <w:szCs w:val="24"/>
        </w:rPr>
      </w:pPr>
      <w:r w:rsidRPr="00A919DD">
        <w:rPr>
          <w:rFonts w:ascii="Garamond" w:hAnsi="Garamond" w:cs="Garamond"/>
          <w:sz w:val="24"/>
          <w:szCs w:val="24"/>
        </w:rPr>
        <w:t xml:space="preserve">Bioassays allow for the detection and characterization of insecticide resistance in a vector population. This guideline will describe the Centers for Disease Control and Prevention (CDC) bottle bioassay, a tool for detecting resistance to insecticides. The information provided by this bioassay, combined with results of bioassays using synergists and those of biochemical and molecular assays, can also assist in determining mechanisms associated with resistance. </w:t>
      </w:r>
    </w:p>
    <w:p w:rsidR="00043720" w:rsidRPr="00A919DD" w:rsidRDefault="00043720" w:rsidP="00043720">
      <w:pPr>
        <w:autoSpaceDE w:val="0"/>
        <w:autoSpaceDN w:val="0"/>
        <w:adjustRightInd w:val="0"/>
        <w:spacing w:after="0" w:line="240" w:lineRule="auto"/>
        <w:jc w:val="both"/>
        <w:rPr>
          <w:rFonts w:ascii="Garamond" w:hAnsi="Garamond" w:cs="Garamond"/>
          <w:sz w:val="24"/>
          <w:szCs w:val="24"/>
        </w:rPr>
      </w:pPr>
    </w:p>
    <w:p w:rsidR="00985C28" w:rsidRDefault="00985C28" w:rsidP="00043720">
      <w:pPr>
        <w:autoSpaceDE w:val="0"/>
        <w:autoSpaceDN w:val="0"/>
        <w:adjustRightInd w:val="0"/>
        <w:spacing w:after="0" w:line="240" w:lineRule="auto"/>
        <w:jc w:val="both"/>
        <w:rPr>
          <w:rFonts w:ascii="Garamond" w:hAnsi="Garamond" w:cs="Garamond"/>
          <w:sz w:val="24"/>
          <w:szCs w:val="24"/>
        </w:rPr>
      </w:pPr>
      <w:r w:rsidRPr="00A919DD">
        <w:rPr>
          <w:rFonts w:ascii="Garamond" w:hAnsi="Garamond" w:cs="Garamond"/>
          <w:sz w:val="24"/>
          <w:szCs w:val="24"/>
        </w:rPr>
        <w:t xml:space="preserve">The CDC bottle bioassay relies on time mortality data, which are measures of the time it takes an insecticide to penetrate a vector, traverse its intervening tissues, get to the target site, and act on that site. Anything that prevents or delays the compound from achieving its objective — killing insects — contributes to resistance. Information derived from the CDC bottle bioassay may provide initial evidence that an insecticide is losing its effectiveness. This methodology should be considered for routine use even before an insecticide is considered, and procured, for vector control. </w:t>
      </w:r>
    </w:p>
    <w:p w:rsidR="00043720" w:rsidRPr="00A919DD" w:rsidRDefault="00043720" w:rsidP="00043720">
      <w:pPr>
        <w:autoSpaceDE w:val="0"/>
        <w:autoSpaceDN w:val="0"/>
        <w:adjustRightInd w:val="0"/>
        <w:spacing w:after="0" w:line="240" w:lineRule="auto"/>
        <w:jc w:val="both"/>
        <w:rPr>
          <w:rFonts w:ascii="Garamond" w:hAnsi="Garamond" w:cs="Garamond"/>
          <w:sz w:val="24"/>
          <w:szCs w:val="24"/>
        </w:rPr>
      </w:pPr>
    </w:p>
    <w:p w:rsidR="00700F3A" w:rsidRDefault="00985C28" w:rsidP="00043720">
      <w:pPr>
        <w:autoSpaceDE w:val="0"/>
        <w:autoSpaceDN w:val="0"/>
        <w:adjustRightInd w:val="0"/>
        <w:spacing w:after="0" w:line="240" w:lineRule="auto"/>
        <w:jc w:val="both"/>
        <w:rPr>
          <w:rFonts w:ascii="Garamond" w:hAnsi="Garamond" w:cs="Garamond"/>
          <w:sz w:val="24"/>
          <w:szCs w:val="24"/>
        </w:rPr>
      </w:pPr>
      <w:r w:rsidRPr="00A919DD">
        <w:rPr>
          <w:rFonts w:ascii="Garamond" w:hAnsi="Garamond" w:cs="Garamond"/>
          <w:sz w:val="24"/>
          <w:szCs w:val="24"/>
        </w:rPr>
        <w:t xml:space="preserve">The CDC bottle bioassay can be performed on vector populations collected from the field or on those reared in an insectary from larval field collections. </w:t>
      </w:r>
    </w:p>
    <w:p w:rsidR="00043720" w:rsidRPr="00A919DD" w:rsidRDefault="00043720" w:rsidP="00043720">
      <w:pPr>
        <w:autoSpaceDE w:val="0"/>
        <w:autoSpaceDN w:val="0"/>
        <w:adjustRightInd w:val="0"/>
        <w:spacing w:after="0" w:line="240" w:lineRule="auto"/>
        <w:jc w:val="both"/>
        <w:rPr>
          <w:rFonts w:ascii="Garamond" w:hAnsi="Garamond" w:cs="Garamond"/>
          <w:sz w:val="24"/>
          <w:szCs w:val="24"/>
        </w:rPr>
      </w:pPr>
    </w:p>
    <w:p w:rsidR="004C2D13" w:rsidRPr="00A919DD" w:rsidRDefault="00985C28" w:rsidP="00043720">
      <w:pPr>
        <w:autoSpaceDE w:val="0"/>
        <w:autoSpaceDN w:val="0"/>
        <w:adjustRightInd w:val="0"/>
        <w:spacing w:after="0" w:line="240" w:lineRule="auto"/>
        <w:jc w:val="both"/>
        <w:rPr>
          <w:rFonts w:ascii="Garamond" w:hAnsi="Garamond" w:cs="Garamond"/>
          <w:sz w:val="24"/>
          <w:szCs w:val="24"/>
        </w:rPr>
      </w:pPr>
      <w:r w:rsidRPr="00A919DD">
        <w:rPr>
          <w:rFonts w:ascii="Garamond" w:hAnsi="Garamond" w:cs="Garamond"/>
          <w:sz w:val="24"/>
          <w:szCs w:val="24"/>
        </w:rPr>
        <w:t xml:space="preserve">A major advantage of this bioassay is that different concentrations of an insecticide may be evaluated. Furthermore, the technique is simple, rapid, and economical compared to other alternatives. The CDC bottle bioassay can be used as part of a broader insecticide resistance monitoring program, which may include the World Health Organization (WHO) paper-based bioassay, and biochemical and molecular methods. </w:t>
      </w:r>
    </w:p>
    <w:p w:rsidR="00985C28" w:rsidRPr="00A919DD" w:rsidRDefault="00985C28" w:rsidP="00043720">
      <w:pPr>
        <w:autoSpaceDE w:val="0"/>
        <w:autoSpaceDN w:val="0"/>
        <w:adjustRightInd w:val="0"/>
        <w:spacing w:after="0" w:line="240" w:lineRule="auto"/>
        <w:jc w:val="both"/>
        <w:rPr>
          <w:rFonts w:ascii="Garamond" w:hAnsi="Garamond" w:cs="Garamond"/>
          <w:sz w:val="24"/>
          <w:szCs w:val="24"/>
        </w:rPr>
      </w:pPr>
      <w:r w:rsidRPr="00A919DD">
        <w:rPr>
          <w:rFonts w:ascii="Garamond" w:hAnsi="Garamond" w:cs="Garamond"/>
          <w:sz w:val="24"/>
          <w:szCs w:val="24"/>
        </w:rPr>
        <w:t>The CDC bottle bioassay can be used for any insect species. For the purposes of this guideline, mosquitoes will be used as an example.</w:t>
      </w:r>
    </w:p>
    <w:p w:rsidR="00700F3A" w:rsidRPr="00985C28" w:rsidRDefault="00700F3A" w:rsidP="00985C28">
      <w:pPr>
        <w:autoSpaceDE w:val="0"/>
        <w:autoSpaceDN w:val="0"/>
        <w:adjustRightInd w:val="0"/>
        <w:spacing w:before="120" w:after="60" w:line="241" w:lineRule="atLeast"/>
        <w:jc w:val="both"/>
        <w:rPr>
          <w:rFonts w:ascii="Garamond" w:hAnsi="Garamond" w:cs="Garamond"/>
          <w:sz w:val="23"/>
          <w:szCs w:val="23"/>
        </w:rPr>
      </w:pPr>
    </w:p>
    <w:p w:rsidR="00985C28" w:rsidRDefault="00985C28" w:rsidP="0058140F">
      <w:pPr>
        <w:autoSpaceDE w:val="0"/>
        <w:autoSpaceDN w:val="0"/>
        <w:adjustRightInd w:val="0"/>
        <w:spacing w:after="0" w:line="240" w:lineRule="auto"/>
        <w:rPr>
          <w:rFonts w:ascii="Century Gothic" w:hAnsi="Century Gothic" w:cs="Century Gothic"/>
          <w:b/>
          <w:bCs/>
          <w:color w:val="6C7C5F" w:themeColor="accent6" w:themeShade="BF"/>
          <w:sz w:val="28"/>
          <w:szCs w:val="28"/>
        </w:rPr>
      </w:pPr>
      <w:r w:rsidRPr="00985C28">
        <w:rPr>
          <w:rFonts w:ascii="Century Gothic" w:hAnsi="Century Gothic" w:cs="Century Gothic"/>
          <w:b/>
          <w:bCs/>
          <w:color w:val="6C7C5F" w:themeColor="accent6" w:themeShade="BF"/>
          <w:sz w:val="28"/>
          <w:szCs w:val="28"/>
        </w:rPr>
        <w:t>2. Material</w:t>
      </w:r>
      <w:r w:rsidRPr="00700F3A">
        <w:rPr>
          <w:rFonts w:ascii="Century Gothic" w:hAnsi="Century Gothic" w:cs="Century Gothic"/>
          <w:b/>
          <w:bCs/>
          <w:color w:val="6C7C5F" w:themeColor="accent6" w:themeShade="BF"/>
          <w:sz w:val="28"/>
          <w:szCs w:val="28"/>
        </w:rPr>
        <w:t>s</w:t>
      </w:r>
      <w:r w:rsidRPr="00985C28">
        <w:rPr>
          <w:rFonts w:ascii="Century Gothic" w:hAnsi="Century Gothic" w:cs="Century Gothic"/>
          <w:b/>
          <w:bCs/>
          <w:color w:val="6C7C5F" w:themeColor="accent6" w:themeShade="BF"/>
          <w:sz w:val="28"/>
          <w:szCs w:val="28"/>
        </w:rPr>
        <w:t xml:space="preserve"> and reagents </w:t>
      </w:r>
    </w:p>
    <w:p w:rsidR="0058140F" w:rsidRPr="001B1218" w:rsidRDefault="0058140F" w:rsidP="0058140F">
      <w:pPr>
        <w:autoSpaceDE w:val="0"/>
        <w:autoSpaceDN w:val="0"/>
        <w:adjustRightInd w:val="0"/>
        <w:spacing w:after="0" w:line="240" w:lineRule="auto"/>
        <w:rPr>
          <w:rFonts w:ascii="Century Gothic" w:hAnsi="Century Gothic" w:cs="Century Gothic"/>
          <w:color w:val="6C7C5F" w:themeColor="accent6" w:themeShade="BF"/>
          <w:sz w:val="24"/>
          <w:szCs w:val="24"/>
        </w:rPr>
      </w:pPr>
    </w:p>
    <w:p w:rsidR="00700F3A" w:rsidRPr="001B1218" w:rsidRDefault="00985C28" w:rsidP="0058140F">
      <w:pPr>
        <w:autoSpaceDE w:val="0"/>
        <w:autoSpaceDN w:val="0"/>
        <w:adjustRightInd w:val="0"/>
        <w:spacing w:after="0" w:line="240" w:lineRule="auto"/>
        <w:rPr>
          <w:rFonts w:ascii="Century Gothic" w:hAnsi="Century Gothic" w:cs="Century Gothic"/>
          <w:b/>
          <w:bCs/>
          <w:color w:val="92A185" w:themeColor="accent6"/>
          <w:sz w:val="24"/>
          <w:szCs w:val="24"/>
        </w:rPr>
      </w:pPr>
      <w:r w:rsidRPr="001B1218">
        <w:rPr>
          <w:rFonts w:ascii="Century Gothic" w:hAnsi="Century Gothic" w:cs="Century Gothic"/>
          <w:b/>
          <w:bCs/>
          <w:color w:val="92A185" w:themeColor="accent6"/>
          <w:sz w:val="24"/>
          <w:szCs w:val="24"/>
        </w:rPr>
        <w:t xml:space="preserve">2.1. Materials </w:t>
      </w:r>
    </w:p>
    <w:p w:rsidR="0058140F" w:rsidRPr="00985C28" w:rsidRDefault="0058140F" w:rsidP="0058140F">
      <w:pPr>
        <w:autoSpaceDE w:val="0"/>
        <w:autoSpaceDN w:val="0"/>
        <w:adjustRightInd w:val="0"/>
        <w:spacing w:after="0" w:line="240" w:lineRule="auto"/>
        <w:rPr>
          <w:rFonts w:ascii="Century Gothic" w:hAnsi="Century Gothic" w:cs="Century Gothic"/>
          <w:b/>
          <w:bCs/>
          <w:color w:val="92A185" w:themeColor="accent6"/>
          <w:sz w:val="23"/>
          <w:szCs w:val="23"/>
        </w:rPr>
      </w:pPr>
    </w:p>
    <w:p w:rsidR="00043720" w:rsidRDefault="00985C28" w:rsidP="0058140F">
      <w:pPr>
        <w:pStyle w:val="ListParagraph"/>
        <w:numPr>
          <w:ilvl w:val="0"/>
          <w:numId w:val="2"/>
        </w:numPr>
        <w:autoSpaceDE w:val="0"/>
        <w:autoSpaceDN w:val="0"/>
        <w:adjustRightInd w:val="0"/>
        <w:spacing w:after="0" w:line="240" w:lineRule="auto"/>
        <w:rPr>
          <w:rFonts w:ascii="Garamond" w:hAnsi="Garamond" w:cs="Garamond"/>
          <w:sz w:val="24"/>
          <w:szCs w:val="24"/>
        </w:rPr>
      </w:pPr>
      <w:r w:rsidRPr="00A919DD">
        <w:rPr>
          <w:rFonts w:ascii="Garamond" w:hAnsi="Garamond" w:cs="Garamond"/>
          <w:sz w:val="24"/>
          <w:szCs w:val="24"/>
        </w:rPr>
        <w:t xml:space="preserve">250-ml Wheaton bottles with screw lids (Figure 1). Each bioassay typically requires five bottles: four for replicates and one for control; </w:t>
      </w:r>
    </w:p>
    <w:p w:rsidR="0058140F" w:rsidRPr="0058140F" w:rsidRDefault="0058140F" w:rsidP="0058140F">
      <w:pPr>
        <w:autoSpaceDE w:val="0"/>
        <w:autoSpaceDN w:val="0"/>
        <w:adjustRightInd w:val="0"/>
        <w:spacing w:after="0" w:line="240" w:lineRule="auto"/>
        <w:ind w:left="360"/>
        <w:rPr>
          <w:rFonts w:ascii="Garamond" w:hAnsi="Garamond" w:cs="Garamond"/>
          <w:sz w:val="24"/>
          <w:szCs w:val="24"/>
        </w:rPr>
      </w:pPr>
    </w:p>
    <w:p w:rsidR="00043720" w:rsidRDefault="00985C28" w:rsidP="0058140F">
      <w:pPr>
        <w:pStyle w:val="ListParagraph"/>
        <w:numPr>
          <w:ilvl w:val="0"/>
          <w:numId w:val="2"/>
        </w:numPr>
        <w:autoSpaceDE w:val="0"/>
        <w:autoSpaceDN w:val="0"/>
        <w:adjustRightInd w:val="0"/>
        <w:spacing w:after="0" w:line="240" w:lineRule="auto"/>
        <w:rPr>
          <w:rFonts w:ascii="Garamond" w:hAnsi="Garamond" w:cs="Garamond"/>
          <w:sz w:val="24"/>
          <w:szCs w:val="24"/>
        </w:rPr>
      </w:pPr>
      <w:r w:rsidRPr="00A919DD">
        <w:rPr>
          <w:rFonts w:ascii="Garamond" w:hAnsi="Garamond" w:cs="Garamond"/>
          <w:sz w:val="24"/>
          <w:szCs w:val="24"/>
        </w:rPr>
        <w:t xml:space="preserve">Graduated disposable plastic pipettes that can measure 1 ml, or micropipetters and tips; </w:t>
      </w:r>
    </w:p>
    <w:p w:rsidR="0058140F" w:rsidRPr="0058140F" w:rsidRDefault="0058140F" w:rsidP="0058140F">
      <w:pPr>
        <w:autoSpaceDE w:val="0"/>
        <w:autoSpaceDN w:val="0"/>
        <w:adjustRightInd w:val="0"/>
        <w:spacing w:after="0" w:line="240" w:lineRule="auto"/>
        <w:rPr>
          <w:rFonts w:ascii="Garamond" w:hAnsi="Garamond" w:cs="Garamond"/>
          <w:sz w:val="24"/>
          <w:szCs w:val="24"/>
        </w:rPr>
      </w:pPr>
    </w:p>
    <w:p w:rsidR="0058140F"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A919DD">
        <w:rPr>
          <w:rFonts w:ascii="Garamond" w:hAnsi="Garamond"/>
          <w:sz w:val="24"/>
          <w:szCs w:val="24"/>
        </w:rPr>
        <w:t xml:space="preserve">Aspirator apparatus for collecting mosquitoes; </w:t>
      </w:r>
    </w:p>
    <w:p w:rsidR="0058140F" w:rsidRPr="0058140F" w:rsidRDefault="0058140F" w:rsidP="0058140F">
      <w:pPr>
        <w:autoSpaceDE w:val="0"/>
        <w:autoSpaceDN w:val="0"/>
        <w:adjustRightInd w:val="0"/>
        <w:spacing w:after="0" w:line="240" w:lineRule="auto"/>
        <w:rPr>
          <w:rFonts w:ascii="Garamond" w:hAnsi="Garamond"/>
          <w:sz w:val="24"/>
          <w:szCs w:val="24"/>
        </w:rPr>
      </w:pPr>
    </w:p>
    <w:p w:rsidR="00985C28"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A919DD">
        <w:rPr>
          <w:rFonts w:ascii="Garamond" w:hAnsi="Garamond"/>
          <w:sz w:val="24"/>
          <w:szCs w:val="24"/>
        </w:rPr>
        <w:t xml:space="preserve">Containers for transferring/holding mosquitoes; </w:t>
      </w:r>
    </w:p>
    <w:p w:rsidR="0058140F" w:rsidRPr="0058140F" w:rsidRDefault="0058140F" w:rsidP="0058140F">
      <w:pPr>
        <w:autoSpaceDE w:val="0"/>
        <w:autoSpaceDN w:val="0"/>
        <w:adjustRightInd w:val="0"/>
        <w:spacing w:after="0" w:line="240" w:lineRule="auto"/>
        <w:rPr>
          <w:rFonts w:ascii="Garamond" w:hAnsi="Garamond"/>
          <w:sz w:val="24"/>
          <w:szCs w:val="24"/>
        </w:rPr>
      </w:pPr>
    </w:p>
    <w:p w:rsidR="00985C28"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A919DD">
        <w:rPr>
          <w:rFonts w:ascii="Garamond" w:hAnsi="Garamond"/>
          <w:sz w:val="24"/>
          <w:szCs w:val="24"/>
        </w:rPr>
        <w:t xml:space="preserve">Bottles for stock solutions. These can be amber-colored or foil-wrapped if clear bottles are used (50–1,000 ml depending on the user’s choice of stock solution volume); </w:t>
      </w:r>
    </w:p>
    <w:p w:rsidR="0058140F" w:rsidRPr="0058140F" w:rsidRDefault="0058140F" w:rsidP="0058140F">
      <w:pPr>
        <w:pStyle w:val="ListParagraph"/>
        <w:rPr>
          <w:rFonts w:ascii="Garamond" w:hAnsi="Garamond"/>
          <w:sz w:val="24"/>
          <w:szCs w:val="24"/>
        </w:rPr>
      </w:pPr>
    </w:p>
    <w:p w:rsidR="0058140F" w:rsidRPr="0058140F" w:rsidRDefault="0058140F" w:rsidP="0058140F">
      <w:pPr>
        <w:autoSpaceDE w:val="0"/>
        <w:autoSpaceDN w:val="0"/>
        <w:adjustRightInd w:val="0"/>
        <w:spacing w:after="0" w:line="240" w:lineRule="auto"/>
        <w:rPr>
          <w:rFonts w:ascii="Garamond" w:hAnsi="Garamond"/>
          <w:sz w:val="24"/>
          <w:szCs w:val="24"/>
        </w:rPr>
      </w:pPr>
    </w:p>
    <w:p w:rsidR="00985C28"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A919DD">
        <w:rPr>
          <w:rFonts w:ascii="Garamond" w:hAnsi="Garamond"/>
          <w:sz w:val="24"/>
          <w:szCs w:val="24"/>
        </w:rPr>
        <w:t xml:space="preserve">Timer capable of counting seconds; </w:t>
      </w:r>
    </w:p>
    <w:p w:rsidR="0058140F" w:rsidRPr="0058140F" w:rsidRDefault="0058140F" w:rsidP="0058140F">
      <w:pPr>
        <w:autoSpaceDE w:val="0"/>
        <w:autoSpaceDN w:val="0"/>
        <w:adjustRightInd w:val="0"/>
        <w:spacing w:after="0" w:line="240" w:lineRule="auto"/>
        <w:ind w:left="360"/>
        <w:rPr>
          <w:rFonts w:ascii="Garamond" w:hAnsi="Garamond"/>
          <w:sz w:val="24"/>
          <w:szCs w:val="24"/>
        </w:rPr>
      </w:pPr>
    </w:p>
    <w:p w:rsidR="00985C28"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A919DD">
        <w:rPr>
          <w:rFonts w:ascii="Garamond" w:hAnsi="Garamond"/>
          <w:sz w:val="24"/>
          <w:szCs w:val="24"/>
        </w:rPr>
        <w:t xml:space="preserve">Permanent markers for labeling bottles, caps, and pipettes; </w:t>
      </w:r>
    </w:p>
    <w:p w:rsidR="0058140F" w:rsidRPr="0058140F" w:rsidRDefault="0058140F" w:rsidP="0058140F">
      <w:pPr>
        <w:autoSpaceDE w:val="0"/>
        <w:autoSpaceDN w:val="0"/>
        <w:adjustRightInd w:val="0"/>
        <w:spacing w:after="0" w:line="240" w:lineRule="auto"/>
        <w:rPr>
          <w:rFonts w:ascii="Garamond" w:hAnsi="Garamond"/>
          <w:sz w:val="24"/>
          <w:szCs w:val="24"/>
        </w:rPr>
      </w:pPr>
    </w:p>
    <w:p w:rsidR="00985C28"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A919DD">
        <w:rPr>
          <w:rFonts w:ascii="Garamond" w:hAnsi="Garamond"/>
          <w:sz w:val="24"/>
          <w:szCs w:val="24"/>
        </w:rPr>
        <w:t xml:space="preserve">Masking tape for labeling bottles, caps, and pipettes; </w:t>
      </w:r>
    </w:p>
    <w:p w:rsidR="0058140F" w:rsidRPr="0058140F" w:rsidRDefault="0058140F" w:rsidP="0058140F">
      <w:pPr>
        <w:autoSpaceDE w:val="0"/>
        <w:autoSpaceDN w:val="0"/>
        <w:adjustRightInd w:val="0"/>
        <w:spacing w:after="0" w:line="240" w:lineRule="auto"/>
        <w:rPr>
          <w:rFonts w:ascii="Garamond" w:hAnsi="Garamond"/>
          <w:sz w:val="24"/>
          <w:szCs w:val="24"/>
        </w:rPr>
      </w:pPr>
    </w:p>
    <w:p w:rsidR="00985C28"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A919DD">
        <w:rPr>
          <w:rFonts w:ascii="Garamond" w:hAnsi="Garamond"/>
          <w:sz w:val="24"/>
          <w:szCs w:val="24"/>
        </w:rPr>
        <w:t xml:space="preserve">Disposable gloves; </w:t>
      </w:r>
    </w:p>
    <w:p w:rsidR="0058140F" w:rsidRPr="0058140F" w:rsidRDefault="0058140F" w:rsidP="0058140F">
      <w:pPr>
        <w:autoSpaceDE w:val="0"/>
        <w:autoSpaceDN w:val="0"/>
        <w:adjustRightInd w:val="0"/>
        <w:spacing w:after="0" w:line="240" w:lineRule="auto"/>
        <w:rPr>
          <w:rFonts w:ascii="Garamond" w:hAnsi="Garamond"/>
          <w:sz w:val="24"/>
          <w:szCs w:val="24"/>
        </w:rPr>
      </w:pPr>
    </w:p>
    <w:p w:rsidR="00CD3106" w:rsidRPr="00512C2B" w:rsidRDefault="00985C28" w:rsidP="0058140F">
      <w:pPr>
        <w:pStyle w:val="ListParagraph"/>
        <w:numPr>
          <w:ilvl w:val="0"/>
          <w:numId w:val="2"/>
        </w:numPr>
        <w:autoSpaceDE w:val="0"/>
        <w:autoSpaceDN w:val="0"/>
        <w:adjustRightInd w:val="0"/>
        <w:spacing w:after="0" w:line="240" w:lineRule="auto"/>
        <w:rPr>
          <w:rFonts w:ascii="Garamond" w:hAnsi="Garamond"/>
          <w:sz w:val="24"/>
          <w:szCs w:val="24"/>
        </w:rPr>
      </w:pPr>
      <w:r w:rsidRPr="001B1218">
        <w:rPr>
          <w:rFonts w:ascii="Garamond" w:hAnsi="Garamond"/>
          <w:sz w:val="24"/>
          <w:szCs w:val="24"/>
        </w:rPr>
        <w:t xml:space="preserve">Sheets, pens, and pencils for data recording. </w:t>
      </w:r>
    </w:p>
    <w:p w:rsidR="00CD3106" w:rsidRPr="001B1218" w:rsidRDefault="00CD3106" w:rsidP="0058140F">
      <w:pPr>
        <w:autoSpaceDE w:val="0"/>
        <w:autoSpaceDN w:val="0"/>
        <w:adjustRightInd w:val="0"/>
        <w:spacing w:after="0" w:line="240" w:lineRule="auto"/>
        <w:jc w:val="both"/>
        <w:rPr>
          <w:rFonts w:ascii="Century Gothic" w:hAnsi="Century Gothic" w:cs="Century Gothic"/>
          <w:b/>
          <w:bCs/>
          <w:color w:val="92A185" w:themeColor="accent6"/>
          <w:sz w:val="24"/>
          <w:szCs w:val="24"/>
        </w:rPr>
      </w:pPr>
    </w:p>
    <w:p w:rsidR="00985C28" w:rsidRPr="001B1218" w:rsidRDefault="00985C28" w:rsidP="0058140F">
      <w:pPr>
        <w:autoSpaceDE w:val="0"/>
        <w:autoSpaceDN w:val="0"/>
        <w:adjustRightInd w:val="0"/>
        <w:spacing w:after="0" w:line="240" w:lineRule="auto"/>
        <w:jc w:val="both"/>
        <w:rPr>
          <w:rFonts w:ascii="Century Gothic" w:hAnsi="Century Gothic" w:cs="Century Gothic"/>
          <w:b/>
          <w:bCs/>
          <w:color w:val="92A185" w:themeColor="accent6"/>
          <w:sz w:val="24"/>
          <w:szCs w:val="24"/>
        </w:rPr>
      </w:pPr>
      <w:r w:rsidRPr="001B1218">
        <w:rPr>
          <w:rFonts w:ascii="Century Gothic" w:hAnsi="Century Gothic" w:cs="Century Gothic"/>
          <w:b/>
          <w:bCs/>
          <w:color w:val="92A185" w:themeColor="accent6"/>
          <w:sz w:val="24"/>
          <w:szCs w:val="24"/>
        </w:rPr>
        <w:t xml:space="preserve">2.2. Reagents </w:t>
      </w:r>
    </w:p>
    <w:p w:rsidR="0058140F" w:rsidRPr="001B1218" w:rsidRDefault="0058140F" w:rsidP="0058140F">
      <w:pPr>
        <w:autoSpaceDE w:val="0"/>
        <w:autoSpaceDN w:val="0"/>
        <w:adjustRightInd w:val="0"/>
        <w:spacing w:after="0" w:line="240" w:lineRule="auto"/>
        <w:jc w:val="both"/>
        <w:rPr>
          <w:rFonts w:ascii="Century Gothic" w:hAnsi="Century Gothic" w:cs="Century Gothic"/>
          <w:color w:val="92A185" w:themeColor="accent6"/>
          <w:sz w:val="24"/>
          <w:szCs w:val="24"/>
        </w:rPr>
      </w:pPr>
    </w:p>
    <w:p w:rsidR="00985C28" w:rsidRPr="001B1218" w:rsidRDefault="00985C28" w:rsidP="0058140F">
      <w:pPr>
        <w:pStyle w:val="ListParagraph"/>
        <w:numPr>
          <w:ilvl w:val="0"/>
          <w:numId w:val="6"/>
        </w:numPr>
        <w:autoSpaceDE w:val="0"/>
        <w:autoSpaceDN w:val="0"/>
        <w:adjustRightInd w:val="0"/>
        <w:spacing w:after="0" w:line="240" w:lineRule="auto"/>
        <w:jc w:val="both"/>
        <w:rPr>
          <w:rFonts w:ascii="Century Gothic" w:hAnsi="Century Gothic" w:cs="Century Gothic"/>
          <w:sz w:val="24"/>
          <w:szCs w:val="24"/>
        </w:rPr>
      </w:pPr>
      <w:r w:rsidRPr="001B1218">
        <w:rPr>
          <w:rFonts w:ascii="Garamond" w:hAnsi="Garamond" w:cs="Garamond"/>
          <w:sz w:val="24"/>
          <w:szCs w:val="24"/>
        </w:rPr>
        <w:t xml:space="preserve">Insecticide(s) to be tested (technical grade); </w:t>
      </w:r>
    </w:p>
    <w:p w:rsidR="0058140F" w:rsidRPr="001B1218" w:rsidRDefault="0058140F" w:rsidP="0058140F">
      <w:pPr>
        <w:pStyle w:val="ListParagraph"/>
        <w:autoSpaceDE w:val="0"/>
        <w:autoSpaceDN w:val="0"/>
        <w:adjustRightInd w:val="0"/>
        <w:spacing w:after="0" w:line="240" w:lineRule="auto"/>
        <w:jc w:val="both"/>
        <w:rPr>
          <w:rFonts w:ascii="Century Gothic" w:hAnsi="Century Gothic" w:cs="Century Gothic"/>
          <w:sz w:val="24"/>
          <w:szCs w:val="24"/>
        </w:rPr>
      </w:pPr>
    </w:p>
    <w:p w:rsidR="0058140F" w:rsidRPr="00512C2B" w:rsidRDefault="00985C28" w:rsidP="00512C2B">
      <w:pPr>
        <w:pStyle w:val="ListParagraph"/>
        <w:numPr>
          <w:ilvl w:val="0"/>
          <w:numId w:val="6"/>
        </w:numPr>
        <w:autoSpaceDE w:val="0"/>
        <w:autoSpaceDN w:val="0"/>
        <w:adjustRightInd w:val="0"/>
        <w:spacing w:after="0" w:line="240" w:lineRule="auto"/>
        <w:jc w:val="both"/>
        <w:rPr>
          <w:rFonts w:ascii="Century Gothic" w:hAnsi="Century Gothic" w:cs="Century Gothic"/>
          <w:sz w:val="24"/>
          <w:szCs w:val="24"/>
        </w:rPr>
      </w:pPr>
      <w:r w:rsidRPr="001B1218">
        <w:rPr>
          <w:rFonts w:ascii="Garamond" w:hAnsi="Garamond" w:cs="Garamond"/>
          <w:sz w:val="24"/>
          <w:szCs w:val="24"/>
        </w:rPr>
        <w:t xml:space="preserve">Acetone or technical grade absolute ethanol. </w:t>
      </w:r>
    </w:p>
    <w:p w:rsidR="0058140F" w:rsidRPr="001B1218" w:rsidRDefault="0058140F" w:rsidP="0058140F">
      <w:pPr>
        <w:pStyle w:val="ListParagraph"/>
        <w:autoSpaceDE w:val="0"/>
        <w:autoSpaceDN w:val="0"/>
        <w:adjustRightInd w:val="0"/>
        <w:spacing w:after="0" w:line="240" w:lineRule="auto"/>
        <w:jc w:val="both"/>
        <w:rPr>
          <w:rFonts w:ascii="Century Gothic" w:hAnsi="Century Gothic" w:cs="Century Gothic"/>
          <w:sz w:val="24"/>
          <w:szCs w:val="24"/>
        </w:rPr>
      </w:pPr>
    </w:p>
    <w:p w:rsidR="00985C28" w:rsidRPr="001B1218" w:rsidRDefault="00985C28" w:rsidP="0058140F">
      <w:pPr>
        <w:autoSpaceDE w:val="0"/>
        <w:autoSpaceDN w:val="0"/>
        <w:adjustRightInd w:val="0"/>
        <w:spacing w:after="0" w:line="240" w:lineRule="auto"/>
        <w:jc w:val="both"/>
        <w:rPr>
          <w:rFonts w:ascii="Century Gothic" w:hAnsi="Century Gothic" w:cs="Century Gothic"/>
          <w:b/>
          <w:bCs/>
          <w:color w:val="92A185" w:themeColor="accent6"/>
          <w:sz w:val="24"/>
          <w:szCs w:val="24"/>
        </w:rPr>
      </w:pPr>
      <w:r w:rsidRPr="001B1218">
        <w:rPr>
          <w:rFonts w:ascii="Century Gothic" w:hAnsi="Century Gothic" w:cs="Century Gothic"/>
          <w:b/>
          <w:bCs/>
          <w:color w:val="92A185" w:themeColor="accent6"/>
          <w:sz w:val="24"/>
          <w:szCs w:val="24"/>
        </w:rPr>
        <w:t xml:space="preserve">2.3. Biological material </w:t>
      </w:r>
    </w:p>
    <w:p w:rsidR="0058140F" w:rsidRPr="001B1218" w:rsidRDefault="0058140F" w:rsidP="0058140F">
      <w:pPr>
        <w:autoSpaceDE w:val="0"/>
        <w:autoSpaceDN w:val="0"/>
        <w:adjustRightInd w:val="0"/>
        <w:spacing w:after="0" w:line="240" w:lineRule="auto"/>
        <w:jc w:val="both"/>
        <w:rPr>
          <w:rFonts w:ascii="Century Gothic" w:hAnsi="Century Gothic" w:cs="Century Gothic"/>
          <w:color w:val="92A185" w:themeColor="accent6"/>
          <w:sz w:val="24"/>
          <w:szCs w:val="24"/>
        </w:rPr>
      </w:pPr>
    </w:p>
    <w:p w:rsidR="00985C28" w:rsidRPr="001B1218" w:rsidRDefault="00985C28" w:rsidP="0058140F">
      <w:pPr>
        <w:pStyle w:val="ListParagraph"/>
        <w:numPr>
          <w:ilvl w:val="0"/>
          <w:numId w:val="7"/>
        </w:numPr>
        <w:autoSpaceDE w:val="0"/>
        <w:autoSpaceDN w:val="0"/>
        <w:adjustRightInd w:val="0"/>
        <w:spacing w:after="0" w:line="240" w:lineRule="auto"/>
        <w:rPr>
          <w:rFonts w:ascii="Garamond" w:hAnsi="Garamond" w:cs="Garamond"/>
          <w:sz w:val="24"/>
          <w:szCs w:val="24"/>
        </w:rPr>
      </w:pPr>
      <w:r w:rsidRPr="001B1218">
        <w:rPr>
          <w:rFonts w:ascii="Garamond" w:hAnsi="Garamond" w:cs="Garamond"/>
          <w:sz w:val="24"/>
          <w:szCs w:val="24"/>
        </w:rPr>
        <w:t xml:space="preserve">Mosquitoes for testing. </w:t>
      </w:r>
    </w:p>
    <w:p w:rsidR="00985C28" w:rsidRDefault="00985C28" w:rsidP="0058140F">
      <w:pPr>
        <w:autoSpaceDE w:val="0"/>
        <w:autoSpaceDN w:val="0"/>
        <w:adjustRightInd w:val="0"/>
        <w:spacing w:after="0" w:line="240" w:lineRule="auto"/>
        <w:rPr>
          <w:rFonts w:ascii="Garamond" w:hAnsi="Garamond" w:cs="Garamond"/>
          <w:sz w:val="24"/>
          <w:szCs w:val="24"/>
        </w:rPr>
      </w:pPr>
    </w:p>
    <w:p w:rsidR="0058140F" w:rsidRPr="00A919DD" w:rsidRDefault="0058140F" w:rsidP="0058140F">
      <w:pPr>
        <w:autoSpaceDE w:val="0"/>
        <w:autoSpaceDN w:val="0"/>
        <w:adjustRightInd w:val="0"/>
        <w:spacing w:after="0" w:line="240" w:lineRule="auto"/>
        <w:rPr>
          <w:rFonts w:ascii="Garamond" w:hAnsi="Garamond" w:cs="Garamond"/>
          <w:sz w:val="24"/>
          <w:szCs w:val="24"/>
        </w:rPr>
      </w:pPr>
    </w:p>
    <w:p w:rsidR="00985C28" w:rsidRPr="0058140F" w:rsidRDefault="00985C28" w:rsidP="0058140F">
      <w:pPr>
        <w:autoSpaceDE w:val="0"/>
        <w:autoSpaceDN w:val="0"/>
        <w:adjustRightInd w:val="0"/>
        <w:spacing w:after="0" w:line="240" w:lineRule="auto"/>
        <w:rPr>
          <w:rFonts w:ascii="Garamond" w:hAnsi="Garamond" w:cs="Garamond"/>
          <w:sz w:val="24"/>
          <w:szCs w:val="24"/>
        </w:rPr>
      </w:pPr>
      <w:r w:rsidRPr="00A919DD">
        <w:rPr>
          <w:rFonts w:ascii="Garamond" w:hAnsi="Garamond" w:cs="Garamond"/>
          <w:b/>
          <w:sz w:val="24"/>
          <w:szCs w:val="24"/>
          <w:u w:val="double"/>
        </w:rPr>
        <w:t>Note:</w:t>
      </w:r>
      <w:r w:rsidRPr="00A919DD">
        <w:rPr>
          <w:rFonts w:ascii="Garamond" w:hAnsi="Garamond" w:cs="Garamond"/>
          <w:sz w:val="24"/>
          <w:szCs w:val="24"/>
        </w:rPr>
        <w:t xml:space="preserve"> Use safety procedures as recommended by your institution when handling insecticides (e.g., proc</w:t>
      </w:r>
      <w:r w:rsidR="0058140F">
        <w:rPr>
          <w:rFonts w:ascii="Garamond" w:hAnsi="Garamond" w:cs="Garamond"/>
          <w:sz w:val="24"/>
          <w:szCs w:val="24"/>
        </w:rPr>
        <w:t>edure gloves, laboratory coat).</w:t>
      </w:r>
    </w:p>
    <w:p w:rsidR="00985C28" w:rsidRPr="00985C28" w:rsidRDefault="00985C28" w:rsidP="00985C28">
      <w:pPr>
        <w:autoSpaceDE w:val="0"/>
        <w:autoSpaceDN w:val="0"/>
        <w:adjustRightInd w:val="0"/>
        <w:spacing w:after="0" w:line="240" w:lineRule="auto"/>
        <w:rPr>
          <w:rFonts w:ascii="Garamond" w:hAnsi="Garamond" w:cs="Garamond"/>
          <w:color w:val="000000"/>
          <w:sz w:val="24"/>
          <w:szCs w:val="24"/>
        </w:rPr>
      </w:pPr>
    </w:p>
    <w:p w:rsidR="004C2D13" w:rsidRDefault="004C2D13" w:rsidP="00985C28">
      <w:pPr>
        <w:autoSpaceDE w:val="0"/>
        <w:autoSpaceDN w:val="0"/>
        <w:adjustRightInd w:val="0"/>
        <w:spacing w:before="120" w:after="60" w:line="241" w:lineRule="atLeast"/>
        <w:jc w:val="both"/>
        <w:rPr>
          <w:rFonts w:ascii="Garamond" w:hAnsi="Garamond"/>
          <w:sz w:val="20"/>
          <w:szCs w:val="20"/>
        </w:rPr>
      </w:pPr>
      <w:r>
        <w:rPr>
          <w:rFonts w:ascii="Garamond" w:hAnsi="Garamond"/>
          <w:noProof/>
          <w:sz w:val="20"/>
          <w:szCs w:val="20"/>
        </w:rPr>
        <w:drawing>
          <wp:inline distT="0" distB="0" distL="0" distR="0">
            <wp:extent cx="5043486" cy="3362325"/>
            <wp:effectExtent l="95250" t="95250" r="100330" b="857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6400" cy="3370934"/>
                    </a:xfrm>
                    <a:prstGeom prst="rect">
                      <a:avLst/>
                    </a:prstGeom>
                    <a:ln w="88900" cap="sq" cmpd="thickThin">
                      <a:solidFill>
                        <a:schemeClr val="tx2">
                          <a:lumMod val="50000"/>
                          <a:lumOff val="50000"/>
                        </a:schemeClr>
                      </a:solidFill>
                      <a:prstDash val="solid"/>
                      <a:miter lim="800000"/>
                    </a:ln>
                    <a:effectLst>
                      <a:innerShdw blurRad="76200">
                        <a:srgbClr val="000000"/>
                      </a:innerShdw>
                    </a:effectLst>
                  </pic:spPr>
                </pic:pic>
              </a:graphicData>
            </a:graphic>
          </wp:inline>
        </w:drawing>
      </w:r>
    </w:p>
    <w:p w:rsidR="00985C28" w:rsidRPr="004C2D13" w:rsidRDefault="00985C28" w:rsidP="00985C28">
      <w:pPr>
        <w:autoSpaceDE w:val="0"/>
        <w:autoSpaceDN w:val="0"/>
        <w:adjustRightInd w:val="0"/>
        <w:spacing w:before="120" w:after="60" w:line="241" w:lineRule="atLeast"/>
        <w:jc w:val="both"/>
        <w:rPr>
          <w:rFonts w:ascii="Garamond" w:hAnsi="Garamond"/>
          <w:sz w:val="24"/>
          <w:szCs w:val="24"/>
        </w:rPr>
      </w:pPr>
      <w:r w:rsidRPr="004C2D13">
        <w:rPr>
          <w:rFonts w:ascii="Garamond" w:hAnsi="Garamond"/>
          <w:b/>
          <w:sz w:val="24"/>
          <w:szCs w:val="24"/>
        </w:rPr>
        <w:t>Figure 1:</w:t>
      </w:r>
      <w:r w:rsidRPr="004C2D13">
        <w:rPr>
          <w:rFonts w:ascii="Garamond" w:hAnsi="Garamond"/>
          <w:sz w:val="24"/>
          <w:szCs w:val="24"/>
        </w:rPr>
        <w:t xml:space="preserve"> Material</w:t>
      </w:r>
      <w:r w:rsidR="0058140F">
        <w:rPr>
          <w:rFonts w:ascii="Garamond" w:hAnsi="Garamond"/>
          <w:sz w:val="24"/>
          <w:szCs w:val="24"/>
        </w:rPr>
        <w:t>s</w:t>
      </w:r>
      <w:r w:rsidRPr="004C2D13">
        <w:rPr>
          <w:rFonts w:ascii="Garamond" w:hAnsi="Garamond"/>
          <w:sz w:val="24"/>
          <w:szCs w:val="24"/>
        </w:rPr>
        <w:t xml:space="preserve"> and reagents for the CDC bottle bioassay. </w:t>
      </w:r>
    </w:p>
    <w:p w:rsidR="00985C28" w:rsidRDefault="00985C28" w:rsidP="00985C28">
      <w:pPr>
        <w:autoSpaceDE w:val="0"/>
        <w:autoSpaceDN w:val="0"/>
        <w:adjustRightInd w:val="0"/>
        <w:spacing w:before="120" w:after="60" w:line="241" w:lineRule="atLeast"/>
        <w:jc w:val="both"/>
        <w:rPr>
          <w:rFonts w:ascii="Garamond" w:hAnsi="Garamond" w:cs="Garamond"/>
          <w:noProof/>
          <w:sz w:val="23"/>
          <w:szCs w:val="23"/>
        </w:rPr>
      </w:pPr>
    </w:p>
    <w:p w:rsidR="00512C2B" w:rsidRDefault="00512C2B" w:rsidP="0058140F">
      <w:pPr>
        <w:autoSpaceDE w:val="0"/>
        <w:autoSpaceDN w:val="0"/>
        <w:adjustRightInd w:val="0"/>
        <w:spacing w:after="0" w:line="240" w:lineRule="auto"/>
        <w:rPr>
          <w:rFonts w:ascii="Century Gothic" w:hAnsi="Century Gothic"/>
          <w:b/>
          <w:bCs/>
          <w:color w:val="6C7C5F" w:themeColor="accent6" w:themeShade="BF"/>
          <w:sz w:val="28"/>
          <w:szCs w:val="28"/>
        </w:rPr>
      </w:pPr>
    </w:p>
    <w:p w:rsidR="00985C28" w:rsidRDefault="00985C28" w:rsidP="0058140F">
      <w:pPr>
        <w:autoSpaceDE w:val="0"/>
        <w:autoSpaceDN w:val="0"/>
        <w:adjustRightInd w:val="0"/>
        <w:spacing w:after="0" w:line="240" w:lineRule="auto"/>
        <w:rPr>
          <w:rFonts w:ascii="Century Gothic" w:hAnsi="Century Gothic"/>
          <w:b/>
          <w:bCs/>
          <w:color w:val="6C7C5F" w:themeColor="accent6" w:themeShade="BF"/>
          <w:sz w:val="28"/>
          <w:szCs w:val="28"/>
        </w:rPr>
      </w:pPr>
      <w:r w:rsidRPr="00985C28">
        <w:rPr>
          <w:rFonts w:ascii="Century Gothic" w:hAnsi="Century Gothic"/>
          <w:b/>
          <w:bCs/>
          <w:color w:val="6C7C5F" w:themeColor="accent6" w:themeShade="BF"/>
          <w:sz w:val="28"/>
          <w:szCs w:val="28"/>
        </w:rPr>
        <w:t xml:space="preserve">3. Initial considerations </w:t>
      </w:r>
    </w:p>
    <w:p w:rsidR="00043720" w:rsidRPr="001B1218" w:rsidRDefault="00043720" w:rsidP="0058140F">
      <w:pPr>
        <w:autoSpaceDE w:val="0"/>
        <w:autoSpaceDN w:val="0"/>
        <w:adjustRightInd w:val="0"/>
        <w:spacing w:after="0" w:line="240" w:lineRule="auto"/>
        <w:rPr>
          <w:rFonts w:ascii="Century Gothic" w:hAnsi="Century Gothic"/>
          <w:color w:val="6C7C5F" w:themeColor="accent6" w:themeShade="BF"/>
          <w:sz w:val="24"/>
          <w:szCs w:val="24"/>
        </w:rPr>
      </w:pPr>
    </w:p>
    <w:p w:rsidR="00985C28" w:rsidRPr="001B1218" w:rsidRDefault="00985C28" w:rsidP="0058140F">
      <w:pPr>
        <w:autoSpaceDE w:val="0"/>
        <w:autoSpaceDN w:val="0"/>
        <w:adjustRightInd w:val="0"/>
        <w:spacing w:after="0" w:line="240" w:lineRule="auto"/>
        <w:rPr>
          <w:rFonts w:ascii="Century Gothic" w:hAnsi="Century Gothic"/>
          <w:b/>
          <w:bCs/>
          <w:color w:val="92A185" w:themeColor="accent6"/>
          <w:sz w:val="24"/>
          <w:szCs w:val="24"/>
        </w:rPr>
      </w:pPr>
      <w:r w:rsidRPr="001B1218">
        <w:rPr>
          <w:rFonts w:ascii="Century Gothic" w:hAnsi="Century Gothic"/>
          <w:b/>
          <w:bCs/>
          <w:color w:val="92A185" w:themeColor="accent6"/>
          <w:sz w:val="24"/>
          <w:szCs w:val="24"/>
        </w:rPr>
        <w:t xml:space="preserve">3.1. Diagnostic dose and diagnostic time </w:t>
      </w:r>
    </w:p>
    <w:p w:rsidR="00043720" w:rsidRPr="00985C28" w:rsidRDefault="00043720" w:rsidP="0058140F">
      <w:pPr>
        <w:autoSpaceDE w:val="0"/>
        <w:autoSpaceDN w:val="0"/>
        <w:adjustRightInd w:val="0"/>
        <w:spacing w:after="0" w:line="240" w:lineRule="auto"/>
        <w:rPr>
          <w:rFonts w:ascii="Century Gothic" w:hAnsi="Century Gothic"/>
          <w:color w:val="92A185" w:themeColor="accent6"/>
          <w:sz w:val="23"/>
          <w:szCs w:val="23"/>
        </w:rPr>
      </w:pPr>
    </w:p>
    <w:p w:rsidR="00CD3106" w:rsidRPr="0058140F" w:rsidRDefault="00985C28" w:rsidP="0058140F">
      <w:pPr>
        <w:autoSpaceDE w:val="0"/>
        <w:autoSpaceDN w:val="0"/>
        <w:adjustRightInd w:val="0"/>
        <w:spacing w:after="0" w:line="240" w:lineRule="auto"/>
        <w:jc w:val="both"/>
        <w:rPr>
          <w:rFonts w:ascii="Garamond" w:hAnsi="Garamond" w:cs="Garamond"/>
          <w:sz w:val="24"/>
          <w:szCs w:val="24"/>
        </w:rPr>
      </w:pPr>
      <w:r w:rsidRPr="0058140F">
        <w:rPr>
          <w:rFonts w:ascii="Garamond" w:hAnsi="Garamond" w:cs="Garamond"/>
          <w:sz w:val="24"/>
          <w:szCs w:val="24"/>
        </w:rPr>
        <w:t xml:space="preserve">The first step in standardizing the CDC bottle bioassay is to determine the diagnostic dose and the diagnostic time. The diagnostic dose is a dose of insecticide that kills 100% of susceptible mosquitoes within a given time. The expected time for the insecticide to achieve this objective is called the diagnostic time. Those are the reference points against which all other results are compared. Resistance is assumed to be present if a significant portion of the test population survives the diagnostic dose at the diagnostic time. </w:t>
      </w:r>
    </w:p>
    <w:p w:rsidR="00043720" w:rsidRPr="0058140F" w:rsidRDefault="00043720" w:rsidP="0058140F">
      <w:pPr>
        <w:autoSpaceDE w:val="0"/>
        <w:autoSpaceDN w:val="0"/>
        <w:adjustRightInd w:val="0"/>
        <w:spacing w:after="0" w:line="240" w:lineRule="auto"/>
        <w:jc w:val="both"/>
        <w:rPr>
          <w:rFonts w:ascii="Garamond" w:hAnsi="Garamond" w:cs="Garamond"/>
          <w:sz w:val="24"/>
          <w:szCs w:val="24"/>
        </w:rPr>
      </w:pPr>
    </w:p>
    <w:p w:rsidR="00985C28" w:rsidRPr="0058140F" w:rsidRDefault="00985C28" w:rsidP="0058140F">
      <w:pPr>
        <w:pStyle w:val="Default"/>
        <w:rPr>
          <w:rFonts w:ascii="Garamond" w:hAnsi="Garamond" w:cstheme="minorBidi"/>
          <w:color w:val="auto"/>
        </w:rPr>
      </w:pPr>
      <w:r w:rsidRPr="0058140F">
        <w:rPr>
          <w:rFonts w:ascii="Garamond" w:hAnsi="Garamond" w:cs="Garamond"/>
        </w:rPr>
        <w:t xml:space="preserve">The diagnostic dose and the diagnostic time should be defined for each insecticide, each region, and each vector species that is monitored. The diagnostic dose and the diagnostic time are validated using a susceptible population of vectors collected from the field. Once the diagnostic dose and the diagnostic time for a species from a given location have been determined, these parameters should be used for testing that particular vector population from that location from that time on. Use of the same parameters is required to detect changes in the response of the population over time (e.g., number of test mosquitoes surviving after an exposure time that originally killed 100% of the test population). </w:t>
      </w:r>
      <w:r w:rsidRPr="0058140F">
        <w:rPr>
          <w:rFonts w:ascii="Garamond" w:hAnsi="Garamond"/>
        </w:rPr>
        <w:t>Table 1 shows diagnostic doses and diagnostic times applicable to</w:t>
      </w:r>
      <w:r w:rsidR="00541604" w:rsidRPr="0058140F">
        <w:rPr>
          <w:rFonts w:ascii="Garamond" w:hAnsi="Garamond"/>
        </w:rPr>
        <w:t xml:space="preserve"> </w:t>
      </w:r>
      <w:r w:rsidR="00541604" w:rsidRPr="0058140F">
        <w:rPr>
          <w:rFonts w:ascii="Garamond" w:hAnsi="Garamond"/>
          <w:i/>
        </w:rPr>
        <w:t>Aedes aegypti</w:t>
      </w:r>
      <w:r w:rsidR="00F52ED8" w:rsidRPr="0058140F">
        <w:rPr>
          <w:rFonts w:ascii="Garamond" w:hAnsi="Garamond"/>
        </w:rPr>
        <w:t xml:space="preserve">, </w:t>
      </w:r>
      <w:r w:rsidR="00541604" w:rsidRPr="0058140F">
        <w:rPr>
          <w:rFonts w:ascii="Garamond" w:hAnsi="Garamond"/>
          <w:i/>
        </w:rPr>
        <w:t>Ae. albopictus</w:t>
      </w:r>
      <w:r w:rsidR="00F52ED8" w:rsidRPr="0058140F">
        <w:rPr>
          <w:rFonts w:ascii="Garamond" w:hAnsi="Garamond"/>
          <w:i/>
        </w:rPr>
        <w:t xml:space="preserve">, </w:t>
      </w:r>
      <w:r w:rsidR="00541604" w:rsidRPr="0058140F">
        <w:rPr>
          <w:rFonts w:ascii="Garamond" w:hAnsi="Garamond"/>
        </w:rPr>
        <w:t xml:space="preserve"> </w:t>
      </w:r>
      <w:r w:rsidR="00F52ED8" w:rsidRPr="0058140F">
        <w:rPr>
          <w:rFonts w:ascii="Garamond" w:hAnsi="Garamond"/>
          <w:i/>
        </w:rPr>
        <w:t xml:space="preserve">Culex molestus, </w:t>
      </w:r>
      <w:r w:rsidR="00F52ED8" w:rsidRPr="0058140F">
        <w:rPr>
          <w:rFonts w:ascii="Garamond" w:hAnsi="Garamond" w:cs="Garamond"/>
        </w:rPr>
        <w:t xml:space="preserve"> </w:t>
      </w:r>
      <w:r w:rsidR="00F52ED8" w:rsidRPr="0058140F">
        <w:rPr>
          <w:rFonts w:ascii="Garamond" w:hAnsi="Garamond"/>
          <w:i/>
        </w:rPr>
        <w:t>Cx. pipiens</w:t>
      </w:r>
      <w:r w:rsidR="00F52ED8" w:rsidRPr="0058140F">
        <w:rPr>
          <w:rFonts w:ascii="Garamond" w:hAnsi="Garamond" w:cs="Garamond"/>
        </w:rPr>
        <w:t xml:space="preserve">, </w:t>
      </w:r>
      <w:r w:rsidR="00F52ED8" w:rsidRPr="0058140F">
        <w:rPr>
          <w:rFonts w:ascii="Garamond" w:hAnsi="Garamond"/>
          <w:i/>
        </w:rPr>
        <w:t xml:space="preserve">Cx. quinquefasciatus, </w:t>
      </w:r>
      <w:r w:rsidR="00F52ED8" w:rsidRPr="0058140F">
        <w:rPr>
          <w:rFonts w:ascii="Garamond" w:hAnsi="Garamond"/>
        </w:rPr>
        <w:t xml:space="preserve">and </w:t>
      </w:r>
      <w:r w:rsidR="00F52ED8" w:rsidRPr="0058140F">
        <w:rPr>
          <w:rFonts w:ascii="Garamond" w:hAnsi="Garamond"/>
          <w:i/>
        </w:rPr>
        <w:t>Cx. tarsalis</w:t>
      </w:r>
      <w:r w:rsidR="00F52ED8" w:rsidRPr="0058140F">
        <w:rPr>
          <w:rFonts w:ascii="Garamond" w:hAnsi="Garamond" w:cs="Garamond"/>
        </w:rPr>
        <w:t xml:space="preserve"> </w:t>
      </w:r>
      <w:r w:rsidRPr="0058140F">
        <w:rPr>
          <w:rFonts w:ascii="Garamond" w:hAnsi="Garamond" w:cs="Garamond"/>
        </w:rPr>
        <w:t>mosquito populations</w:t>
      </w:r>
      <w:r w:rsidR="00541604" w:rsidRPr="0058140F">
        <w:rPr>
          <w:rFonts w:ascii="Garamond" w:hAnsi="Garamond" w:cs="Garamond"/>
        </w:rPr>
        <w:t xml:space="preserve"> as determined at the CDC in Fort Collins, CO</w:t>
      </w:r>
      <w:r w:rsidRPr="0058140F">
        <w:rPr>
          <w:rFonts w:ascii="Garamond" w:hAnsi="Garamond" w:cs="Garamond"/>
        </w:rPr>
        <w:t>.</w:t>
      </w:r>
      <w:r w:rsidR="00F52ED8" w:rsidRPr="0058140F">
        <w:t xml:space="preserve"> </w:t>
      </w:r>
      <w:r w:rsidR="00F52ED8" w:rsidRPr="0058140F">
        <w:rPr>
          <w:rFonts w:ascii="Garamond" w:hAnsi="Garamond" w:cs="Garamond"/>
        </w:rPr>
        <w:t>T</w:t>
      </w:r>
      <w:r w:rsidR="00F52ED8" w:rsidRPr="0058140F">
        <w:rPr>
          <w:rFonts w:ascii="Garamond" w:hAnsi="Garamond" w:cstheme="minorBidi"/>
          <w:color w:val="auto"/>
        </w:rPr>
        <w:t>he diagnostic doses and the diagnostic times in Table 1 serve as sample reference points for the main insecticides used in the continental United States.</w:t>
      </w:r>
      <w:r w:rsidR="00043720" w:rsidRPr="0058140F">
        <w:rPr>
          <w:rFonts w:ascii="Garamond" w:hAnsi="Garamond" w:cstheme="minorBidi"/>
          <w:color w:val="auto"/>
        </w:rPr>
        <w:t xml:space="preserve">  </w:t>
      </w:r>
    </w:p>
    <w:p w:rsidR="00CD3106" w:rsidRDefault="00CD3106" w:rsidP="0058140F">
      <w:pPr>
        <w:pStyle w:val="Default"/>
        <w:rPr>
          <w:rFonts w:ascii="Garamond" w:hAnsi="Garamond" w:cstheme="minorBidi"/>
          <w:color w:val="auto"/>
          <w:sz w:val="23"/>
          <w:szCs w:val="23"/>
        </w:rPr>
      </w:pPr>
    </w:p>
    <w:p w:rsidR="00CD3106" w:rsidRPr="00F52ED8" w:rsidRDefault="00CD3106" w:rsidP="00F52ED8">
      <w:pPr>
        <w:pStyle w:val="Default"/>
        <w:rPr>
          <w:rFonts w:ascii="Garamond" w:hAnsi="Garamond" w:cs="Garamond"/>
        </w:rPr>
      </w:pPr>
    </w:p>
    <w:p w:rsidR="00541604" w:rsidRDefault="00541604" w:rsidP="00541604">
      <w:pPr>
        <w:pStyle w:val="Default"/>
        <w:rPr>
          <w:rFonts w:ascii="Garamond" w:hAnsi="Garamond" w:cs="Garamond"/>
          <w:sz w:val="23"/>
          <w:szCs w:val="23"/>
        </w:rPr>
      </w:pPr>
    </w:p>
    <w:tbl>
      <w:tblPr>
        <w:tblStyle w:val="TableGrid"/>
        <w:tblW w:w="10249" w:type="dxa"/>
        <w:tblLook w:val="04A0" w:firstRow="1" w:lastRow="0" w:firstColumn="1" w:lastColumn="0" w:noHBand="0" w:noVBand="1"/>
      </w:tblPr>
      <w:tblGrid>
        <w:gridCol w:w="1486"/>
        <w:gridCol w:w="1645"/>
        <w:gridCol w:w="1091"/>
        <w:gridCol w:w="1156"/>
        <w:gridCol w:w="1123"/>
        <w:gridCol w:w="1094"/>
        <w:gridCol w:w="1551"/>
        <w:gridCol w:w="1103"/>
      </w:tblGrid>
      <w:tr w:rsidR="00541604" w:rsidTr="0062024C">
        <w:trPr>
          <w:trHeight w:val="348"/>
        </w:trPr>
        <w:tc>
          <w:tcPr>
            <w:tcW w:w="10249" w:type="dxa"/>
            <w:gridSpan w:val="8"/>
            <w:shd w:val="clear" w:color="auto" w:fill="55837F" w:themeFill="accent2" w:themeFillShade="BF"/>
            <w:vAlign w:val="center"/>
          </w:tcPr>
          <w:p w:rsidR="00541604" w:rsidRPr="007F78A1" w:rsidRDefault="00541604" w:rsidP="0062024C">
            <w:pPr>
              <w:pStyle w:val="Default"/>
              <w:rPr>
                <w:rFonts w:ascii="Garamond" w:hAnsi="Garamond" w:cs="Garamond"/>
                <w:b/>
              </w:rPr>
            </w:pPr>
            <w:r w:rsidRPr="00CD3106">
              <w:rPr>
                <w:rFonts w:ascii="Garamond" w:hAnsi="Garamond" w:cs="Garamond"/>
                <w:b/>
                <w:color w:val="FEFCF7" w:themeColor="background2"/>
              </w:rPr>
              <w:t>Table 1: Sample diagno</w:t>
            </w:r>
            <w:r w:rsidR="00FD22AA">
              <w:rPr>
                <w:rFonts w:ascii="Garamond" w:hAnsi="Garamond" w:cs="Garamond"/>
                <w:b/>
                <w:color w:val="FEFCF7" w:themeColor="background2"/>
              </w:rPr>
              <w:t>stic doses and diagnostic times for technical grade insecticides.</w:t>
            </w:r>
          </w:p>
        </w:tc>
      </w:tr>
      <w:tr w:rsidR="00B54B5B" w:rsidTr="001B1218">
        <w:trPr>
          <w:trHeight w:val="329"/>
        </w:trPr>
        <w:tc>
          <w:tcPr>
            <w:tcW w:w="1486" w:type="dxa"/>
            <w:vMerge w:val="restart"/>
            <w:shd w:val="clear" w:color="auto" w:fill="AECAC8" w:themeFill="accent2" w:themeFillTint="99"/>
            <w:vAlign w:val="center"/>
          </w:tcPr>
          <w:p w:rsidR="00B54B5B" w:rsidRPr="00CD3106" w:rsidRDefault="00B54B5B" w:rsidP="0062024C">
            <w:pPr>
              <w:pStyle w:val="Default"/>
              <w:rPr>
                <w:rFonts w:ascii="Garamond" w:hAnsi="Garamond" w:cs="Garamond"/>
                <w:b/>
              </w:rPr>
            </w:pPr>
            <w:r w:rsidRPr="00CD3106">
              <w:rPr>
                <w:rFonts w:ascii="Garamond" w:hAnsi="Garamond" w:cs="Garamond"/>
                <w:b/>
              </w:rPr>
              <w:t>Insecticide</w:t>
            </w:r>
          </w:p>
        </w:tc>
        <w:tc>
          <w:tcPr>
            <w:tcW w:w="1645" w:type="dxa"/>
            <w:vMerge w:val="restart"/>
            <w:shd w:val="clear" w:color="auto" w:fill="AECAC8" w:themeFill="accent2" w:themeFillTint="99"/>
            <w:vAlign w:val="center"/>
          </w:tcPr>
          <w:p w:rsidR="00B54B5B" w:rsidRPr="00CD3106" w:rsidRDefault="00B54B5B" w:rsidP="0062024C">
            <w:pPr>
              <w:pStyle w:val="Default"/>
              <w:jc w:val="center"/>
              <w:rPr>
                <w:rFonts w:ascii="Garamond" w:hAnsi="Garamond" w:cs="Garamond"/>
                <w:b/>
              </w:rPr>
            </w:pPr>
            <w:r w:rsidRPr="00CD3106">
              <w:rPr>
                <w:rFonts w:ascii="Garamond" w:hAnsi="Garamond" w:cs="Garamond"/>
                <w:b/>
              </w:rPr>
              <w:t>Insecticide concentration (µg/bottle)</w:t>
            </w:r>
          </w:p>
        </w:tc>
        <w:tc>
          <w:tcPr>
            <w:tcW w:w="7118" w:type="dxa"/>
            <w:gridSpan w:val="6"/>
            <w:shd w:val="clear" w:color="auto" w:fill="AECAC8" w:themeFill="accent2" w:themeFillTint="99"/>
            <w:vAlign w:val="center"/>
          </w:tcPr>
          <w:p w:rsidR="00B54B5B" w:rsidRPr="00CD3106" w:rsidRDefault="00B54B5B" w:rsidP="0062024C">
            <w:pPr>
              <w:pStyle w:val="Default"/>
              <w:jc w:val="center"/>
              <w:rPr>
                <w:rFonts w:ascii="Garamond" w:hAnsi="Garamond" w:cs="Garamond"/>
                <w:b/>
              </w:rPr>
            </w:pPr>
            <w:r w:rsidRPr="00CD3106">
              <w:rPr>
                <w:rFonts w:ascii="Garamond" w:hAnsi="Garamond" w:cs="Garamond"/>
                <w:b/>
              </w:rPr>
              <w:t>Diagnostic time per species (minutes)</w:t>
            </w:r>
          </w:p>
        </w:tc>
      </w:tr>
      <w:tr w:rsidR="0062024C" w:rsidTr="001B1218">
        <w:trPr>
          <w:trHeight w:val="716"/>
        </w:trPr>
        <w:tc>
          <w:tcPr>
            <w:tcW w:w="1486" w:type="dxa"/>
            <w:vMerge/>
            <w:shd w:val="clear" w:color="auto" w:fill="AECAC8" w:themeFill="accent2" w:themeFillTint="99"/>
            <w:vAlign w:val="center"/>
          </w:tcPr>
          <w:p w:rsidR="00B54B5B" w:rsidRDefault="00B54B5B" w:rsidP="0062024C">
            <w:pPr>
              <w:pStyle w:val="Default"/>
              <w:rPr>
                <w:rFonts w:ascii="Garamond" w:hAnsi="Garamond" w:cs="Garamond"/>
              </w:rPr>
            </w:pPr>
          </w:p>
        </w:tc>
        <w:tc>
          <w:tcPr>
            <w:tcW w:w="1645" w:type="dxa"/>
            <w:vMerge/>
            <w:shd w:val="clear" w:color="auto" w:fill="AECAC8" w:themeFill="accent2" w:themeFillTint="99"/>
            <w:vAlign w:val="center"/>
          </w:tcPr>
          <w:p w:rsidR="00B54B5B" w:rsidRDefault="00B54B5B" w:rsidP="0062024C">
            <w:pPr>
              <w:pStyle w:val="Default"/>
              <w:jc w:val="center"/>
              <w:rPr>
                <w:rFonts w:ascii="Garamond" w:hAnsi="Garamond" w:cs="Garamond"/>
              </w:rPr>
            </w:pPr>
          </w:p>
        </w:tc>
        <w:tc>
          <w:tcPr>
            <w:tcW w:w="1091" w:type="dxa"/>
            <w:shd w:val="clear" w:color="auto" w:fill="F0D187" w:themeFill="background2" w:themeFillShade="BF"/>
            <w:vAlign w:val="center"/>
          </w:tcPr>
          <w:p w:rsidR="00B54B5B" w:rsidRPr="00B54B5B" w:rsidRDefault="00B54B5B" w:rsidP="0062024C">
            <w:pPr>
              <w:pStyle w:val="Default"/>
              <w:jc w:val="center"/>
              <w:rPr>
                <w:rFonts w:ascii="Garamond" w:hAnsi="Garamond" w:cs="Garamond"/>
                <w:i/>
              </w:rPr>
            </w:pPr>
            <w:r w:rsidRPr="00B54B5B">
              <w:rPr>
                <w:rFonts w:ascii="Garamond" w:hAnsi="Garamond" w:cs="Garamond"/>
                <w:i/>
              </w:rPr>
              <w:t>Ae. aegypti</w:t>
            </w:r>
          </w:p>
        </w:tc>
        <w:tc>
          <w:tcPr>
            <w:tcW w:w="1156" w:type="dxa"/>
            <w:shd w:val="clear" w:color="auto" w:fill="F0D187" w:themeFill="background2" w:themeFillShade="BF"/>
            <w:vAlign w:val="center"/>
          </w:tcPr>
          <w:p w:rsidR="00B54B5B" w:rsidRPr="00B54B5B" w:rsidRDefault="00B54B5B" w:rsidP="0062024C">
            <w:pPr>
              <w:pStyle w:val="Default"/>
              <w:jc w:val="center"/>
              <w:rPr>
                <w:rFonts w:ascii="Garamond" w:hAnsi="Garamond" w:cs="Garamond"/>
                <w:i/>
              </w:rPr>
            </w:pPr>
            <w:r w:rsidRPr="00B54B5B">
              <w:rPr>
                <w:rFonts w:ascii="Garamond" w:hAnsi="Garamond" w:cs="Garamond"/>
                <w:i/>
              </w:rPr>
              <w:t>Ae. albopictus</w:t>
            </w:r>
          </w:p>
        </w:tc>
        <w:tc>
          <w:tcPr>
            <w:tcW w:w="1123" w:type="dxa"/>
            <w:shd w:val="clear" w:color="auto" w:fill="F0D187" w:themeFill="background2" w:themeFillShade="BF"/>
            <w:vAlign w:val="center"/>
          </w:tcPr>
          <w:p w:rsidR="00B54B5B" w:rsidRPr="00B54B5B" w:rsidRDefault="00B54B5B" w:rsidP="0062024C">
            <w:pPr>
              <w:pStyle w:val="Default"/>
              <w:jc w:val="center"/>
              <w:rPr>
                <w:rFonts w:ascii="Garamond" w:hAnsi="Garamond" w:cs="Garamond"/>
                <w:i/>
              </w:rPr>
            </w:pPr>
            <w:r w:rsidRPr="00B54B5B">
              <w:rPr>
                <w:rFonts w:ascii="Garamond" w:hAnsi="Garamond" w:cs="Garamond"/>
                <w:i/>
              </w:rPr>
              <w:t>Cx. molestus</w:t>
            </w:r>
          </w:p>
        </w:tc>
        <w:tc>
          <w:tcPr>
            <w:tcW w:w="1094" w:type="dxa"/>
            <w:shd w:val="clear" w:color="auto" w:fill="F0D187" w:themeFill="background2" w:themeFillShade="BF"/>
            <w:vAlign w:val="center"/>
          </w:tcPr>
          <w:p w:rsidR="00B54B5B" w:rsidRPr="00B54B5B" w:rsidRDefault="00B54B5B" w:rsidP="0062024C">
            <w:pPr>
              <w:pStyle w:val="Default"/>
              <w:jc w:val="center"/>
              <w:rPr>
                <w:rFonts w:ascii="Garamond" w:hAnsi="Garamond" w:cs="Garamond"/>
                <w:i/>
              </w:rPr>
            </w:pPr>
            <w:r w:rsidRPr="00B54B5B">
              <w:rPr>
                <w:rFonts w:ascii="Garamond" w:hAnsi="Garamond" w:cs="Garamond"/>
                <w:i/>
              </w:rPr>
              <w:t>Cx. pipiens</w:t>
            </w:r>
          </w:p>
        </w:tc>
        <w:tc>
          <w:tcPr>
            <w:tcW w:w="1551" w:type="dxa"/>
            <w:shd w:val="clear" w:color="auto" w:fill="F0D187" w:themeFill="background2" w:themeFillShade="BF"/>
            <w:vAlign w:val="center"/>
          </w:tcPr>
          <w:p w:rsidR="00B54B5B" w:rsidRPr="00B54B5B" w:rsidRDefault="00B54B5B" w:rsidP="0062024C">
            <w:pPr>
              <w:pStyle w:val="Default"/>
              <w:jc w:val="center"/>
              <w:rPr>
                <w:rFonts w:ascii="Garamond" w:hAnsi="Garamond" w:cs="Garamond"/>
                <w:i/>
              </w:rPr>
            </w:pPr>
            <w:r w:rsidRPr="00B54B5B">
              <w:rPr>
                <w:rFonts w:ascii="Garamond" w:hAnsi="Garamond" w:cs="Garamond"/>
                <w:i/>
              </w:rPr>
              <w:t>Cx. quinquefasciatus</w:t>
            </w:r>
          </w:p>
        </w:tc>
        <w:tc>
          <w:tcPr>
            <w:tcW w:w="1103" w:type="dxa"/>
            <w:shd w:val="clear" w:color="auto" w:fill="F0D187" w:themeFill="background2" w:themeFillShade="BF"/>
            <w:vAlign w:val="center"/>
          </w:tcPr>
          <w:p w:rsidR="00B54B5B" w:rsidRPr="00B54B5B" w:rsidRDefault="00B54B5B" w:rsidP="0062024C">
            <w:pPr>
              <w:pStyle w:val="Default"/>
              <w:jc w:val="center"/>
              <w:rPr>
                <w:rFonts w:ascii="Garamond" w:hAnsi="Garamond" w:cs="Garamond"/>
                <w:i/>
              </w:rPr>
            </w:pPr>
            <w:r w:rsidRPr="00B54B5B">
              <w:rPr>
                <w:rFonts w:ascii="Garamond" w:hAnsi="Garamond" w:cs="Garamond"/>
                <w:i/>
              </w:rPr>
              <w:t>Cx. tarsalis</w:t>
            </w:r>
          </w:p>
        </w:tc>
      </w:tr>
      <w:tr w:rsidR="0062024C" w:rsidTr="001B1218">
        <w:trPr>
          <w:trHeight w:val="348"/>
        </w:trPr>
        <w:tc>
          <w:tcPr>
            <w:tcW w:w="1486" w:type="dxa"/>
            <w:vAlign w:val="center"/>
          </w:tcPr>
          <w:p w:rsidR="00541604" w:rsidRDefault="00B54B5B" w:rsidP="0062024C">
            <w:pPr>
              <w:pStyle w:val="Default"/>
              <w:rPr>
                <w:rFonts w:ascii="Garamond" w:hAnsi="Garamond" w:cs="Garamond"/>
              </w:rPr>
            </w:pPr>
            <w:r>
              <w:rPr>
                <w:rFonts w:ascii="Garamond" w:hAnsi="Garamond" w:cs="Garamond"/>
              </w:rPr>
              <w:t>Chlorpyrifos</w:t>
            </w:r>
          </w:p>
        </w:tc>
        <w:tc>
          <w:tcPr>
            <w:tcW w:w="1645" w:type="dxa"/>
            <w:vAlign w:val="center"/>
          </w:tcPr>
          <w:p w:rsidR="00B54B5B" w:rsidRDefault="00B54B5B" w:rsidP="0062024C">
            <w:pPr>
              <w:pStyle w:val="Default"/>
              <w:jc w:val="center"/>
              <w:rPr>
                <w:rFonts w:ascii="Garamond" w:hAnsi="Garamond" w:cs="Garamond"/>
              </w:rPr>
            </w:pPr>
            <w:r>
              <w:rPr>
                <w:rFonts w:ascii="Garamond" w:hAnsi="Garamond" w:cs="Garamond"/>
              </w:rPr>
              <w:t>20</w:t>
            </w:r>
          </w:p>
        </w:tc>
        <w:tc>
          <w:tcPr>
            <w:tcW w:w="1091" w:type="dxa"/>
            <w:vAlign w:val="center"/>
          </w:tcPr>
          <w:p w:rsidR="00541604" w:rsidRDefault="00B54B5B" w:rsidP="0062024C">
            <w:pPr>
              <w:pStyle w:val="Default"/>
              <w:jc w:val="center"/>
              <w:rPr>
                <w:rFonts w:ascii="Garamond" w:hAnsi="Garamond" w:cs="Garamond"/>
              </w:rPr>
            </w:pPr>
            <w:r>
              <w:rPr>
                <w:rFonts w:ascii="Garamond" w:hAnsi="Garamond" w:cs="Garamond"/>
              </w:rPr>
              <w:t>45</w:t>
            </w:r>
          </w:p>
        </w:tc>
        <w:tc>
          <w:tcPr>
            <w:tcW w:w="1156" w:type="dxa"/>
            <w:vAlign w:val="center"/>
          </w:tcPr>
          <w:p w:rsidR="00541604" w:rsidRDefault="00B54B5B" w:rsidP="0062024C">
            <w:pPr>
              <w:pStyle w:val="Default"/>
              <w:jc w:val="center"/>
              <w:rPr>
                <w:rFonts w:ascii="Garamond" w:hAnsi="Garamond" w:cs="Garamond"/>
              </w:rPr>
            </w:pPr>
            <w:r>
              <w:rPr>
                <w:rFonts w:ascii="Garamond" w:hAnsi="Garamond" w:cs="Garamond"/>
              </w:rPr>
              <w:t>45</w:t>
            </w:r>
          </w:p>
        </w:tc>
        <w:tc>
          <w:tcPr>
            <w:tcW w:w="1123" w:type="dxa"/>
            <w:vAlign w:val="center"/>
          </w:tcPr>
          <w:p w:rsidR="00541604" w:rsidRDefault="00B54B5B" w:rsidP="0062024C">
            <w:pPr>
              <w:pStyle w:val="Default"/>
              <w:jc w:val="center"/>
              <w:rPr>
                <w:rFonts w:ascii="Garamond" w:hAnsi="Garamond" w:cs="Garamond"/>
              </w:rPr>
            </w:pPr>
            <w:r>
              <w:rPr>
                <w:rFonts w:ascii="Garamond" w:hAnsi="Garamond" w:cs="Garamond"/>
              </w:rPr>
              <w:t>45</w:t>
            </w:r>
          </w:p>
        </w:tc>
        <w:tc>
          <w:tcPr>
            <w:tcW w:w="1094" w:type="dxa"/>
            <w:vAlign w:val="center"/>
          </w:tcPr>
          <w:p w:rsidR="00541604" w:rsidRDefault="00B54B5B" w:rsidP="0062024C">
            <w:pPr>
              <w:pStyle w:val="Default"/>
              <w:jc w:val="center"/>
              <w:rPr>
                <w:rFonts w:ascii="Garamond" w:hAnsi="Garamond" w:cs="Garamond"/>
              </w:rPr>
            </w:pPr>
            <w:r>
              <w:rPr>
                <w:rFonts w:ascii="Garamond" w:hAnsi="Garamond" w:cs="Garamond"/>
              </w:rPr>
              <w:t>90</w:t>
            </w:r>
          </w:p>
        </w:tc>
        <w:tc>
          <w:tcPr>
            <w:tcW w:w="1551" w:type="dxa"/>
            <w:vAlign w:val="center"/>
          </w:tcPr>
          <w:p w:rsidR="00541604" w:rsidRDefault="00B54B5B" w:rsidP="0062024C">
            <w:pPr>
              <w:pStyle w:val="Default"/>
              <w:jc w:val="center"/>
              <w:rPr>
                <w:rFonts w:ascii="Garamond" w:hAnsi="Garamond" w:cs="Garamond"/>
              </w:rPr>
            </w:pPr>
            <w:r>
              <w:rPr>
                <w:rFonts w:ascii="Garamond" w:hAnsi="Garamond" w:cs="Garamond"/>
              </w:rPr>
              <w:t>45</w:t>
            </w:r>
          </w:p>
        </w:tc>
        <w:tc>
          <w:tcPr>
            <w:tcW w:w="1103" w:type="dxa"/>
            <w:vAlign w:val="center"/>
          </w:tcPr>
          <w:p w:rsidR="00541604" w:rsidRDefault="00B54B5B" w:rsidP="0062024C">
            <w:pPr>
              <w:pStyle w:val="Default"/>
              <w:jc w:val="center"/>
              <w:rPr>
                <w:rFonts w:ascii="Garamond" w:hAnsi="Garamond" w:cs="Garamond"/>
              </w:rPr>
            </w:pPr>
            <w:r>
              <w:rPr>
                <w:rFonts w:ascii="Garamond" w:hAnsi="Garamond" w:cs="Garamond"/>
              </w:rPr>
              <w:t>60</w:t>
            </w:r>
          </w:p>
        </w:tc>
      </w:tr>
      <w:tr w:rsidR="00CD3106" w:rsidTr="001B1218">
        <w:trPr>
          <w:trHeight w:val="329"/>
        </w:trPr>
        <w:tc>
          <w:tcPr>
            <w:tcW w:w="1486" w:type="dxa"/>
            <w:shd w:val="clear" w:color="auto" w:fill="DEDFE3" w:themeFill="accent1" w:themeFillTint="33"/>
            <w:vAlign w:val="center"/>
          </w:tcPr>
          <w:p w:rsidR="00541604" w:rsidRDefault="00B54B5B" w:rsidP="0062024C">
            <w:pPr>
              <w:pStyle w:val="Default"/>
              <w:rPr>
                <w:rFonts w:ascii="Garamond" w:hAnsi="Garamond" w:cs="Garamond"/>
              </w:rPr>
            </w:pPr>
            <w:r>
              <w:rPr>
                <w:rFonts w:ascii="Garamond" w:hAnsi="Garamond" w:cs="Garamond"/>
              </w:rPr>
              <w:t>Deltamethrin</w:t>
            </w:r>
          </w:p>
        </w:tc>
        <w:tc>
          <w:tcPr>
            <w:tcW w:w="1645"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0.75</w:t>
            </w:r>
          </w:p>
        </w:tc>
        <w:tc>
          <w:tcPr>
            <w:tcW w:w="1091"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30</w:t>
            </w:r>
          </w:p>
        </w:tc>
        <w:tc>
          <w:tcPr>
            <w:tcW w:w="1156"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30</w:t>
            </w:r>
          </w:p>
        </w:tc>
        <w:tc>
          <w:tcPr>
            <w:tcW w:w="1123"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w:t>
            </w:r>
          </w:p>
        </w:tc>
        <w:tc>
          <w:tcPr>
            <w:tcW w:w="1094"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45</w:t>
            </w:r>
          </w:p>
        </w:tc>
        <w:tc>
          <w:tcPr>
            <w:tcW w:w="1551"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60</w:t>
            </w:r>
          </w:p>
        </w:tc>
        <w:tc>
          <w:tcPr>
            <w:tcW w:w="1103"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w:t>
            </w:r>
          </w:p>
        </w:tc>
      </w:tr>
      <w:tr w:rsidR="0062024C" w:rsidTr="001B1218">
        <w:trPr>
          <w:trHeight w:val="348"/>
        </w:trPr>
        <w:tc>
          <w:tcPr>
            <w:tcW w:w="1486" w:type="dxa"/>
            <w:vAlign w:val="center"/>
          </w:tcPr>
          <w:p w:rsidR="00541604" w:rsidRDefault="00B54B5B" w:rsidP="0062024C">
            <w:pPr>
              <w:pStyle w:val="Default"/>
              <w:rPr>
                <w:rFonts w:ascii="Garamond" w:hAnsi="Garamond" w:cs="Garamond"/>
              </w:rPr>
            </w:pPr>
            <w:r>
              <w:rPr>
                <w:rFonts w:ascii="Garamond" w:hAnsi="Garamond" w:cs="Garamond"/>
              </w:rPr>
              <w:t>Etofenprox</w:t>
            </w:r>
          </w:p>
        </w:tc>
        <w:tc>
          <w:tcPr>
            <w:tcW w:w="1645" w:type="dxa"/>
            <w:vAlign w:val="center"/>
          </w:tcPr>
          <w:p w:rsidR="00541604" w:rsidRDefault="00B54B5B" w:rsidP="0062024C">
            <w:pPr>
              <w:pStyle w:val="Default"/>
              <w:jc w:val="center"/>
              <w:rPr>
                <w:rFonts w:ascii="Garamond" w:hAnsi="Garamond" w:cs="Garamond"/>
              </w:rPr>
            </w:pPr>
            <w:r>
              <w:rPr>
                <w:rFonts w:ascii="Garamond" w:hAnsi="Garamond" w:cs="Garamond"/>
              </w:rPr>
              <w:t>12.5</w:t>
            </w:r>
          </w:p>
        </w:tc>
        <w:tc>
          <w:tcPr>
            <w:tcW w:w="1091" w:type="dxa"/>
            <w:vAlign w:val="center"/>
          </w:tcPr>
          <w:p w:rsidR="00541604" w:rsidRDefault="00B54B5B" w:rsidP="0062024C">
            <w:pPr>
              <w:pStyle w:val="Default"/>
              <w:jc w:val="center"/>
              <w:rPr>
                <w:rFonts w:ascii="Garamond" w:hAnsi="Garamond" w:cs="Garamond"/>
              </w:rPr>
            </w:pPr>
            <w:r>
              <w:rPr>
                <w:rFonts w:ascii="Garamond" w:hAnsi="Garamond" w:cs="Garamond"/>
              </w:rPr>
              <w:t>15</w:t>
            </w:r>
          </w:p>
        </w:tc>
        <w:tc>
          <w:tcPr>
            <w:tcW w:w="1156" w:type="dxa"/>
            <w:vAlign w:val="center"/>
          </w:tcPr>
          <w:p w:rsidR="00541604" w:rsidRDefault="00B54B5B" w:rsidP="0062024C">
            <w:pPr>
              <w:pStyle w:val="Default"/>
              <w:jc w:val="center"/>
              <w:rPr>
                <w:rFonts w:ascii="Garamond" w:hAnsi="Garamond" w:cs="Garamond"/>
              </w:rPr>
            </w:pPr>
            <w:r>
              <w:rPr>
                <w:rFonts w:ascii="Garamond" w:hAnsi="Garamond" w:cs="Garamond"/>
              </w:rPr>
              <w:t>30</w:t>
            </w:r>
          </w:p>
        </w:tc>
        <w:tc>
          <w:tcPr>
            <w:tcW w:w="1123" w:type="dxa"/>
            <w:vAlign w:val="center"/>
          </w:tcPr>
          <w:p w:rsidR="00541604" w:rsidRDefault="00B54B5B" w:rsidP="0062024C">
            <w:pPr>
              <w:pStyle w:val="Default"/>
              <w:jc w:val="center"/>
              <w:rPr>
                <w:rFonts w:ascii="Garamond" w:hAnsi="Garamond" w:cs="Garamond"/>
              </w:rPr>
            </w:pPr>
            <w:r>
              <w:rPr>
                <w:rFonts w:ascii="Garamond" w:hAnsi="Garamond" w:cs="Garamond"/>
              </w:rPr>
              <w:t>105</w:t>
            </w:r>
          </w:p>
        </w:tc>
        <w:tc>
          <w:tcPr>
            <w:tcW w:w="1094" w:type="dxa"/>
            <w:vAlign w:val="center"/>
          </w:tcPr>
          <w:p w:rsidR="00541604" w:rsidRDefault="00B54B5B" w:rsidP="0062024C">
            <w:pPr>
              <w:pStyle w:val="Default"/>
              <w:jc w:val="center"/>
              <w:rPr>
                <w:rFonts w:ascii="Garamond" w:hAnsi="Garamond" w:cs="Garamond"/>
              </w:rPr>
            </w:pPr>
            <w:r>
              <w:rPr>
                <w:rFonts w:ascii="Garamond" w:hAnsi="Garamond" w:cs="Garamond"/>
              </w:rPr>
              <w:t>15</w:t>
            </w:r>
          </w:p>
        </w:tc>
        <w:tc>
          <w:tcPr>
            <w:tcW w:w="1551" w:type="dxa"/>
            <w:vAlign w:val="center"/>
          </w:tcPr>
          <w:p w:rsidR="00541604" w:rsidRDefault="00B54B5B" w:rsidP="0062024C">
            <w:pPr>
              <w:pStyle w:val="Default"/>
              <w:jc w:val="center"/>
              <w:rPr>
                <w:rFonts w:ascii="Garamond" w:hAnsi="Garamond" w:cs="Garamond"/>
              </w:rPr>
            </w:pPr>
            <w:r>
              <w:rPr>
                <w:rFonts w:ascii="Garamond" w:hAnsi="Garamond" w:cs="Garamond"/>
              </w:rPr>
              <w:t>30</w:t>
            </w:r>
          </w:p>
        </w:tc>
        <w:tc>
          <w:tcPr>
            <w:tcW w:w="1103" w:type="dxa"/>
            <w:vAlign w:val="center"/>
          </w:tcPr>
          <w:p w:rsidR="00541604" w:rsidRDefault="00B54B5B" w:rsidP="0062024C">
            <w:pPr>
              <w:pStyle w:val="Default"/>
              <w:jc w:val="center"/>
              <w:rPr>
                <w:rFonts w:ascii="Garamond" w:hAnsi="Garamond" w:cs="Garamond"/>
              </w:rPr>
            </w:pPr>
            <w:r>
              <w:rPr>
                <w:rFonts w:ascii="Garamond" w:hAnsi="Garamond" w:cs="Garamond"/>
              </w:rPr>
              <w:t>60</w:t>
            </w:r>
          </w:p>
        </w:tc>
      </w:tr>
      <w:tr w:rsidR="00CD3106" w:rsidTr="001B1218">
        <w:trPr>
          <w:trHeight w:val="348"/>
        </w:trPr>
        <w:tc>
          <w:tcPr>
            <w:tcW w:w="1486" w:type="dxa"/>
            <w:shd w:val="clear" w:color="auto" w:fill="DEDFE3" w:themeFill="accent1" w:themeFillTint="33"/>
            <w:vAlign w:val="center"/>
          </w:tcPr>
          <w:p w:rsidR="00541604" w:rsidRDefault="00B54B5B" w:rsidP="0062024C">
            <w:pPr>
              <w:pStyle w:val="Default"/>
              <w:rPr>
                <w:rFonts w:ascii="Garamond" w:hAnsi="Garamond" w:cs="Garamond"/>
              </w:rPr>
            </w:pPr>
            <w:r>
              <w:rPr>
                <w:rFonts w:ascii="Garamond" w:hAnsi="Garamond" w:cs="Garamond"/>
              </w:rPr>
              <w:t>Fenthion</w:t>
            </w:r>
          </w:p>
        </w:tc>
        <w:tc>
          <w:tcPr>
            <w:tcW w:w="1645"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800</w:t>
            </w:r>
          </w:p>
        </w:tc>
        <w:tc>
          <w:tcPr>
            <w:tcW w:w="1091"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w:t>
            </w:r>
          </w:p>
        </w:tc>
        <w:tc>
          <w:tcPr>
            <w:tcW w:w="1156"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w:t>
            </w:r>
          </w:p>
        </w:tc>
        <w:tc>
          <w:tcPr>
            <w:tcW w:w="1123"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30</w:t>
            </w:r>
          </w:p>
        </w:tc>
        <w:tc>
          <w:tcPr>
            <w:tcW w:w="1094"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75</w:t>
            </w:r>
          </w:p>
        </w:tc>
        <w:tc>
          <w:tcPr>
            <w:tcW w:w="1551"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45</w:t>
            </w:r>
          </w:p>
        </w:tc>
        <w:tc>
          <w:tcPr>
            <w:tcW w:w="1103" w:type="dxa"/>
            <w:shd w:val="clear" w:color="auto" w:fill="DEDFE3" w:themeFill="accent1" w:themeFillTint="33"/>
            <w:vAlign w:val="center"/>
          </w:tcPr>
          <w:p w:rsidR="00541604" w:rsidRDefault="00B54B5B" w:rsidP="0062024C">
            <w:pPr>
              <w:pStyle w:val="Default"/>
              <w:jc w:val="center"/>
              <w:rPr>
                <w:rFonts w:ascii="Garamond" w:hAnsi="Garamond" w:cs="Garamond"/>
              </w:rPr>
            </w:pPr>
            <w:r>
              <w:rPr>
                <w:rFonts w:ascii="Garamond" w:hAnsi="Garamond" w:cs="Garamond"/>
              </w:rPr>
              <w:t>45</w:t>
            </w:r>
          </w:p>
        </w:tc>
      </w:tr>
      <w:tr w:rsidR="0062024C" w:rsidTr="001B1218">
        <w:trPr>
          <w:trHeight w:val="329"/>
        </w:trPr>
        <w:tc>
          <w:tcPr>
            <w:tcW w:w="1486" w:type="dxa"/>
            <w:vAlign w:val="center"/>
          </w:tcPr>
          <w:p w:rsidR="00B54B5B" w:rsidRDefault="00B54B5B" w:rsidP="0062024C">
            <w:pPr>
              <w:pStyle w:val="Default"/>
              <w:rPr>
                <w:rFonts w:ascii="Garamond" w:hAnsi="Garamond" w:cs="Garamond"/>
              </w:rPr>
            </w:pPr>
            <w:r>
              <w:rPr>
                <w:rFonts w:ascii="Garamond" w:hAnsi="Garamond" w:cs="Garamond"/>
              </w:rPr>
              <w:t>Malathion</w:t>
            </w:r>
          </w:p>
        </w:tc>
        <w:tc>
          <w:tcPr>
            <w:tcW w:w="1645" w:type="dxa"/>
            <w:vAlign w:val="center"/>
          </w:tcPr>
          <w:p w:rsidR="00B54B5B" w:rsidRDefault="00B54B5B" w:rsidP="0062024C">
            <w:pPr>
              <w:pStyle w:val="Default"/>
              <w:jc w:val="center"/>
              <w:rPr>
                <w:rFonts w:ascii="Garamond" w:hAnsi="Garamond" w:cs="Garamond"/>
              </w:rPr>
            </w:pPr>
            <w:r>
              <w:rPr>
                <w:rFonts w:ascii="Garamond" w:hAnsi="Garamond" w:cs="Garamond"/>
              </w:rPr>
              <w:t>400</w:t>
            </w:r>
          </w:p>
        </w:tc>
        <w:tc>
          <w:tcPr>
            <w:tcW w:w="1091" w:type="dxa"/>
            <w:vAlign w:val="center"/>
          </w:tcPr>
          <w:p w:rsidR="00B54B5B" w:rsidRDefault="00B54B5B" w:rsidP="0062024C">
            <w:pPr>
              <w:pStyle w:val="Default"/>
              <w:jc w:val="center"/>
              <w:rPr>
                <w:rFonts w:ascii="Garamond" w:hAnsi="Garamond" w:cs="Garamond"/>
              </w:rPr>
            </w:pPr>
            <w:r>
              <w:rPr>
                <w:rFonts w:ascii="Garamond" w:hAnsi="Garamond" w:cs="Garamond"/>
              </w:rPr>
              <w:t>15</w:t>
            </w:r>
          </w:p>
        </w:tc>
        <w:tc>
          <w:tcPr>
            <w:tcW w:w="1156" w:type="dxa"/>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123" w:type="dxa"/>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094" w:type="dxa"/>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551" w:type="dxa"/>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103" w:type="dxa"/>
            <w:vAlign w:val="center"/>
          </w:tcPr>
          <w:p w:rsidR="00B54B5B" w:rsidRDefault="00B54B5B" w:rsidP="0062024C">
            <w:pPr>
              <w:pStyle w:val="Default"/>
              <w:jc w:val="center"/>
              <w:rPr>
                <w:rFonts w:ascii="Garamond" w:hAnsi="Garamond" w:cs="Garamond"/>
              </w:rPr>
            </w:pPr>
            <w:r>
              <w:rPr>
                <w:rFonts w:ascii="Garamond" w:hAnsi="Garamond" w:cs="Garamond"/>
              </w:rPr>
              <w:t>45</w:t>
            </w:r>
          </w:p>
        </w:tc>
      </w:tr>
      <w:tr w:rsidR="00CD3106" w:rsidTr="001B1218">
        <w:trPr>
          <w:trHeight w:val="348"/>
        </w:trPr>
        <w:tc>
          <w:tcPr>
            <w:tcW w:w="1486" w:type="dxa"/>
            <w:shd w:val="clear" w:color="auto" w:fill="DEDFE3" w:themeFill="accent1" w:themeFillTint="33"/>
            <w:vAlign w:val="center"/>
          </w:tcPr>
          <w:p w:rsidR="00B54B5B" w:rsidRDefault="00B54B5B" w:rsidP="0062024C">
            <w:pPr>
              <w:pStyle w:val="Default"/>
              <w:rPr>
                <w:rFonts w:ascii="Garamond" w:hAnsi="Garamond" w:cs="Garamond"/>
              </w:rPr>
            </w:pPr>
            <w:r>
              <w:rPr>
                <w:rFonts w:ascii="Garamond" w:hAnsi="Garamond" w:cs="Garamond"/>
              </w:rPr>
              <w:t>Naled</w:t>
            </w:r>
          </w:p>
        </w:tc>
        <w:tc>
          <w:tcPr>
            <w:tcW w:w="1645"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2.25</w:t>
            </w:r>
          </w:p>
        </w:tc>
        <w:tc>
          <w:tcPr>
            <w:tcW w:w="1091"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156"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123"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094"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551"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103"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45</w:t>
            </w:r>
          </w:p>
        </w:tc>
      </w:tr>
      <w:tr w:rsidR="0062024C" w:rsidTr="001B1218">
        <w:trPr>
          <w:trHeight w:val="348"/>
        </w:trPr>
        <w:tc>
          <w:tcPr>
            <w:tcW w:w="1486" w:type="dxa"/>
            <w:vAlign w:val="center"/>
          </w:tcPr>
          <w:p w:rsidR="00B54B5B" w:rsidRDefault="00B54B5B" w:rsidP="0062024C">
            <w:pPr>
              <w:pStyle w:val="Default"/>
              <w:rPr>
                <w:rFonts w:ascii="Garamond" w:hAnsi="Garamond" w:cs="Garamond"/>
              </w:rPr>
            </w:pPr>
            <w:r>
              <w:rPr>
                <w:rFonts w:ascii="Garamond" w:hAnsi="Garamond" w:cs="Garamond"/>
              </w:rPr>
              <w:t>Permethrin</w:t>
            </w:r>
          </w:p>
        </w:tc>
        <w:tc>
          <w:tcPr>
            <w:tcW w:w="1645" w:type="dxa"/>
            <w:vAlign w:val="center"/>
          </w:tcPr>
          <w:p w:rsidR="00B54B5B" w:rsidRDefault="00B54B5B" w:rsidP="0062024C">
            <w:pPr>
              <w:pStyle w:val="Default"/>
              <w:jc w:val="center"/>
              <w:rPr>
                <w:rFonts w:ascii="Garamond" w:hAnsi="Garamond" w:cs="Garamond"/>
              </w:rPr>
            </w:pPr>
            <w:r>
              <w:rPr>
                <w:rFonts w:ascii="Garamond" w:hAnsi="Garamond" w:cs="Garamond"/>
              </w:rPr>
              <w:t>43</w:t>
            </w:r>
          </w:p>
        </w:tc>
        <w:tc>
          <w:tcPr>
            <w:tcW w:w="1091" w:type="dxa"/>
            <w:vAlign w:val="center"/>
          </w:tcPr>
          <w:p w:rsidR="00B54B5B" w:rsidRDefault="00B54B5B" w:rsidP="0062024C">
            <w:pPr>
              <w:pStyle w:val="Default"/>
              <w:jc w:val="center"/>
              <w:rPr>
                <w:rFonts w:ascii="Garamond" w:hAnsi="Garamond" w:cs="Garamond"/>
              </w:rPr>
            </w:pPr>
            <w:r>
              <w:rPr>
                <w:rFonts w:ascii="Garamond" w:hAnsi="Garamond" w:cs="Garamond"/>
              </w:rPr>
              <w:t>10</w:t>
            </w:r>
          </w:p>
        </w:tc>
        <w:tc>
          <w:tcPr>
            <w:tcW w:w="1156" w:type="dxa"/>
            <w:vAlign w:val="center"/>
          </w:tcPr>
          <w:p w:rsidR="00B54B5B" w:rsidRDefault="00B54B5B" w:rsidP="0062024C">
            <w:pPr>
              <w:pStyle w:val="Default"/>
              <w:jc w:val="center"/>
              <w:rPr>
                <w:rFonts w:ascii="Garamond" w:hAnsi="Garamond" w:cs="Garamond"/>
              </w:rPr>
            </w:pPr>
            <w:r>
              <w:rPr>
                <w:rFonts w:ascii="Garamond" w:hAnsi="Garamond" w:cs="Garamond"/>
              </w:rPr>
              <w:t>10</w:t>
            </w:r>
          </w:p>
        </w:tc>
        <w:tc>
          <w:tcPr>
            <w:tcW w:w="1123" w:type="dxa"/>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094" w:type="dxa"/>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551" w:type="dxa"/>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103" w:type="dxa"/>
            <w:vAlign w:val="center"/>
          </w:tcPr>
          <w:p w:rsidR="00B54B5B" w:rsidRDefault="00B54B5B" w:rsidP="0062024C">
            <w:pPr>
              <w:pStyle w:val="Default"/>
              <w:jc w:val="center"/>
              <w:rPr>
                <w:rFonts w:ascii="Garamond" w:hAnsi="Garamond" w:cs="Garamond"/>
              </w:rPr>
            </w:pPr>
            <w:r>
              <w:rPr>
                <w:rFonts w:ascii="Garamond" w:hAnsi="Garamond" w:cs="Garamond"/>
              </w:rPr>
              <w:t>30</w:t>
            </w:r>
          </w:p>
        </w:tc>
      </w:tr>
      <w:tr w:rsidR="00CD3106" w:rsidTr="001B1218">
        <w:trPr>
          <w:trHeight w:val="329"/>
        </w:trPr>
        <w:tc>
          <w:tcPr>
            <w:tcW w:w="1486" w:type="dxa"/>
            <w:shd w:val="clear" w:color="auto" w:fill="DEDFE3" w:themeFill="accent1" w:themeFillTint="33"/>
            <w:vAlign w:val="center"/>
          </w:tcPr>
          <w:p w:rsidR="00B54B5B" w:rsidRDefault="00B54B5B" w:rsidP="0062024C">
            <w:pPr>
              <w:pStyle w:val="Default"/>
              <w:rPr>
                <w:rFonts w:ascii="Garamond" w:hAnsi="Garamond" w:cs="Garamond"/>
              </w:rPr>
            </w:pPr>
            <w:r>
              <w:rPr>
                <w:rFonts w:ascii="Garamond" w:hAnsi="Garamond" w:cs="Garamond"/>
              </w:rPr>
              <w:t>Prallethrin</w:t>
            </w:r>
          </w:p>
        </w:tc>
        <w:tc>
          <w:tcPr>
            <w:tcW w:w="1645"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0.05</w:t>
            </w:r>
          </w:p>
        </w:tc>
        <w:tc>
          <w:tcPr>
            <w:tcW w:w="1091"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w:t>
            </w:r>
          </w:p>
        </w:tc>
        <w:tc>
          <w:tcPr>
            <w:tcW w:w="1156"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w:t>
            </w:r>
          </w:p>
        </w:tc>
        <w:tc>
          <w:tcPr>
            <w:tcW w:w="1123"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w:t>
            </w:r>
          </w:p>
        </w:tc>
        <w:tc>
          <w:tcPr>
            <w:tcW w:w="1094"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60</w:t>
            </w:r>
          </w:p>
        </w:tc>
        <w:tc>
          <w:tcPr>
            <w:tcW w:w="1551"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60</w:t>
            </w:r>
          </w:p>
        </w:tc>
        <w:tc>
          <w:tcPr>
            <w:tcW w:w="1103"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w:t>
            </w:r>
          </w:p>
        </w:tc>
      </w:tr>
      <w:tr w:rsidR="0062024C" w:rsidTr="001B1218">
        <w:trPr>
          <w:trHeight w:val="348"/>
        </w:trPr>
        <w:tc>
          <w:tcPr>
            <w:tcW w:w="1486" w:type="dxa"/>
            <w:vAlign w:val="center"/>
          </w:tcPr>
          <w:p w:rsidR="00B54B5B" w:rsidRDefault="00B54B5B" w:rsidP="0062024C">
            <w:pPr>
              <w:pStyle w:val="Default"/>
              <w:rPr>
                <w:rFonts w:ascii="Garamond" w:hAnsi="Garamond" w:cs="Garamond"/>
              </w:rPr>
            </w:pPr>
            <w:r>
              <w:rPr>
                <w:rFonts w:ascii="Garamond" w:hAnsi="Garamond" w:cs="Garamond"/>
              </w:rPr>
              <w:t>Pyrethrum</w:t>
            </w:r>
          </w:p>
        </w:tc>
        <w:tc>
          <w:tcPr>
            <w:tcW w:w="1645" w:type="dxa"/>
            <w:vAlign w:val="center"/>
          </w:tcPr>
          <w:p w:rsidR="00B54B5B" w:rsidRDefault="00B54B5B" w:rsidP="0062024C">
            <w:pPr>
              <w:pStyle w:val="Default"/>
              <w:jc w:val="center"/>
              <w:rPr>
                <w:rFonts w:ascii="Garamond" w:hAnsi="Garamond" w:cs="Garamond"/>
              </w:rPr>
            </w:pPr>
            <w:r>
              <w:rPr>
                <w:rFonts w:ascii="Garamond" w:hAnsi="Garamond" w:cs="Garamond"/>
              </w:rPr>
              <w:t>15</w:t>
            </w:r>
          </w:p>
        </w:tc>
        <w:tc>
          <w:tcPr>
            <w:tcW w:w="1091" w:type="dxa"/>
            <w:vAlign w:val="center"/>
          </w:tcPr>
          <w:p w:rsidR="00B54B5B" w:rsidRDefault="00B54B5B" w:rsidP="0062024C">
            <w:pPr>
              <w:pStyle w:val="Default"/>
              <w:jc w:val="center"/>
              <w:rPr>
                <w:rFonts w:ascii="Garamond" w:hAnsi="Garamond" w:cs="Garamond"/>
              </w:rPr>
            </w:pPr>
            <w:r>
              <w:rPr>
                <w:rFonts w:ascii="Garamond" w:hAnsi="Garamond" w:cs="Garamond"/>
              </w:rPr>
              <w:t>15</w:t>
            </w:r>
          </w:p>
        </w:tc>
        <w:tc>
          <w:tcPr>
            <w:tcW w:w="1156" w:type="dxa"/>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123" w:type="dxa"/>
            <w:vAlign w:val="center"/>
          </w:tcPr>
          <w:p w:rsidR="00B54B5B" w:rsidRDefault="00B54B5B" w:rsidP="0062024C">
            <w:pPr>
              <w:pStyle w:val="Default"/>
              <w:jc w:val="center"/>
              <w:rPr>
                <w:rFonts w:ascii="Garamond" w:hAnsi="Garamond" w:cs="Garamond"/>
              </w:rPr>
            </w:pPr>
            <w:r>
              <w:rPr>
                <w:rFonts w:ascii="Garamond" w:hAnsi="Garamond" w:cs="Garamond"/>
              </w:rPr>
              <w:t>--</w:t>
            </w:r>
          </w:p>
        </w:tc>
        <w:tc>
          <w:tcPr>
            <w:tcW w:w="1094" w:type="dxa"/>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551" w:type="dxa"/>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103" w:type="dxa"/>
            <w:vAlign w:val="center"/>
          </w:tcPr>
          <w:p w:rsidR="00B54B5B" w:rsidRDefault="00B54B5B" w:rsidP="0062024C">
            <w:pPr>
              <w:pStyle w:val="Default"/>
              <w:jc w:val="center"/>
              <w:rPr>
                <w:rFonts w:ascii="Garamond" w:hAnsi="Garamond" w:cs="Garamond"/>
              </w:rPr>
            </w:pPr>
            <w:r>
              <w:rPr>
                <w:rFonts w:ascii="Garamond" w:hAnsi="Garamond" w:cs="Garamond"/>
              </w:rPr>
              <w:t>30</w:t>
            </w:r>
          </w:p>
        </w:tc>
      </w:tr>
      <w:tr w:rsidR="0062024C" w:rsidTr="001B1218">
        <w:trPr>
          <w:trHeight w:val="329"/>
        </w:trPr>
        <w:tc>
          <w:tcPr>
            <w:tcW w:w="1486" w:type="dxa"/>
            <w:shd w:val="clear" w:color="auto" w:fill="DEDFE3" w:themeFill="accent1" w:themeFillTint="33"/>
            <w:vAlign w:val="center"/>
          </w:tcPr>
          <w:p w:rsidR="00B54B5B" w:rsidRDefault="00B54B5B" w:rsidP="0062024C">
            <w:pPr>
              <w:pStyle w:val="Default"/>
              <w:rPr>
                <w:rFonts w:ascii="Garamond" w:hAnsi="Garamond" w:cs="Garamond"/>
              </w:rPr>
            </w:pPr>
            <w:r>
              <w:rPr>
                <w:rFonts w:ascii="Garamond" w:hAnsi="Garamond" w:cs="Garamond"/>
              </w:rPr>
              <w:t>Sumethrin</w:t>
            </w:r>
          </w:p>
        </w:tc>
        <w:tc>
          <w:tcPr>
            <w:tcW w:w="1645"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20</w:t>
            </w:r>
          </w:p>
        </w:tc>
        <w:tc>
          <w:tcPr>
            <w:tcW w:w="1091"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10</w:t>
            </w:r>
          </w:p>
        </w:tc>
        <w:tc>
          <w:tcPr>
            <w:tcW w:w="1156"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123"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120</w:t>
            </w:r>
          </w:p>
        </w:tc>
        <w:tc>
          <w:tcPr>
            <w:tcW w:w="1094"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30</w:t>
            </w:r>
          </w:p>
        </w:tc>
        <w:tc>
          <w:tcPr>
            <w:tcW w:w="1551"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45</w:t>
            </w:r>
          </w:p>
        </w:tc>
        <w:tc>
          <w:tcPr>
            <w:tcW w:w="1103" w:type="dxa"/>
            <w:shd w:val="clear" w:color="auto" w:fill="DEDFE3" w:themeFill="accent1" w:themeFillTint="33"/>
            <w:vAlign w:val="center"/>
          </w:tcPr>
          <w:p w:rsidR="00B54B5B" w:rsidRDefault="00B54B5B" w:rsidP="0062024C">
            <w:pPr>
              <w:pStyle w:val="Default"/>
              <w:jc w:val="center"/>
              <w:rPr>
                <w:rFonts w:ascii="Garamond" w:hAnsi="Garamond" w:cs="Garamond"/>
              </w:rPr>
            </w:pPr>
            <w:r>
              <w:rPr>
                <w:rFonts w:ascii="Garamond" w:hAnsi="Garamond" w:cs="Garamond"/>
              </w:rPr>
              <w:t>30</w:t>
            </w:r>
          </w:p>
        </w:tc>
      </w:tr>
    </w:tbl>
    <w:p w:rsidR="00F52ED8" w:rsidRDefault="00F52ED8" w:rsidP="00F52ED8">
      <w:pPr>
        <w:pStyle w:val="Pa9"/>
        <w:spacing w:before="300" w:after="60"/>
        <w:rPr>
          <w:rFonts w:ascii="Garamond" w:hAnsi="Garamond" w:cs="Garamond"/>
          <w:color w:val="000000"/>
        </w:rPr>
      </w:pPr>
    </w:p>
    <w:p w:rsidR="001B1218" w:rsidRDefault="001B1218" w:rsidP="001B1218">
      <w:pPr>
        <w:pStyle w:val="Default"/>
      </w:pPr>
    </w:p>
    <w:p w:rsidR="001B1218" w:rsidRDefault="001B1218" w:rsidP="001B1218">
      <w:pPr>
        <w:pStyle w:val="Default"/>
      </w:pPr>
    </w:p>
    <w:p w:rsidR="0058140F" w:rsidRPr="00FD22AA" w:rsidRDefault="0058140F" w:rsidP="00FD22AA">
      <w:pPr>
        <w:pStyle w:val="Default"/>
      </w:pPr>
    </w:p>
    <w:p w:rsidR="0058140F" w:rsidRDefault="0058140F" w:rsidP="0058140F">
      <w:pPr>
        <w:pStyle w:val="Pa9"/>
        <w:spacing w:line="240" w:lineRule="auto"/>
        <w:rPr>
          <w:b/>
          <w:bCs/>
          <w:color w:val="6C7C5F" w:themeColor="accent6" w:themeShade="BF"/>
          <w:sz w:val="23"/>
          <w:szCs w:val="23"/>
        </w:rPr>
      </w:pPr>
    </w:p>
    <w:p w:rsidR="00512C2B" w:rsidRPr="00512C2B" w:rsidRDefault="00512C2B" w:rsidP="00512C2B">
      <w:pPr>
        <w:pStyle w:val="Default"/>
      </w:pPr>
    </w:p>
    <w:p w:rsidR="00CD3106" w:rsidRPr="001B1218" w:rsidRDefault="00F52ED8" w:rsidP="0058140F">
      <w:pPr>
        <w:pStyle w:val="Pa9"/>
        <w:spacing w:line="240" w:lineRule="auto"/>
        <w:rPr>
          <w:b/>
          <w:bCs/>
          <w:color w:val="6C7C5F" w:themeColor="accent6" w:themeShade="BF"/>
        </w:rPr>
      </w:pPr>
      <w:r w:rsidRPr="001B1218">
        <w:rPr>
          <w:b/>
          <w:bCs/>
          <w:color w:val="6C7C5F" w:themeColor="accent6" w:themeShade="BF"/>
        </w:rPr>
        <w:t xml:space="preserve">3.2. Preparation of stock solutions </w:t>
      </w:r>
    </w:p>
    <w:p w:rsidR="004F3D92" w:rsidRPr="004F3D92" w:rsidRDefault="004F3D92" w:rsidP="0058140F">
      <w:pPr>
        <w:pStyle w:val="Default"/>
      </w:pPr>
    </w:p>
    <w:p w:rsidR="00F52ED8" w:rsidRPr="0058140F" w:rsidRDefault="00F52ED8" w:rsidP="0058140F">
      <w:pPr>
        <w:pStyle w:val="Default"/>
        <w:rPr>
          <w:rFonts w:ascii="Garamond" w:hAnsi="Garamond" w:cs="Garamond"/>
        </w:rPr>
      </w:pPr>
      <w:r w:rsidRPr="0058140F">
        <w:rPr>
          <w:rFonts w:ascii="Garamond" w:hAnsi="Garamond" w:cs="Garamond"/>
        </w:rPr>
        <w:t>The bottles used for the bioassay need to be coated inside with the diagnostic dose of the insecticide under evaluation. As can be seen from Table 1, the diagnostic dose is a determined amount of insecticide per bottle.</w:t>
      </w:r>
      <w:r w:rsidRPr="0058140F">
        <w:t xml:space="preserve"> </w:t>
      </w:r>
    </w:p>
    <w:p w:rsidR="00F52ED8" w:rsidRPr="0058140F" w:rsidRDefault="00F52ED8" w:rsidP="0058140F">
      <w:pPr>
        <w:pStyle w:val="Default"/>
        <w:rPr>
          <w:rFonts w:ascii="Garamond" w:hAnsi="Garamond" w:cstheme="minorBidi"/>
          <w:color w:val="auto"/>
        </w:rPr>
      </w:pPr>
    </w:p>
    <w:p w:rsidR="00F52ED8" w:rsidRPr="0058140F" w:rsidRDefault="00F52ED8" w:rsidP="0058140F">
      <w:pPr>
        <w:pStyle w:val="Default"/>
      </w:pPr>
      <w:r w:rsidRPr="0058140F">
        <w:rPr>
          <w:rFonts w:ascii="Garamond" w:hAnsi="Garamond" w:cstheme="minorBidi"/>
          <w:color w:val="auto"/>
        </w:rPr>
        <w:t xml:space="preserve">To make the insecticide stock solutions, add 1 ml of acetone or technical grade ethanol to the </w:t>
      </w:r>
      <w:r w:rsidR="00185EB4" w:rsidRPr="0058140F">
        <w:rPr>
          <w:rFonts w:ascii="Garamond" w:hAnsi="Garamond" w:cstheme="minorBidi"/>
          <w:color w:val="auto"/>
        </w:rPr>
        <w:t>amber vial containing the</w:t>
      </w:r>
      <w:r w:rsidRPr="0058140F">
        <w:rPr>
          <w:rFonts w:ascii="Garamond" w:hAnsi="Garamond" w:cstheme="minorBidi"/>
          <w:color w:val="auto"/>
        </w:rPr>
        <w:t xml:space="preserve"> </w:t>
      </w:r>
      <w:r w:rsidR="00185EB4" w:rsidRPr="0058140F">
        <w:rPr>
          <w:rFonts w:ascii="Garamond" w:hAnsi="Garamond" w:cstheme="minorBidi"/>
          <w:color w:val="auto"/>
        </w:rPr>
        <w:t xml:space="preserve">technical grade </w:t>
      </w:r>
      <w:r w:rsidRPr="0058140F">
        <w:rPr>
          <w:rFonts w:ascii="Garamond" w:hAnsi="Garamond" w:cstheme="minorBidi"/>
          <w:color w:val="auto"/>
        </w:rPr>
        <w:t xml:space="preserve">insecticide provided in the CDC bottle kit and mix well.  </w:t>
      </w:r>
      <w:r w:rsidR="00185EB4" w:rsidRPr="0058140F">
        <w:rPr>
          <w:rFonts w:ascii="Garamond" w:hAnsi="Garamond" w:cstheme="minorBidi"/>
          <w:color w:val="auto"/>
        </w:rPr>
        <w:t>Add this amount to 49 ml of acetone or technical grade ethanol in the black conical tubes provided and mix well.</w:t>
      </w:r>
      <w:r w:rsidR="00185EB4" w:rsidRPr="0058140F">
        <w:rPr>
          <w:rFonts w:ascii="Garamond" w:hAnsi="Garamond" w:cs="Garamond"/>
        </w:rPr>
        <w:t xml:space="preserve">  </w:t>
      </w:r>
      <w:r w:rsidRPr="0058140F">
        <w:rPr>
          <w:rFonts w:ascii="Garamond" w:hAnsi="Garamond" w:cstheme="minorBidi"/>
          <w:color w:val="auto"/>
        </w:rPr>
        <w:t>It is important to label the stock solution bottle with the name of the insecticide, concentration, and date of preparation.</w:t>
      </w:r>
      <w:r w:rsidRPr="0058140F">
        <w:t xml:space="preserve"> </w:t>
      </w:r>
      <w:r w:rsidRPr="0058140F">
        <w:rPr>
          <w:rFonts w:ascii="Garamond" w:hAnsi="Garamond" w:cstheme="minorBidi"/>
          <w:color w:val="auto"/>
        </w:rPr>
        <w:t>Once the stock solution is made, it can be stored in the refrigerator (4°C) in light-proof bottles (amber-colored bottles or foil-wrapped if clear) for future use.</w:t>
      </w:r>
      <w:r w:rsidRPr="0058140F">
        <w:t xml:space="preserve"> </w:t>
      </w:r>
    </w:p>
    <w:p w:rsidR="0062024C" w:rsidRPr="0058140F" w:rsidRDefault="0062024C" w:rsidP="0058140F">
      <w:pPr>
        <w:pStyle w:val="Default"/>
        <w:rPr>
          <w:rFonts w:ascii="Garamond" w:hAnsi="Garamond" w:cs="Garamond"/>
        </w:rPr>
      </w:pPr>
    </w:p>
    <w:p w:rsidR="001B1218" w:rsidRDefault="00F52ED8" w:rsidP="00F52ED8">
      <w:pPr>
        <w:pStyle w:val="Default"/>
        <w:rPr>
          <w:rFonts w:ascii="Garamond" w:hAnsi="Garamond" w:cstheme="minorBidi"/>
          <w:color w:val="auto"/>
        </w:rPr>
      </w:pPr>
      <w:r w:rsidRPr="0058140F">
        <w:rPr>
          <w:rFonts w:ascii="Garamond" w:hAnsi="Garamond" w:cstheme="minorBidi"/>
          <w:color w:val="auto"/>
        </w:rPr>
        <w:t>It is recommended to take the stock solutions out of the refrigerator at least 1 hour before running the bioassay to allow them to come to room temperature before use. The stock solution should be gently swirled before use to mix it.</w:t>
      </w:r>
    </w:p>
    <w:p w:rsidR="00512C2B" w:rsidRDefault="00512C2B" w:rsidP="00F52ED8">
      <w:pPr>
        <w:pStyle w:val="Default"/>
        <w:rPr>
          <w:rFonts w:ascii="Garamond" w:hAnsi="Garamond" w:cstheme="minorBidi"/>
          <w:color w:val="auto"/>
        </w:rPr>
      </w:pPr>
    </w:p>
    <w:tbl>
      <w:tblPr>
        <w:tblStyle w:val="TableGrid"/>
        <w:tblpPr w:leftFromText="180" w:rightFromText="180" w:vertAnchor="text" w:horzAnchor="margin" w:tblpXSpec="right" w:tblpY="102"/>
        <w:tblW w:w="0" w:type="auto"/>
        <w:tblLook w:val="04A0" w:firstRow="1" w:lastRow="0" w:firstColumn="1" w:lastColumn="0" w:noHBand="0" w:noVBand="1"/>
      </w:tblPr>
      <w:tblGrid>
        <w:gridCol w:w="2065"/>
        <w:gridCol w:w="3870"/>
        <w:gridCol w:w="4135"/>
      </w:tblGrid>
      <w:tr w:rsidR="00961CE4" w:rsidRPr="0062024C" w:rsidTr="00961CE4">
        <w:trPr>
          <w:trHeight w:val="273"/>
        </w:trPr>
        <w:tc>
          <w:tcPr>
            <w:tcW w:w="0" w:type="auto"/>
            <w:gridSpan w:val="3"/>
            <w:shd w:val="clear" w:color="auto" w:fill="55837F" w:themeFill="accent2" w:themeFillShade="BF"/>
            <w:vAlign w:val="center"/>
          </w:tcPr>
          <w:p w:rsidR="00961CE4" w:rsidRPr="0062024C" w:rsidRDefault="00961CE4" w:rsidP="00961CE4">
            <w:pPr>
              <w:pStyle w:val="Default"/>
              <w:rPr>
                <w:rFonts w:ascii="Garamond" w:hAnsi="Garamond" w:cs="Garamond"/>
                <w:b/>
                <w:color w:val="FEFCF7" w:themeColor="background2"/>
              </w:rPr>
            </w:pPr>
            <w:r w:rsidRPr="0062024C">
              <w:rPr>
                <w:rFonts w:ascii="Garamond" w:hAnsi="Garamond" w:cs="Garamond"/>
                <w:b/>
                <w:color w:val="FEFCF7" w:themeColor="background2"/>
              </w:rPr>
              <w:t>Table 2: Quantities of technical grade insecticide required for preparation of stock solution.</w:t>
            </w:r>
          </w:p>
        </w:tc>
      </w:tr>
      <w:tr w:rsidR="00961CE4" w:rsidTr="00FF03FA">
        <w:trPr>
          <w:trHeight w:val="532"/>
        </w:trPr>
        <w:tc>
          <w:tcPr>
            <w:tcW w:w="2065" w:type="dxa"/>
            <w:shd w:val="clear" w:color="auto" w:fill="AECAC8" w:themeFill="accent2" w:themeFillTint="99"/>
            <w:vAlign w:val="center"/>
          </w:tcPr>
          <w:p w:rsidR="00961CE4" w:rsidRPr="0062024C" w:rsidRDefault="00961CE4" w:rsidP="00961CE4">
            <w:pPr>
              <w:pStyle w:val="Default"/>
              <w:rPr>
                <w:rFonts w:ascii="Garamond" w:hAnsi="Garamond" w:cs="Garamond"/>
                <w:b/>
              </w:rPr>
            </w:pPr>
            <w:r w:rsidRPr="0062024C">
              <w:rPr>
                <w:rFonts w:ascii="Garamond" w:hAnsi="Garamond" w:cs="Garamond"/>
                <w:b/>
              </w:rPr>
              <w:t>Insecticide</w:t>
            </w:r>
          </w:p>
        </w:tc>
        <w:tc>
          <w:tcPr>
            <w:tcW w:w="8005" w:type="dxa"/>
            <w:gridSpan w:val="2"/>
            <w:shd w:val="clear" w:color="auto" w:fill="AECAC8" w:themeFill="accent2" w:themeFillTint="99"/>
            <w:vAlign w:val="center"/>
          </w:tcPr>
          <w:p w:rsidR="00FF03FA" w:rsidRDefault="00961CE4" w:rsidP="00FF03FA">
            <w:pPr>
              <w:pStyle w:val="Default"/>
              <w:jc w:val="center"/>
              <w:rPr>
                <w:rFonts w:ascii="Garamond" w:hAnsi="Garamond" w:cs="Garamond"/>
                <w:b/>
              </w:rPr>
            </w:pPr>
            <w:r w:rsidRPr="0062024C">
              <w:rPr>
                <w:rFonts w:ascii="Garamond" w:hAnsi="Garamond" w:cs="Garamond"/>
                <w:b/>
              </w:rPr>
              <w:t xml:space="preserve">Weight (mg) of technical grade insecticide needed per volume </w:t>
            </w:r>
          </w:p>
          <w:p w:rsidR="00961CE4" w:rsidRPr="0062024C" w:rsidRDefault="00961CE4" w:rsidP="00FF03FA">
            <w:pPr>
              <w:pStyle w:val="Default"/>
              <w:jc w:val="center"/>
              <w:rPr>
                <w:rFonts w:ascii="Garamond" w:hAnsi="Garamond" w:cs="Garamond"/>
                <w:b/>
              </w:rPr>
            </w:pPr>
            <w:r w:rsidRPr="0062024C">
              <w:rPr>
                <w:rFonts w:ascii="Garamond" w:hAnsi="Garamond" w:cs="Garamond"/>
                <w:b/>
              </w:rPr>
              <w:t>of stock solution</w:t>
            </w:r>
          </w:p>
        </w:tc>
      </w:tr>
      <w:tr w:rsidR="00961CE4" w:rsidTr="00FF03FA">
        <w:trPr>
          <w:trHeight w:val="289"/>
        </w:trPr>
        <w:tc>
          <w:tcPr>
            <w:tcW w:w="2065" w:type="dxa"/>
            <w:vAlign w:val="center"/>
          </w:tcPr>
          <w:p w:rsidR="00961CE4" w:rsidRDefault="00961CE4" w:rsidP="00961CE4">
            <w:pPr>
              <w:pStyle w:val="Default"/>
              <w:rPr>
                <w:rFonts w:ascii="Garamond" w:hAnsi="Garamond" w:cs="Garamond"/>
              </w:rPr>
            </w:pPr>
          </w:p>
        </w:tc>
        <w:tc>
          <w:tcPr>
            <w:tcW w:w="3870" w:type="dxa"/>
            <w:shd w:val="clear" w:color="auto" w:fill="F0D187" w:themeFill="background2" w:themeFillShade="BF"/>
            <w:vAlign w:val="center"/>
          </w:tcPr>
          <w:p w:rsidR="00961CE4" w:rsidRPr="0062024C" w:rsidRDefault="00961CE4" w:rsidP="00961CE4">
            <w:pPr>
              <w:pStyle w:val="Default"/>
              <w:jc w:val="center"/>
              <w:rPr>
                <w:rFonts w:ascii="Garamond" w:hAnsi="Garamond" w:cs="Garamond"/>
                <w:b/>
              </w:rPr>
            </w:pPr>
            <w:r>
              <w:rPr>
                <w:rFonts w:ascii="Garamond" w:hAnsi="Garamond" w:cs="Garamond"/>
                <w:b/>
              </w:rPr>
              <w:t>50</w:t>
            </w:r>
            <w:r w:rsidRPr="0062024C">
              <w:rPr>
                <w:rFonts w:ascii="Garamond" w:hAnsi="Garamond" w:cs="Garamond"/>
                <w:b/>
              </w:rPr>
              <w:t xml:space="preserve"> ml</w:t>
            </w:r>
          </w:p>
        </w:tc>
        <w:tc>
          <w:tcPr>
            <w:tcW w:w="4135" w:type="dxa"/>
            <w:shd w:val="clear" w:color="auto" w:fill="F0D187" w:themeFill="background2" w:themeFillShade="BF"/>
          </w:tcPr>
          <w:p w:rsidR="00961CE4" w:rsidRDefault="00961CE4" w:rsidP="00961CE4">
            <w:pPr>
              <w:pStyle w:val="Default"/>
              <w:jc w:val="center"/>
              <w:rPr>
                <w:rFonts w:ascii="Garamond" w:hAnsi="Garamond" w:cs="Garamond"/>
                <w:b/>
              </w:rPr>
            </w:pPr>
            <w:r>
              <w:rPr>
                <w:rFonts w:ascii="Garamond" w:hAnsi="Garamond" w:cs="Garamond"/>
                <w:b/>
              </w:rPr>
              <w:t>25 ml</w:t>
            </w:r>
          </w:p>
        </w:tc>
      </w:tr>
      <w:tr w:rsidR="00FF03FA" w:rsidTr="00FF03FA">
        <w:trPr>
          <w:trHeight w:val="273"/>
        </w:trPr>
        <w:tc>
          <w:tcPr>
            <w:tcW w:w="2065" w:type="dxa"/>
            <w:vAlign w:val="center"/>
          </w:tcPr>
          <w:p w:rsidR="00961CE4" w:rsidRDefault="00961CE4" w:rsidP="00961CE4">
            <w:pPr>
              <w:pStyle w:val="Default"/>
              <w:rPr>
                <w:rFonts w:ascii="Garamond" w:hAnsi="Garamond" w:cs="Garamond"/>
              </w:rPr>
            </w:pPr>
            <w:r>
              <w:rPr>
                <w:rFonts w:ascii="Garamond" w:hAnsi="Garamond" w:cs="Garamond"/>
              </w:rPr>
              <w:t>Chlorpyrifos</w:t>
            </w:r>
          </w:p>
        </w:tc>
        <w:tc>
          <w:tcPr>
            <w:tcW w:w="3870" w:type="dxa"/>
            <w:vAlign w:val="center"/>
          </w:tcPr>
          <w:p w:rsidR="00961CE4" w:rsidRDefault="00961CE4" w:rsidP="00961CE4">
            <w:pPr>
              <w:pStyle w:val="Default"/>
              <w:jc w:val="center"/>
              <w:rPr>
                <w:rFonts w:ascii="Garamond" w:hAnsi="Garamond" w:cs="Garamond"/>
              </w:rPr>
            </w:pPr>
            <w:r>
              <w:rPr>
                <w:rFonts w:ascii="Garamond" w:hAnsi="Garamond" w:cs="Garamond"/>
              </w:rPr>
              <w:t>1</w:t>
            </w:r>
          </w:p>
        </w:tc>
        <w:tc>
          <w:tcPr>
            <w:tcW w:w="4135" w:type="dxa"/>
          </w:tcPr>
          <w:p w:rsidR="00961CE4" w:rsidRDefault="00961CE4" w:rsidP="00961CE4">
            <w:pPr>
              <w:pStyle w:val="Default"/>
              <w:jc w:val="center"/>
              <w:rPr>
                <w:rFonts w:ascii="Garamond" w:hAnsi="Garamond" w:cs="Garamond"/>
              </w:rPr>
            </w:pPr>
            <w:r>
              <w:rPr>
                <w:rFonts w:ascii="Garamond" w:hAnsi="Garamond" w:cs="Garamond"/>
              </w:rPr>
              <w:t>0.5</w:t>
            </w:r>
          </w:p>
        </w:tc>
      </w:tr>
      <w:tr w:rsidR="00961CE4" w:rsidTr="00FF03FA">
        <w:trPr>
          <w:trHeight w:val="257"/>
        </w:trPr>
        <w:tc>
          <w:tcPr>
            <w:tcW w:w="2065" w:type="dxa"/>
            <w:shd w:val="clear" w:color="auto" w:fill="DEDFE3" w:themeFill="accent1" w:themeFillTint="33"/>
            <w:vAlign w:val="center"/>
          </w:tcPr>
          <w:p w:rsidR="00961CE4" w:rsidRDefault="00961CE4" w:rsidP="00961CE4">
            <w:pPr>
              <w:pStyle w:val="Default"/>
              <w:rPr>
                <w:rFonts w:ascii="Garamond" w:hAnsi="Garamond" w:cs="Garamond"/>
              </w:rPr>
            </w:pPr>
            <w:r>
              <w:rPr>
                <w:rFonts w:ascii="Garamond" w:hAnsi="Garamond" w:cs="Garamond"/>
              </w:rPr>
              <w:t>Deltamethrin</w:t>
            </w:r>
          </w:p>
        </w:tc>
        <w:tc>
          <w:tcPr>
            <w:tcW w:w="3870" w:type="dxa"/>
            <w:shd w:val="clear" w:color="auto" w:fill="DEDFE3" w:themeFill="accent1" w:themeFillTint="33"/>
            <w:vAlign w:val="center"/>
          </w:tcPr>
          <w:p w:rsidR="00961CE4" w:rsidRDefault="00961CE4" w:rsidP="00961CE4">
            <w:pPr>
              <w:pStyle w:val="Default"/>
              <w:jc w:val="center"/>
              <w:rPr>
                <w:rFonts w:ascii="Garamond" w:hAnsi="Garamond" w:cs="Garamond"/>
              </w:rPr>
            </w:pPr>
            <w:r>
              <w:rPr>
                <w:rFonts w:ascii="Garamond" w:hAnsi="Garamond" w:cs="Garamond"/>
              </w:rPr>
              <w:t>0.0375</w:t>
            </w:r>
          </w:p>
        </w:tc>
        <w:tc>
          <w:tcPr>
            <w:tcW w:w="4135" w:type="dxa"/>
            <w:shd w:val="clear" w:color="auto" w:fill="DEDFE3" w:themeFill="accent1" w:themeFillTint="33"/>
          </w:tcPr>
          <w:p w:rsidR="00961CE4" w:rsidRDefault="00FF03FA" w:rsidP="00961CE4">
            <w:pPr>
              <w:pStyle w:val="Default"/>
              <w:jc w:val="center"/>
              <w:rPr>
                <w:rFonts w:ascii="Garamond" w:hAnsi="Garamond" w:cs="Garamond"/>
              </w:rPr>
            </w:pPr>
            <w:r>
              <w:rPr>
                <w:rFonts w:ascii="Garamond" w:hAnsi="Garamond" w:cs="Garamond"/>
              </w:rPr>
              <w:t>0.01875</w:t>
            </w:r>
          </w:p>
        </w:tc>
      </w:tr>
      <w:tr w:rsidR="00FF03FA" w:rsidTr="00FF03FA">
        <w:trPr>
          <w:trHeight w:val="273"/>
        </w:trPr>
        <w:tc>
          <w:tcPr>
            <w:tcW w:w="2065" w:type="dxa"/>
            <w:vAlign w:val="center"/>
          </w:tcPr>
          <w:p w:rsidR="00961CE4" w:rsidRDefault="00961CE4" w:rsidP="00961CE4">
            <w:pPr>
              <w:pStyle w:val="Default"/>
              <w:rPr>
                <w:rFonts w:ascii="Garamond" w:hAnsi="Garamond" w:cs="Garamond"/>
              </w:rPr>
            </w:pPr>
            <w:r>
              <w:rPr>
                <w:rFonts w:ascii="Garamond" w:hAnsi="Garamond" w:cs="Garamond"/>
              </w:rPr>
              <w:t>Etofenprox</w:t>
            </w:r>
          </w:p>
        </w:tc>
        <w:tc>
          <w:tcPr>
            <w:tcW w:w="3870" w:type="dxa"/>
            <w:vAlign w:val="center"/>
          </w:tcPr>
          <w:p w:rsidR="00961CE4" w:rsidRDefault="00961CE4" w:rsidP="00961CE4">
            <w:pPr>
              <w:pStyle w:val="Default"/>
              <w:jc w:val="center"/>
              <w:rPr>
                <w:rFonts w:ascii="Garamond" w:hAnsi="Garamond" w:cs="Garamond"/>
              </w:rPr>
            </w:pPr>
            <w:r>
              <w:rPr>
                <w:rFonts w:ascii="Garamond" w:hAnsi="Garamond" w:cs="Garamond"/>
              </w:rPr>
              <w:t>0.625</w:t>
            </w:r>
          </w:p>
        </w:tc>
        <w:tc>
          <w:tcPr>
            <w:tcW w:w="4135" w:type="dxa"/>
          </w:tcPr>
          <w:p w:rsidR="00961CE4" w:rsidRDefault="00FF03FA" w:rsidP="00961CE4">
            <w:pPr>
              <w:pStyle w:val="Default"/>
              <w:jc w:val="center"/>
              <w:rPr>
                <w:rFonts w:ascii="Garamond" w:hAnsi="Garamond" w:cs="Garamond"/>
              </w:rPr>
            </w:pPr>
            <w:r>
              <w:rPr>
                <w:rFonts w:ascii="Garamond" w:hAnsi="Garamond" w:cs="Garamond"/>
              </w:rPr>
              <w:t>0.3125</w:t>
            </w:r>
          </w:p>
        </w:tc>
      </w:tr>
      <w:tr w:rsidR="00961CE4" w:rsidTr="00FF03FA">
        <w:trPr>
          <w:trHeight w:val="273"/>
        </w:trPr>
        <w:tc>
          <w:tcPr>
            <w:tcW w:w="2065" w:type="dxa"/>
            <w:shd w:val="clear" w:color="auto" w:fill="DEDFE3" w:themeFill="accent1" w:themeFillTint="33"/>
            <w:vAlign w:val="center"/>
          </w:tcPr>
          <w:p w:rsidR="00961CE4" w:rsidRDefault="00961CE4" w:rsidP="00961CE4">
            <w:pPr>
              <w:pStyle w:val="Default"/>
              <w:rPr>
                <w:rFonts w:ascii="Garamond" w:hAnsi="Garamond" w:cs="Garamond"/>
              </w:rPr>
            </w:pPr>
            <w:r>
              <w:rPr>
                <w:rFonts w:ascii="Garamond" w:hAnsi="Garamond" w:cs="Garamond"/>
              </w:rPr>
              <w:t>Fenthion</w:t>
            </w:r>
          </w:p>
        </w:tc>
        <w:tc>
          <w:tcPr>
            <w:tcW w:w="3870" w:type="dxa"/>
            <w:shd w:val="clear" w:color="auto" w:fill="DEDFE3" w:themeFill="accent1" w:themeFillTint="33"/>
            <w:vAlign w:val="center"/>
          </w:tcPr>
          <w:p w:rsidR="00961CE4" w:rsidRDefault="00961CE4" w:rsidP="00961CE4">
            <w:pPr>
              <w:pStyle w:val="Default"/>
              <w:jc w:val="center"/>
              <w:rPr>
                <w:rFonts w:ascii="Garamond" w:hAnsi="Garamond" w:cs="Garamond"/>
              </w:rPr>
            </w:pPr>
            <w:r>
              <w:rPr>
                <w:rFonts w:ascii="Garamond" w:hAnsi="Garamond" w:cs="Garamond"/>
              </w:rPr>
              <w:t>40</w:t>
            </w:r>
          </w:p>
        </w:tc>
        <w:tc>
          <w:tcPr>
            <w:tcW w:w="4135" w:type="dxa"/>
            <w:shd w:val="clear" w:color="auto" w:fill="DEDFE3" w:themeFill="accent1" w:themeFillTint="33"/>
          </w:tcPr>
          <w:p w:rsidR="00961CE4" w:rsidRDefault="00FF03FA" w:rsidP="00961CE4">
            <w:pPr>
              <w:pStyle w:val="Default"/>
              <w:jc w:val="center"/>
              <w:rPr>
                <w:rFonts w:ascii="Garamond" w:hAnsi="Garamond" w:cs="Garamond"/>
              </w:rPr>
            </w:pPr>
            <w:r>
              <w:rPr>
                <w:rFonts w:ascii="Garamond" w:hAnsi="Garamond" w:cs="Garamond"/>
              </w:rPr>
              <w:t>20</w:t>
            </w:r>
          </w:p>
        </w:tc>
      </w:tr>
      <w:tr w:rsidR="00FF03FA" w:rsidTr="00FF03FA">
        <w:trPr>
          <w:trHeight w:val="257"/>
        </w:trPr>
        <w:tc>
          <w:tcPr>
            <w:tcW w:w="2065" w:type="dxa"/>
            <w:vAlign w:val="center"/>
          </w:tcPr>
          <w:p w:rsidR="00961CE4" w:rsidRDefault="00961CE4" w:rsidP="00961CE4">
            <w:pPr>
              <w:pStyle w:val="Default"/>
              <w:rPr>
                <w:rFonts w:ascii="Garamond" w:hAnsi="Garamond" w:cs="Garamond"/>
              </w:rPr>
            </w:pPr>
            <w:r>
              <w:rPr>
                <w:rFonts w:ascii="Garamond" w:hAnsi="Garamond" w:cs="Garamond"/>
              </w:rPr>
              <w:t>Malathion</w:t>
            </w:r>
          </w:p>
        </w:tc>
        <w:tc>
          <w:tcPr>
            <w:tcW w:w="3870" w:type="dxa"/>
            <w:vAlign w:val="center"/>
          </w:tcPr>
          <w:p w:rsidR="00961CE4" w:rsidRDefault="00961CE4" w:rsidP="00961CE4">
            <w:pPr>
              <w:pStyle w:val="Default"/>
              <w:jc w:val="center"/>
              <w:rPr>
                <w:rFonts w:ascii="Garamond" w:hAnsi="Garamond" w:cs="Garamond"/>
              </w:rPr>
            </w:pPr>
            <w:r>
              <w:rPr>
                <w:rFonts w:ascii="Garamond" w:hAnsi="Garamond" w:cs="Garamond"/>
              </w:rPr>
              <w:t>20</w:t>
            </w:r>
          </w:p>
        </w:tc>
        <w:tc>
          <w:tcPr>
            <w:tcW w:w="4135" w:type="dxa"/>
          </w:tcPr>
          <w:p w:rsidR="00961CE4" w:rsidRDefault="00FF03FA" w:rsidP="00961CE4">
            <w:pPr>
              <w:pStyle w:val="Default"/>
              <w:jc w:val="center"/>
              <w:rPr>
                <w:rFonts w:ascii="Garamond" w:hAnsi="Garamond" w:cs="Garamond"/>
              </w:rPr>
            </w:pPr>
            <w:r>
              <w:rPr>
                <w:rFonts w:ascii="Garamond" w:hAnsi="Garamond" w:cs="Garamond"/>
              </w:rPr>
              <w:t>10</w:t>
            </w:r>
          </w:p>
        </w:tc>
      </w:tr>
      <w:tr w:rsidR="00961CE4" w:rsidTr="00FF03FA">
        <w:trPr>
          <w:trHeight w:val="273"/>
        </w:trPr>
        <w:tc>
          <w:tcPr>
            <w:tcW w:w="2065" w:type="dxa"/>
            <w:shd w:val="clear" w:color="auto" w:fill="DEDFE3" w:themeFill="accent1" w:themeFillTint="33"/>
            <w:vAlign w:val="center"/>
          </w:tcPr>
          <w:p w:rsidR="00961CE4" w:rsidRDefault="00961CE4" w:rsidP="00961CE4">
            <w:pPr>
              <w:pStyle w:val="Default"/>
              <w:rPr>
                <w:rFonts w:ascii="Garamond" w:hAnsi="Garamond" w:cs="Garamond"/>
              </w:rPr>
            </w:pPr>
            <w:r>
              <w:rPr>
                <w:rFonts w:ascii="Garamond" w:hAnsi="Garamond" w:cs="Garamond"/>
              </w:rPr>
              <w:t>Naled</w:t>
            </w:r>
          </w:p>
        </w:tc>
        <w:tc>
          <w:tcPr>
            <w:tcW w:w="3870" w:type="dxa"/>
            <w:shd w:val="clear" w:color="auto" w:fill="DEDFE3" w:themeFill="accent1" w:themeFillTint="33"/>
            <w:vAlign w:val="center"/>
          </w:tcPr>
          <w:p w:rsidR="00961CE4" w:rsidRDefault="00961CE4" w:rsidP="00961CE4">
            <w:pPr>
              <w:pStyle w:val="Default"/>
              <w:jc w:val="center"/>
              <w:rPr>
                <w:rFonts w:ascii="Garamond" w:hAnsi="Garamond" w:cs="Garamond"/>
              </w:rPr>
            </w:pPr>
            <w:r>
              <w:rPr>
                <w:rFonts w:ascii="Garamond" w:hAnsi="Garamond" w:cs="Garamond"/>
              </w:rPr>
              <w:t>0.1125</w:t>
            </w:r>
          </w:p>
        </w:tc>
        <w:tc>
          <w:tcPr>
            <w:tcW w:w="4135" w:type="dxa"/>
            <w:shd w:val="clear" w:color="auto" w:fill="DEDFE3" w:themeFill="accent1" w:themeFillTint="33"/>
          </w:tcPr>
          <w:p w:rsidR="00961CE4" w:rsidRDefault="00FF03FA" w:rsidP="00961CE4">
            <w:pPr>
              <w:pStyle w:val="Default"/>
              <w:jc w:val="center"/>
              <w:rPr>
                <w:rFonts w:ascii="Garamond" w:hAnsi="Garamond" w:cs="Garamond"/>
              </w:rPr>
            </w:pPr>
            <w:r>
              <w:rPr>
                <w:rFonts w:ascii="Garamond" w:hAnsi="Garamond" w:cs="Garamond"/>
              </w:rPr>
              <w:t>0.05625</w:t>
            </w:r>
          </w:p>
        </w:tc>
      </w:tr>
      <w:tr w:rsidR="00FF03FA" w:rsidTr="00FF03FA">
        <w:trPr>
          <w:trHeight w:val="273"/>
        </w:trPr>
        <w:tc>
          <w:tcPr>
            <w:tcW w:w="2065" w:type="dxa"/>
            <w:vAlign w:val="center"/>
          </w:tcPr>
          <w:p w:rsidR="00961CE4" w:rsidRDefault="00961CE4" w:rsidP="00961CE4">
            <w:pPr>
              <w:pStyle w:val="Default"/>
              <w:rPr>
                <w:rFonts w:ascii="Garamond" w:hAnsi="Garamond" w:cs="Garamond"/>
              </w:rPr>
            </w:pPr>
            <w:r>
              <w:rPr>
                <w:rFonts w:ascii="Garamond" w:hAnsi="Garamond" w:cs="Garamond"/>
              </w:rPr>
              <w:t>Permethrin</w:t>
            </w:r>
          </w:p>
        </w:tc>
        <w:tc>
          <w:tcPr>
            <w:tcW w:w="3870" w:type="dxa"/>
            <w:vAlign w:val="center"/>
          </w:tcPr>
          <w:p w:rsidR="00961CE4" w:rsidRDefault="00961CE4" w:rsidP="00961CE4">
            <w:pPr>
              <w:pStyle w:val="Default"/>
              <w:jc w:val="center"/>
              <w:rPr>
                <w:rFonts w:ascii="Garamond" w:hAnsi="Garamond" w:cs="Garamond"/>
              </w:rPr>
            </w:pPr>
            <w:r>
              <w:rPr>
                <w:rFonts w:ascii="Garamond" w:hAnsi="Garamond" w:cs="Garamond"/>
              </w:rPr>
              <w:t>2.15</w:t>
            </w:r>
          </w:p>
        </w:tc>
        <w:tc>
          <w:tcPr>
            <w:tcW w:w="4135" w:type="dxa"/>
          </w:tcPr>
          <w:p w:rsidR="00961CE4" w:rsidRDefault="00FF03FA" w:rsidP="00961CE4">
            <w:pPr>
              <w:pStyle w:val="Default"/>
              <w:jc w:val="center"/>
              <w:rPr>
                <w:rFonts w:ascii="Garamond" w:hAnsi="Garamond" w:cs="Garamond"/>
              </w:rPr>
            </w:pPr>
            <w:r>
              <w:rPr>
                <w:rFonts w:ascii="Garamond" w:hAnsi="Garamond" w:cs="Garamond"/>
              </w:rPr>
              <w:t>1.075</w:t>
            </w:r>
          </w:p>
        </w:tc>
      </w:tr>
      <w:tr w:rsidR="00961CE4" w:rsidTr="00FF03FA">
        <w:trPr>
          <w:trHeight w:val="257"/>
        </w:trPr>
        <w:tc>
          <w:tcPr>
            <w:tcW w:w="2065" w:type="dxa"/>
            <w:shd w:val="clear" w:color="auto" w:fill="DEDFE3" w:themeFill="accent1" w:themeFillTint="33"/>
            <w:vAlign w:val="center"/>
          </w:tcPr>
          <w:p w:rsidR="00961CE4" w:rsidRDefault="00961CE4" w:rsidP="00961CE4">
            <w:pPr>
              <w:pStyle w:val="Default"/>
              <w:rPr>
                <w:rFonts w:ascii="Garamond" w:hAnsi="Garamond" w:cs="Garamond"/>
              </w:rPr>
            </w:pPr>
            <w:r>
              <w:rPr>
                <w:rFonts w:ascii="Garamond" w:hAnsi="Garamond" w:cs="Garamond"/>
              </w:rPr>
              <w:t>Prallethrin</w:t>
            </w:r>
          </w:p>
        </w:tc>
        <w:tc>
          <w:tcPr>
            <w:tcW w:w="3870" w:type="dxa"/>
            <w:shd w:val="clear" w:color="auto" w:fill="DEDFE3" w:themeFill="accent1" w:themeFillTint="33"/>
            <w:vAlign w:val="center"/>
          </w:tcPr>
          <w:p w:rsidR="00961CE4" w:rsidRDefault="00961CE4" w:rsidP="00961CE4">
            <w:pPr>
              <w:pStyle w:val="Default"/>
              <w:jc w:val="center"/>
              <w:rPr>
                <w:rFonts w:ascii="Garamond" w:hAnsi="Garamond" w:cs="Garamond"/>
              </w:rPr>
            </w:pPr>
            <w:r>
              <w:rPr>
                <w:rFonts w:ascii="Garamond" w:hAnsi="Garamond" w:cs="Garamond"/>
              </w:rPr>
              <w:t>0.025</w:t>
            </w:r>
          </w:p>
        </w:tc>
        <w:tc>
          <w:tcPr>
            <w:tcW w:w="4135" w:type="dxa"/>
            <w:shd w:val="clear" w:color="auto" w:fill="DEDFE3" w:themeFill="accent1" w:themeFillTint="33"/>
          </w:tcPr>
          <w:p w:rsidR="00961CE4" w:rsidRDefault="00FF03FA" w:rsidP="00961CE4">
            <w:pPr>
              <w:pStyle w:val="Default"/>
              <w:jc w:val="center"/>
              <w:rPr>
                <w:rFonts w:ascii="Garamond" w:hAnsi="Garamond" w:cs="Garamond"/>
              </w:rPr>
            </w:pPr>
            <w:r>
              <w:rPr>
                <w:rFonts w:ascii="Garamond" w:hAnsi="Garamond" w:cs="Garamond"/>
              </w:rPr>
              <w:t>0.0125</w:t>
            </w:r>
          </w:p>
        </w:tc>
      </w:tr>
      <w:tr w:rsidR="00FF03FA" w:rsidTr="00FF03FA">
        <w:trPr>
          <w:trHeight w:val="273"/>
        </w:trPr>
        <w:tc>
          <w:tcPr>
            <w:tcW w:w="2065" w:type="dxa"/>
            <w:vAlign w:val="center"/>
          </w:tcPr>
          <w:p w:rsidR="00961CE4" w:rsidRDefault="00961CE4" w:rsidP="00961CE4">
            <w:pPr>
              <w:pStyle w:val="Default"/>
              <w:rPr>
                <w:rFonts w:ascii="Garamond" w:hAnsi="Garamond" w:cs="Garamond"/>
              </w:rPr>
            </w:pPr>
            <w:r>
              <w:rPr>
                <w:rFonts w:ascii="Garamond" w:hAnsi="Garamond" w:cs="Garamond"/>
              </w:rPr>
              <w:t>Pyrethrum</w:t>
            </w:r>
          </w:p>
        </w:tc>
        <w:tc>
          <w:tcPr>
            <w:tcW w:w="3870" w:type="dxa"/>
            <w:vAlign w:val="center"/>
          </w:tcPr>
          <w:p w:rsidR="00961CE4" w:rsidRDefault="00961CE4" w:rsidP="00961CE4">
            <w:pPr>
              <w:pStyle w:val="Default"/>
              <w:jc w:val="center"/>
              <w:rPr>
                <w:rFonts w:ascii="Garamond" w:hAnsi="Garamond" w:cs="Garamond"/>
              </w:rPr>
            </w:pPr>
            <w:r>
              <w:rPr>
                <w:rFonts w:ascii="Garamond" w:hAnsi="Garamond" w:cs="Garamond"/>
              </w:rPr>
              <w:t>0.75</w:t>
            </w:r>
          </w:p>
        </w:tc>
        <w:tc>
          <w:tcPr>
            <w:tcW w:w="4135" w:type="dxa"/>
          </w:tcPr>
          <w:p w:rsidR="00961CE4" w:rsidRDefault="00FF03FA" w:rsidP="00961CE4">
            <w:pPr>
              <w:pStyle w:val="Default"/>
              <w:jc w:val="center"/>
              <w:rPr>
                <w:rFonts w:ascii="Garamond" w:hAnsi="Garamond" w:cs="Garamond"/>
              </w:rPr>
            </w:pPr>
            <w:r>
              <w:rPr>
                <w:rFonts w:ascii="Garamond" w:hAnsi="Garamond" w:cs="Garamond"/>
              </w:rPr>
              <w:t>0.375</w:t>
            </w:r>
          </w:p>
        </w:tc>
      </w:tr>
      <w:tr w:rsidR="00961CE4" w:rsidTr="00FF03FA">
        <w:trPr>
          <w:trHeight w:val="257"/>
        </w:trPr>
        <w:tc>
          <w:tcPr>
            <w:tcW w:w="2065" w:type="dxa"/>
            <w:shd w:val="clear" w:color="auto" w:fill="DEDFE3" w:themeFill="accent1" w:themeFillTint="33"/>
            <w:vAlign w:val="center"/>
          </w:tcPr>
          <w:p w:rsidR="00961CE4" w:rsidRDefault="00961CE4" w:rsidP="00961CE4">
            <w:pPr>
              <w:pStyle w:val="Default"/>
              <w:rPr>
                <w:rFonts w:ascii="Garamond" w:hAnsi="Garamond" w:cs="Garamond"/>
              </w:rPr>
            </w:pPr>
            <w:r>
              <w:rPr>
                <w:rFonts w:ascii="Garamond" w:hAnsi="Garamond" w:cs="Garamond"/>
              </w:rPr>
              <w:t>Sumethrin</w:t>
            </w:r>
          </w:p>
        </w:tc>
        <w:tc>
          <w:tcPr>
            <w:tcW w:w="3870" w:type="dxa"/>
            <w:shd w:val="clear" w:color="auto" w:fill="DEDFE3" w:themeFill="accent1" w:themeFillTint="33"/>
            <w:vAlign w:val="center"/>
          </w:tcPr>
          <w:p w:rsidR="00961CE4" w:rsidRDefault="00961CE4" w:rsidP="00961CE4">
            <w:pPr>
              <w:pStyle w:val="Default"/>
              <w:jc w:val="center"/>
              <w:rPr>
                <w:rFonts w:ascii="Garamond" w:hAnsi="Garamond" w:cs="Garamond"/>
              </w:rPr>
            </w:pPr>
            <w:r>
              <w:rPr>
                <w:rFonts w:ascii="Garamond" w:hAnsi="Garamond" w:cs="Garamond"/>
              </w:rPr>
              <w:t>1</w:t>
            </w:r>
          </w:p>
        </w:tc>
        <w:tc>
          <w:tcPr>
            <w:tcW w:w="4135" w:type="dxa"/>
            <w:shd w:val="clear" w:color="auto" w:fill="DEDFE3" w:themeFill="accent1" w:themeFillTint="33"/>
          </w:tcPr>
          <w:p w:rsidR="00961CE4" w:rsidRDefault="00FF03FA" w:rsidP="00961CE4">
            <w:pPr>
              <w:pStyle w:val="Default"/>
              <w:jc w:val="center"/>
              <w:rPr>
                <w:rFonts w:ascii="Garamond" w:hAnsi="Garamond" w:cs="Garamond"/>
              </w:rPr>
            </w:pPr>
            <w:r>
              <w:rPr>
                <w:rFonts w:ascii="Garamond" w:hAnsi="Garamond" w:cs="Garamond"/>
              </w:rPr>
              <w:t>0.5</w:t>
            </w:r>
          </w:p>
        </w:tc>
      </w:tr>
    </w:tbl>
    <w:p w:rsidR="0058140F" w:rsidRPr="0058140F" w:rsidRDefault="0058140F" w:rsidP="00F52ED8">
      <w:pPr>
        <w:pStyle w:val="Default"/>
        <w:rPr>
          <w:rFonts w:ascii="Garamond" w:hAnsi="Garamond" w:cstheme="minorBidi"/>
          <w:color w:val="auto"/>
        </w:rPr>
      </w:pPr>
    </w:p>
    <w:p w:rsidR="007F78A1" w:rsidRDefault="007F78A1" w:rsidP="007F78A1">
      <w:pPr>
        <w:pStyle w:val="Pa9"/>
        <w:spacing w:before="300" w:after="60"/>
        <w:rPr>
          <w:rFonts w:ascii="Garamond" w:hAnsi="Garamond" w:cs="Garamond"/>
          <w:color w:val="000000"/>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961CE4" w:rsidRDefault="00961CE4" w:rsidP="001B1218">
      <w:pPr>
        <w:pStyle w:val="Pa9"/>
        <w:spacing w:line="240" w:lineRule="auto"/>
        <w:rPr>
          <w:b/>
          <w:bCs/>
          <w:color w:val="6C7C5F" w:themeColor="accent6" w:themeShade="BF"/>
        </w:rPr>
      </w:pPr>
    </w:p>
    <w:p w:rsidR="007F78A1" w:rsidRPr="001B1218" w:rsidRDefault="007F78A1" w:rsidP="001B1218">
      <w:pPr>
        <w:pStyle w:val="Pa9"/>
        <w:spacing w:line="240" w:lineRule="auto"/>
        <w:rPr>
          <w:b/>
          <w:bCs/>
          <w:color w:val="6C7C5F" w:themeColor="accent6" w:themeShade="BF"/>
        </w:rPr>
      </w:pPr>
      <w:r w:rsidRPr="001B1218">
        <w:rPr>
          <w:b/>
          <w:bCs/>
          <w:color w:val="6C7C5F" w:themeColor="accent6" w:themeShade="BF"/>
        </w:rPr>
        <w:lastRenderedPageBreak/>
        <w:t xml:space="preserve">3.3. Mosquito handling </w:t>
      </w:r>
    </w:p>
    <w:p w:rsidR="001B1218" w:rsidRPr="001B1218" w:rsidRDefault="001B1218" w:rsidP="001B1218">
      <w:pPr>
        <w:pStyle w:val="Default"/>
      </w:pPr>
    </w:p>
    <w:p w:rsidR="007F78A1" w:rsidRPr="001B1218" w:rsidRDefault="007F78A1" w:rsidP="001B1218">
      <w:pPr>
        <w:pStyle w:val="Default"/>
        <w:rPr>
          <w:rFonts w:ascii="Garamond" w:hAnsi="Garamond" w:cs="Garamond"/>
        </w:rPr>
      </w:pPr>
      <w:r w:rsidRPr="001B1218">
        <w:rPr>
          <w:rFonts w:ascii="Garamond" w:hAnsi="Garamond" w:cs="Garamond"/>
        </w:rPr>
        <w:t>Mosquitoes to be used in the bioassay can be collected as adults from the field (of mixed age and physiological status) or as adults of a known age reared from field larval collections. If field-collected adults are used, their physiological status (i.e., unfed, blood fed semi-gravid, gravid) should be recorded on the result sheet.  It is recommended that a minimum of 100 mosquitoes, divided among four replicate bottles, should be tested for an insecticide at a given concentration. When it is not possible to collect this number of mosquitoes on a single occasion, results of multiple bioassays over a few days may be pooled to achieve the recommended sample size, 100 mosquitoes. In either case, each bioassay must include a contro</w:t>
      </w:r>
      <w:r w:rsidR="001B1218" w:rsidRPr="001B1218">
        <w:rPr>
          <w:rFonts w:ascii="Garamond" w:hAnsi="Garamond" w:cs="Garamond"/>
        </w:rPr>
        <w:t>l bottle with 10–25 mosquitoes.</w:t>
      </w:r>
    </w:p>
    <w:p w:rsidR="001B1218" w:rsidRPr="001B1218" w:rsidRDefault="001B1218" w:rsidP="001B1218">
      <w:pPr>
        <w:pStyle w:val="Default"/>
        <w:rPr>
          <w:rFonts w:ascii="Garamond" w:hAnsi="Garamond" w:cs="Garamond"/>
        </w:rPr>
      </w:pPr>
    </w:p>
    <w:p w:rsidR="007F78A1" w:rsidRPr="001B1218" w:rsidRDefault="007F78A1" w:rsidP="001B1218">
      <w:pPr>
        <w:pStyle w:val="Default"/>
        <w:rPr>
          <w:rFonts w:ascii="Garamond" w:hAnsi="Garamond" w:cs="Garamond"/>
          <w:color w:val="auto"/>
        </w:rPr>
      </w:pPr>
      <w:r w:rsidRPr="001B1218">
        <w:rPr>
          <w:rFonts w:ascii="Garamond" w:hAnsi="Garamond" w:cstheme="minorBidi"/>
          <w:color w:val="auto"/>
        </w:rPr>
        <w:t xml:space="preserve">Some field collections may contain different species.  In those situations where different mosquito species exist, it is recommended that species be identified, </w:t>
      </w:r>
      <w:r w:rsidRPr="001B1218">
        <w:rPr>
          <w:rFonts w:ascii="Garamond" w:hAnsi="Garamond" w:cs="Garamond"/>
          <w:color w:val="auto"/>
        </w:rPr>
        <w:t>either before or after the CDC bottle bioassay. If a predominant species is detected (i.e., more than 95% belong to one single species), consider this the species tested, and the results of the CDC bottle bioassay can be considered adequate for the predominant species.</w:t>
      </w:r>
    </w:p>
    <w:p w:rsidR="007F78A1" w:rsidRDefault="007F78A1" w:rsidP="001B1218">
      <w:pPr>
        <w:autoSpaceDE w:val="0"/>
        <w:autoSpaceDN w:val="0"/>
        <w:adjustRightInd w:val="0"/>
        <w:spacing w:after="0" w:line="240" w:lineRule="auto"/>
        <w:rPr>
          <w:rFonts w:ascii="Century Gothic" w:hAnsi="Century Gothic" w:cs="Century Gothic"/>
          <w:color w:val="000000"/>
          <w:sz w:val="24"/>
          <w:szCs w:val="24"/>
        </w:rPr>
      </w:pPr>
    </w:p>
    <w:p w:rsidR="00512C2B" w:rsidRPr="001B1218" w:rsidRDefault="00512C2B" w:rsidP="001B1218">
      <w:pPr>
        <w:autoSpaceDE w:val="0"/>
        <w:autoSpaceDN w:val="0"/>
        <w:adjustRightInd w:val="0"/>
        <w:spacing w:after="0" w:line="240" w:lineRule="auto"/>
        <w:rPr>
          <w:rFonts w:ascii="Century Gothic" w:hAnsi="Century Gothic" w:cs="Century Gothic"/>
          <w:color w:val="000000"/>
          <w:sz w:val="24"/>
          <w:szCs w:val="24"/>
        </w:rPr>
      </w:pPr>
    </w:p>
    <w:p w:rsidR="007F78A1" w:rsidRPr="001B1218" w:rsidRDefault="007F78A1" w:rsidP="001B1218">
      <w:pPr>
        <w:autoSpaceDE w:val="0"/>
        <w:autoSpaceDN w:val="0"/>
        <w:adjustRightInd w:val="0"/>
        <w:spacing w:after="0" w:line="240" w:lineRule="auto"/>
        <w:jc w:val="both"/>
        <w:rPr>
          <w:rFonts w:ascii="Century Gothic" w:hAnsi="Century Gothic"/>
          <w:b/>
          <w:bCs/>
          <w:color w:val="6C7C5F" w:themeColor="accent6" w:themeShade="BF"/>
          <w:sz w:val="24"/>
          <w:szCs w:val="24"/>
        </w:rPr>
      </w:pPr>
      <w:r w:rsidRPr="001B1218">
        <w:rPr>
          <w:rFonts w:ascii="Century Gothic" w:hAnsi="Century Gothic"/>
          <w:b/>
          <w:bCs/>
          <w:color w:val="6C7C5F" w:themeColor="accent6" w:themeShade="BF"/>
          <w:sz w:val="24"/>
          <w:szCs w:val="24"/>
        </w:rPr>
        <w:t xml:space="preserve">3.4. Procedures for cleaning and drying bottles before coating </w:t>
      </w:r>
    </w:p>
    <w:p w:rsidR="001B1218" w:rsidRPr="001B1218" w:rsidRDefault="001B1218" w:rsidP="001B1218">
      <w:pPr>
        <w:autoSpaceDE w:val="0"/>
        <w:autoSpaceDN w:val="0"/>
        <w:adjustRightInd w:val="0"/>
        <w:spacing w:after="0" w:line="240" w:lineRule="auto"/>
        <w:jc w:val="both"/>
        <w:rPr>
          <w:rFonts w:ascii="Century Gothic" w:hAnsi="Century Gothic"/>
          <w:color w:val="6C7C5F" w:themeColor="accent6" w:themeShade="BF"/>
          <w:sz w:val="24"/>
          <w:szCs w:val="24"/>
        </w:rPr>
      </w:pPr>
    </w:p>
    <w:p w:rsidR="001B1218" w:rsidRDefault="001B1218"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1)</w:t>
      </w:r>
      <w:r>
        <w:rPr>
          <w:rFonts w:ascii="Garamond" w:hAnsi="Garamond" w:cs="Garamond"/>
          <w:sz w:val="24"/>
          <w:szCs w:val="24"/>
        </w:rPr>
        <w:t xml:space="preserve"> </w:t>
      </w:r>
      <w:r w:rsidR="007F78A1" w:rsidRPr="001B1218">
        <w:rPr>
          <w:rFonts w:ascii="Garamond" w:hAnsi="Garamond" w:cs="Garamond"/>
          <w:sz w:val="24"/>
          <w:szCs w:val="24"/>
        </w:rPr>
        <w:t xml:space="preserve">Wash the bottles with warm soapy water and rinse thoroughly with water at least three times. Tap water can be used for this step;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2</w:t>
      </w:r>
      <w:r w:rsidR="007F78A1" w:rsidRPr="001B1218">
        <w:rPr>
          <w:rFonts w:ascii="Garamond" w:hAnsi="Garamond" w:cs="Garamond"/>
          <w:sz w:val="24"/>
          <w:szCs w:val="24"/>
        </w:rPr>
        <w:t xml:space="preserve">) Place bottles in an oven (50°C) for 15–20 min or until they are thoroughly dry before using them;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3</w:t>
      </w:r>
      <w:r w:rsidR="007F78A1" w:rsidRPr="001B1218">
        <w:rPr>
          <w:rFonts w:ascii="Garamond" w:hAnsi="Garamond" w:cs="Garamond"/>
          <w:sz w:val="24"/>
          <w:szCs w:val="24"/>
        </w:rPr>
        <w:t xml:space="preserve">) If there is no oven, leave bottles to dry completely at room temperature or in the sun, with the caps off. In humid situations, bottles can be left to dry with caps off overnight or longer;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1B1218" w:rsidRPr="001B1218" w:rsidRDefault="0062024C" w:rsidP="001B1218">
      <w:pPr>
        <w:pStyle w:val="Default"/>
        <w:rPr>
          <w:rFonts w:ascii="Garamond" w:hAnsi="Garamond" w:cs="Garamond"/>
          <w:color w:val="auto"/>
        </w:rPr>
      </w:pPr>
      <w:r w:rsidRPr="001B1218">
        <w:rPr>
          <w:rFonts w:ascii="Garamond" w:hAnsi="Garamond" w:cs="Garamond"/>
          <w:color w:val="auto"/>
        </w:rPr>
        <w:t>4</w:t>
      </w:r>
      <w:r w:rsidR="007F78A1" w:rsidRPr="001B1218">
        <w:rPr>
          <w:rFonts w:ascii="Garamond" w:hAnsi="Garamond" w:cs="Garamond"/>
          <w:color w:val="auto"/>
        </w:rPr>
        <w:t>) To assure that the cleaning procedure is adequate, introduce some susceptible mosquitoes into a sample of recently washed and dried bottles. Mosquitoes should not die right away. If they do, repeat the washing and drying procedure.</w:t>
      </w:r>
    </w:p>
    <w:p w:rsidR="007F78A1" w:rsidRDefault="007F78A1" w:rsidP="001B1218">
      <w:pPr>
        <w:autoSpaceDE w:val="0"/>
        <w:autoSpaceDN w:val="0"/>
        <w:adjustRightInd w:val="0"/>
        <w:spacing w:after="0" w:line="240" w:lineRule="auto"/>
        <w:rPr>
          <w:rFonts w:ascii="Century Gothic" w:hAnsi="Century Gothic" w:cs="Century Gothic"/>
          <w:color w:val="000000"/>
          <w:sz w:val="24"/>
          <w:szCs w:val="24"/>
        </w:rPr>
      </w:pPr>
    </w:p>
    <w:p w:rsidR="00512C2B" w:rsidRPr="001B1218" w:rsidRDefault="00512C2B" w:rsidP="001B1218">
      <w:pPr>
        <w:autoSpaceDE w:val="0"/>
        <w:autoSpaceDN w:val="0"/>
        <w:adjustRightInd w:val="0"/>
        <w:spacing w:after="0" w:line="240" w:lineRule="auto"/>
        <w:rPr>
          <w:rFonts w:ascii="Century Gothic" w:hAnsi="Century Gothic" w:cs="Century Gothic"/>
          <w:color w:val="000000"/>
          <w:sz w:val="24"/>
          <w:szCs w:val="24"/>
        </w:rPr>
      </w:pPr>
    </w:p>
    <w:p w:rsidR="007F78A1" w:rsidRPr="001B1218" w:rsidRDefault="007F78A1" w:rsidP="001B1218">
      <w:pPr>
        <w:autoSpaceDE w:val="0"/>
        <w:autoSpaceDN w:val="0"/>
        <w:adjustRightInd w:val="0"/>
        <w:spacing w:after="0" w:line="240" w:lineRule="auto"/>
        <w:rPr>
          <w:rFonts w:ascii="Century Gothic" w:hAnsi="Century Gothic"/>
          <w:b/>
          <w:bCs/>
          <w:color w:val="6C7C5F" w:themeColor="accent6" w:themeShade="BF"/>
          <w:sz w:val="24"/>
          <w:szCs w:val="24"/>
        </w:rPr>
      </w:pPr>
      <w:r w:rsidRPr="001B1218">
        <w:rPr>
          <w:rFonts w:ascii="Century Gothic" w:hAnsi="Century Gothic"/>
          <w:b/>
          <w:bCs/>
          <w:color w:val="6C7C5F" w:themeColor="accent6" w:themeShade="BF"/>
          <w:sz w:val="24"/>
          <w:szCs w:val="24"/>
        </w:rPr>
        <w:t xml:space="preserve">3.5. Marking of bottles </w:t>
      </w:r>
    </w:p>
    <w:p w:rsidR="001B1218" w:rsidRPr="007F78A1" w:rsidRDefault="001B1218" w:rsidP="001B1218">
      <w:pPr>
        <w:autoSpaceDE w:val="0"/>
        <w:autoSpaceDN w:val="0"/>
        <w:adjustRightInd w:val="0"/>
        <w:spacing w:after="0" w:line="240" w:lineRule="auto"/>
        <w:rPr>
          <w:rFonts w:ascii="Century Gothic" w:hAnsi="Century Gothic"/>
          <w:color w:val="6C7C5F" w:themeColor="accent6" w:themeShade="BF"/>
          <w:sz w:val="23"/>
          <w:szCs w:val="23"/>
        </w:rPr>
      </w:pPr>
    </w:p>
    <w:p w:rsidR="005B7333" w:rsidRPr="00512C2B" w:rsidRDefault="005B7333" w:rsidP="00512C2B">
      <w:pPr>
        <w:autoSpaceDE w:val="0"/>
        <w:autoSpaceDN w:val="0"/>
        <w:adjustRightInd w:val="0"/>
        <w:spacing w:after="0" w:line="240" w:lineRule="auto"/>
        <w:jc w:val="both"/>
        <w:rPr>
          <w:rFonts w:ascii="Garamond" w:hAnsi="Garamond" w:cs="Garamond"/>
          <w:sz w:val="24"/>
          <w:szCs w:val="24"/>
        </w:rPr>
      </w:pPr>
      <w:r w:rsidRPr="005B7333">
        <w:rPr>
          <w:rFonts w:ascii="Garamond" w:hAnsi="Garamond" w:cs="Garamond"/>
          <w:sz w:val="24"/>
          <w:szCs w:val="24"/>
        </w:rPr>
        <w:t>1)</w:t>
      </w:r>
      <w:r>
        <w:rPr>
          <w:rFonts w:ascii="Garamond" w:hAnsi="Garamond" w:cs="Garamond"/>
          <w:sz w:val="24"/>
          <w:szCs w:val="24"/>
        </w:rPr>
        <w:t xml:space="preserve"> </w:t>
      </w:r>
      <w:r w:rsidR="007F78A1" w:rsidRPr="005B7333">
        <w:rPr>
          <w:rFonts w:ascii="Garamond" w:hAnsi="Garamond" w:cs="Garamond"/>
          <w:sz w:val="24"/>
          <w:szCs w:val="24"/>
        </w:rPr>
        <w:t xml:space="preserve">Since the bottles will be reused, consider using a piece of masking tape on the bottles and caps for marking them instead of writing directly on the bottles and caps (Figure 2). This may facilitate the cleaning of the bottles after the bioassay is completed; </w:t>
      </w:r>
    </w:p>
    <w:p w:rsidR="005B7333" w:rsidRDefault="005B7333" w:rsidP="00B011F1">
      <w:pPr>
        <w:spacing w:after="0" w:line="240" w:lineRule="auto"/>
        <w:jc w:val="center"/>
      </w:pPr>
      <w:r>
        <w:rPr>
          <w:noProof/>
        </w:rPr>
        <w:lastRenderedPageBreak/>
        <w:drawing>
          <wp:inline distT="0" distB="0" distL="0" distR="0">
            <wp:extent cx="5724525" cy="2223439"/>
            <wp:effectExtent l="95250" t="95250" r="85725" b="1009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066.JPG"/>
                    <pic:cNvPicPr/>
                  </pic:nvPicPr>
                  <pic:blipFill rotWithShape="1">
                    <a:blip r:embed="rId15" cstate="print">
                      <a:extLst>
                        <a:ext uri="{28A0092B-C50C-407E-A947-70E740481C1C}">
                          <a14:useLocalDpi xmlns:a14="http://schemas.microsoft.com/office/drawing/2010/main" val="0"/>
                        </a:ext>
                      </a:extLst>
                    </a:blip>
                    <a:srcRect l="-1" r="-173" b="43750"/>
                    <a:stretch/>
                  </pic:blipFill>
                  <pic:spPr bwMode="auto">
                    <a:xfrm>
                      <a:off x="0" y="0"/>
                      <a:ext cx="5739406" cy="2229219"/>
                    </a:xfrm>
                    <a:prstGeom prst="rect">
                      <a:avLst/>
                    </a:prstGeom>
                    <a:ln w="88900" cap="sq" cmpd="thickThin" algn="ctr">
                      <a:solidFill>
                        <a:srgbClr val="121316">
                          <a:lumMod val="50000"/>
                          <a:lumOff val="50000"/>
                        </a:srgbClr>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B7333" w:rsidRPr="005B7333" w:rsidRDefault="005B7333" w:rsidP="00705767">
      <w:pPr>
        <w:spacing w:after="0" w:line="240" w:lineRule="auto"/>
      </w:pPr>
      <w:r w:rsidRPr="00B011F1">
        <w:rPr>
          <w:rFonts w:ascii="Garamond" w:hAnsi="Garamond" w:cs="Garamond"/>
          <w:b/>
          <w:sz w:val="24"/>
          <w:szCs w:val="24"/>
        </w:rPr>
        <w:t>Figure 2:</w:t>
      </w:r>
      <w:r>
        <w:rPr>
          <w:rFonts w:ascii="Garamond" w:hAnsi="Garamond" w:cs="Garamond"/>
          <w:sz w:val="24"/>
          <w:szCs w:val="24"/>
        </w:rPr>
        <w:t xml:space="preserve"> Labeling of bottles and caps.</w:t>
      </w:r>
    </w:p>
    <w:p w:rsidR="005B7333" w:rsidRDefault="005B7333" w:rsidP="001B1218">
      <w:pPr>
        <w:autoSpaceDE w:val="0"/>
        <w:autoSpaceDN w:val="0"/>
        <w:adjustRightInd w:val="0"/>
        <w:spacing w:after="0" w:line="240" w:lineRule="auto"/>
        <w:jc w:val="both"/>
        <w:rPr>
          <w:rFonts w:ascii="Garamond" w:hAnsi="Garamond" w:cs="Garamond"/>
          <w:sz w:val="24"/>
          <w:szCs w:val="24"/>
        </w:rPr>
      </w:pPr>
    </w:p>
    <w:p w:rsidR="005B7333" w:rsidRDefault="005B7333" w:rsidP="001B1218">
      <w:pPr>
        <w:autoSpaceDE w:val="0"/>
        <w:autoSpaceDN w:val="0"/>
        <w:adjustRightInd w:val="0"/>
        <w:spacing w:after="0" w:line="240" w:lineRule="auto"/>
        <w:jc w:val="both"/>
        <w:rPr>
          <w:rFonts w:ascii="Garamond" w:hAnsi="Garamond" w:cs="Garamond"/>
          <w:sz w:val="24"/>
          <w:szCs w:val="24"/>
        </w:rPr>
      </w:pPr>
    </w:p>
    <w:p w:rsidR="007F78A1"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2</w:t>
      </w:r>
      <w:r w:rsidR="007F78A1" w:rsidRPr="001B1218">
        <w:rPr>
          <w:rFonts w:ascii="Garamond" w:hAnsi="Garamond" w:cs="Garamond"/>
          <w:sz w:val="24"/>
          <w:szCs w:val="24"/>
        </w:rPr>
        <w:t xml:space="preserve">) Mark one bottle and its cap as control;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62024C" w:rsidP="001B1218">
      <w:pPr>
        <w:autoSpaceDE w:val="0"/>
        <w:autoSpaceDN w:val="0"/>
        <w:adjustRightInd w:val="0"/>
        <w:spacing w:after="0" w:line="240" w:lineRule="auto"/>
        <w:ind w:left="360" w:hanging="360"/>
        <w:jc w:val="both"/>
        <w:rPr>
          <w:rFonts w:ascii="Garamond" w:hAnsi="Garamond" w:cs="Garamond"/>
          <w:sz w:val="24"/>
          <w:szCs w:val="24"/>
        </w:rPr>
      </w:pPr>
      <w:r w:rsidRPr="001B1218">
        <w:rPr>
          <w:rFonts w:ascii="Garamond" w:hAnsi="Garamond" w:cs="Garamond"/>
          <w:sz w:val="24"/>
          <w:szCs w:val="24"/>
        </w:rPr>
        <w:t>3</w:t>
      </w:r>
      <w:r w:rsidR="007F78A1" w:rsidRPr="001B1218">
        <w:rPr>
          <w:rFonts w:ascii="Garamond" w:hAnsi="Garamond" w:cs="Garamond"/>
          <w:sz w:val="24"/>
          <w:szCs w:val="24"/>
        </w:rPr>
        <w:t xml:space="preserve">) Mark the other four bottles and caps with the replicate number (1–4) and the bioassay date; </w:t>
      </w:r>
    </w:p>
    <w:p w:rsidR="001B1218" w:rsidRPr="001B1218" w:rsidRDefault="001B1218" w:rsidP="001B1218">
      <w:pPr>
        <w:autoSpaceDE w:val="0"/>
        <w:autoSpaceDN w:val="0"/>
        <w:adjustRightInd w:val="0"/>
        <w:spacing w:after="0" w:line="240" w:lineRule="auto"/>
        <w:ind w:left="360" w:hanging="360"/>
        <w:jc w:val="both"/>
        <w:rPr>
          <w:rFonts w:ascii="Garamond" w:hAnsi="Garamond" w:cs="Garamond"/>
          <w:sz w:val="24"/>
          <w:szCs w:val="24"/>
        </w:rPr>
      </w:pPr>
    </w:p>
    <w:p w:rsidR="007F78A1"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4</w:t>
      </w:r>
      <w:r w:rsidR="007F78A1" w:rsidRPr="001B1218">
        <w:rPr>
          <w:rFonts w:ascii="Garamond" w:hAnsi="Garamond" w:cs="Garamond"/>
          <w:sz w:val="24"/>
          <w:szCs w:val="24"/>
        </w:rPr>
        <w:t xml:space="preserve">) If more than one type of insecticide or more than one concentration of the insecticide is being tested at the same time, also label the bottles and their caps with the insecticide name and concentration;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Pr="001B1218" w:rsidRDefault="0062024C" w:rsidP="001B1218">
      <w:pPr>
        <w:pStyle w:val="Default"/>
        <w:rPr>
          <w:rFonts w:ascii="Garamond" w:hAnsi="Garamond" w:cs="Garamond"/>
          <w:color w:val="auto"/>
        </w:rPr>
      </w:pPr>
      <w:r w:rsidRPr="001B1218">
        <w:rPr>
          <w:rFonts w:ascii="Garamond" w:hAnsi="Garamond" w:cs="Garamond"/>
          <w:color w:val="auto"/>
        </w:rPr>
        <w:t>5</w:t>
      </w:r>
      <w:r w:rsidR="007F78A1" w:rsidRPr="001B1218">
        <w:rPr>
          <w:rFonts w:ascii="Garamond" w:hAnsi="Garamond" w:cs="Garamond"/>
          <w:color w:val="auto"/>
        </w:rPr>
        <w:t>) Mark both the cap and the bottle so that bottles are associated with their respective caps. This is vitally important because the inside of the entire bottle will be coated, including the inside of the cap.</w:t>
      </w:r>
    </w:p>
    <w:p w:rsidR="00705767" w:rsidRDefault="00705767" w:rsidP="001B1218">
      <w:pPr>
        <w:autoSpaceDE w:val="0"/>
        <w:autoSpaceDN w:val="0"/>
        <w:adjustRightInd w:val="0"/>
        <w:spacing w:after="0" w:line="240" w:lineRule="auto"/>
        <w:rPr>
          <w:rFonts w:ascii="Century Gothic" w:hAnsi="Century Gothic" w:cs="Century Gothic"/>
          <w:color w:val="000000"/>
          <w:sz w:val="24"/>
          <w:szCs w:val="24"/>
        </w:rPr>
      </w:pPr>
    </w:p>
    <w:p w:rsidR="00512C2B" w:rsidRDefault="00512C2B" w:rsidP="001B1218">
      <w:pPr>
        <w:autoSpaceDE w:val="0"/>
        <w:autoSpaceDN w:val="0"/>
        <w:adjustRightInd w:val="0"/>
        <w:spacing w:after="0" w:line="240" w:lineRule="auto"/>
        <w:rPr>
          <w:rFonts w:ascii="Century Gothic" w:hAnsi="Century Gothic"/>
          <w:b/>
          <w:bCs/>
          <w:color w:val="6C7C5F" w:themeColor="accent6" w:themeShade="BF"/>
          <w:sz w:val="23"/>
          <w:szCs w:val="23"/>
        </w:rPr>
      </w:pPr>
    </w:p>
    <w:p w:rsidR="007F78A1" w:rsidRPr="001B1218" w:rsidRDefault="007F78A1" w:rsidP="001B1218">
      <w:pPr>
        <w:autoSpaceDE w:val="0"/>
        <w:autoSpaceDN w:val="0"/>
        <w:adjustRightInd w:val="0"/>
        <w:spacing w:after="0" w:line="240" w:lineRule="auto"/>
        <w:rPr>
          <w:rFonts w:ascii="Century Gothic" w:hAnsi="Century Gothic"/>
          <w:b/>
          <w:bCs/>
          <w:color w:val="6C7C5F" w:themeColor="accent6" w:themeShade="BF"/>
          <w:sz w:val="24"/>
          <w:szCs w:val="24"/>
        </w:rPr>
      </w:pPr>
      <w:r w:rsidRPr="001B1218">
        <w:rPr>
          <w:rFonts w:ascii="Century Gothic" w:hAnsi="Century Gothic"/>
          <w:b/>
          <w:bCs/>
          <w:color w:val="6C7C5F" w:themeColor="accent6" w:themeShade="BF"/>
          <w:sz w:val="24"/>
          <w:szCs w:val="24"/>
        </w:rPr>
        <w:t xml:space="preserve">3.6. Bottle coating </w:t>
      </w:r>
    </w:p>
    <w:p w:rsidR="001B1218" w:rsidRPr="007F78A1" w:rsidRDefault="001B1218" w:rsidP="001B1218">
      <w:pPr>
        <w:autoSpaceDE w:val="0"/>
        <w:autoSpaceDN w:val="0"/>
        <w:adjustRightInd w:val="0"/>
        <w:spacing w:after="0" w:line="240" w:lineRule="auto"/>
        <w:rPr>
          <w:rFonts w:ascii="Century Gothic" w:hAnsi="Century Gothic"/>
          <w:color w:val="6C7C5F" w:themeColor="accent6" w:themeShade="BF"/>
          <w:sz w:val="23"/>
          <w:szCs w:val="23"/>
        </w:rPr>
      </w:pPr>
    </w:p>
    <w:p w:rsidR="001B1218" w:rsidRDefault="001B1218"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1)</w:t>
      </w:r>
      <w:r>
        <w:rPr>
          <w:rFonts w:ascii="Garamond" w:hAnsi="Garamond" w:cs="Garamond"/>
          <w:sz w:val="24"/>
          <w:szCs w:val="24"/>
        </w:rPr>
        <w:t xml:space="preserve"> </w:t>
      </w:r>
      <w:r w:rsidR="007F78A1" w:rsidRPr="001B1218">
        <w:rPr>
          <w:rFonts w:ascii="Garamond" w:hAnsi="Garamond" w:cs="Garamond"/>
          <w:sz w:val="24"/>
          <w:szCs w:val="24"/>
        </w:rPr>
        <w:t xml:space="preserve">Make sure that bottles and caps are completely dry;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2</w:t>
      </w:r>
      <w:r w:rsidR="007F78A1" w:rsidRPr="001B1218">
        <w:rPr>
          <w:rFonts w:ascii="Garamond" w:hAnsi="Garamond" w:cs="Garamond"/>
          <w:sz w:val="24"/>
          <w:szCs w:val="24"/>
        </w:rPr>
        <w:t xml:space="preserve">) Remove caps from the bottles;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3</w:t>
      </w:r>
      <w:r w:rsidR="007F78A1" w:rsidRPr="001B1218">
        <w:rPr>
          <w:rFonts w:ascii="Garamond" w:hAnsi="Garamond" w:cs="Garamond"/>
          <w:sz w:val="24"/>
          <w:szCs w:val="24"/>
        </w:rPr>
        <w:t xml:space="preserve">) If using disposable pipettes, label one pipette as ‘solvent only’ for the control bottle, and another pipette as ‘insecticide solution’ for the test bottles;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Pr="001B1218"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4</w:t>
      </w:r>
      <w:r w:rsidR="007F78A1" w:rsidRPr="001B1218">
        <w:rPr>
          <w:rFonts w:ascii="Garamond" w:hAnsi="Garamond" w:cs="Garamond"/>
          <w:sz w:val="24"/>
          <w:szCs w:val="24"/>
        </w:rPr>
        <w:t xml:space="preserve">) Add 1 ml of acetone/ethanol to the control bottle and put the cap back on tightly;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Pr="001B1218"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5</w:t>
      </w:r>
      <w:r w:rsidR="007F78A1" w:rsidRPr="001B1218">
        <w:rPr>
          <w:rFonts w:ascii="Garamond" w:hAnsi="Garamond" w:cs="Garamond"/>
          <w:sz w:val="24"/>
          <w:szCs w:val="24"/>
        </w:rPr>
        <w:t>) In the first test bottle, add 1 ml of stock solution to the bottle</w:t>
      </w:r>
      <w:r w:rsidR="005564F3">
        <w:rPr>
          <w:rFonts w:ascii="Garamond" w:hAnsi="Garamond" w:cs="Garamond"/>
          <w:sz w:val="24"/>
          <w:szCs w:val="24"/>
        </w:rPr>
        <w:t xml:space="preserve"> (Figure 3)</w:t>
      </w:r>
      <w:r w:rsidR="007F78A1" w:rsidRPr="001B1218">
        <w:rPr>
          <w:rFonts w:ascii="Garamond" w:hAnsi="Garamond" w:cs="Garamond"/>
          <w:sz w:val="24"/>
          <w:szCs w:val="24"/>
        </w:rPr>
        <w:t xml:space="preserve">. Put the cap back on tightly;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Pr="001B1218"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6</w:t>
      </w:r>
      <w:r w:rsidR="00B011F1">
        <w:rPr>
          <w:rFonts w:ascii="Garamond" w:hAnsi="Garamond" w:cs="Garamond"/>
          <w:sz w:val="24"/>
          <w:szCs w:val="24"/>
        </w:rPr>
        <w:t>) Repeat Step 5</w:t>
      </w:r>
      <w:r w:rsidR="007F78A1" w:rsidRPr="001B1218">
        <w:rPr>
          <w:rFonts w:ascii="Garamond" w:hAnsi="Garamond" w:cs="Garamond"/>
          <w:sz w:val="24"/>
          <w:szCs w:val="24"/>
        </w:rPr>
        <w:t xml:space="preserve"> with the other three test bottles;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Pr="001B1218"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7</w:t>
      </w:r>
      <w:r w:rsidR="007F78A1" w:rsidRPr="001B1218">
        <w:rPr>
          <w:rFonts w:ascii="Garamond" w:hAnsi="Garamond" w:cs="Garamond"/>
          <w:sz w:val="24"/>
          <w:szCs w:val="24"/>
        </w:rPr>
        <w:t>) Swirl the contents inside the bottle so that the bottom is coated</w:t>
      </w:r>
      <w:r w:rsidR="005564F3">
        <w:rPr>
          <w:rFonts w:ascii="Garamond" w:hAnsi="Garamond" w:cs="Garamond"/>
          <w:sz w:val="24"/>
          <w:szCs w:val="24"/>
        </w:rPr>
        <w:t xml:space="preserve"> (Figure 4</w:t>
      </w:r>
      <w:r w:rsidR="007F78A1" w:rsidRPr="001B1218">
        <w:rPr>
          <w:rFonts w:ascii="Garamond" w:hAnsi="Garamond" w:cs="Garamond"/>
          <w:sz w:val="24"/>
          <w:szCs w:val="24"/>
        </w:rPr>
        <w:t xml:space="preserve">);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Pr="001B1218" w:rsidRDefault="0062024C"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8</w:t>
      </w:r>
      <w:r w:rsidR="007F78A1" w:rsidRPr="001B1218">
        <w:rPr>
          <w:rFonts w:ascii="Garamond" w:hAnsi="Garamond" w:cs="Garamond"/>
          <w:sz w:val="24"/>
          <w:szCs w:val="24"/>
        </w:rPr>
        <w:t>) Invert the bottle and swirl to coat</w:t>
      </w:r>
      <w:r w:rsidR="005564F3">
        <w:rPr>
          <w:rFonts w:ascii="Garamond" w:hAnsi="Garamond" w:cs="Garamond"/>
          <w:sz w:val="24"/>
          <w:szCs w:val="24"/>
        </w:rPr>
        <w:t xml:space="preserve"> the inside of the cap (Figure 5</w:t>
      </w:r>
      <w:r w:rsidR="007F78A1" w:rsidRPr="001B1218">
        <w:rPr>
          <w:rFonts w:ascii="Garamond" w:hAnsi="Garamond" w:cs="Garamond"/>
          <w:sz w:val="24"/>
          <w:szCs w:val="24"/>
        </w:rPr>
        <w:t xml:space="preserve">);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5564F3" w:rsidRDefault="005564F3" w:rsidP="001B1218">
      <w:pPr>
        <w:pStyle w:val="Default"/>
        <w:rPr>
          <w:rFonts w:ascii="Garamond" w:hAnsi="Garamond" w:cs="Garamond"/>
          <w:color w:val="auto"/>
        </w:rPr>
      </w:pPr>
    </w:p>
    <w:p w:rsidR="005564F3" w:rsidRDefault="005564F3" w:rsidP="001B1218">
      <w:pPr>
        <w:pStyle w:val="Default"/>
        <w:rPr>
          <w:rFonts w:ascii="Garamond" w:hAnsi="Garamond" w:cs="Garamond"/>
          <w:color w:val="auto"/>
        </w:rPr>
      </w:pPr>
    </w:p>
    <w:p w:rsidR="007F78A1" w:rsidRDefault="0062024C" w:rsidP="001B1218">
      <w:pPr>
        <w:pStyle w:val="Default"/>
        <w:rPr>
          <w:rFonts w:ascii="Garamond" w:hAnsi="Garamond" w:cs="Garamond"/>
          <w:color w:val="auto"/>
        </w:rPr>
      </w:pPr>
      <w:r w:rsidRPr="001B1218">
        <w:rPr>
          <w:rFonts w:ascii="Garamond" w:hAnsi="Garamond" w:cs="Garamond"/>
          <w:color w:val="auto"/>
        </w:rPr>
        <w:lastRenderedPageBreak/>
        <w:t>9</w:t>
      </w:r>
      <w:r w:rsidR="007F78A1" w:rsidRPr="001B1218">
        <w:rPr>
          <w:rFonts w:ascii="Garamond" w:hAnsi="Garamond" w:cs="Garamond"/>
          <w:color w:val="auto"/>
        </w:rPr>
        <w:t>) Place the bottle on its side for a moment to let the contents pool. Gently rotate while rocking the bottle gently so that the sides all the way around are coated (Fi</w:t>
      </w:r>
      <w:r w:rsidR="005564F3">
        <w:rPr>
          <w:rFonts w:ascii="Garamond" w:hAnsi="Garamond" w:cs="Garamond"/>
          <w:color w:val="auto"/>
        </w:rPr>
        <w:t>gure 6</w:t>
      </w:r>
      <w:r w:rsidR="007F78A1" w:rsidRPr="001B1218">
        <w:rPr>
          <w:rFonts w:ascii="Garamond" w:hAnsi="Garamond" w:cs="Garamond"/>
          <w:color w:val="auto"/>
        </w:rPr>
        <w:t>);</w:t>
      </w:r>
    </w:p>
    <w:p w:rsidR="005564F3" w:rsidRDefault="005564F3" w:rsidP="001B1218">
      <w:pPr>
        <w:pStyle w:val="Default"/>
        <w:rPr>
          <w:rFonts w:ascii="Garamond" w:hAnsi="Garamond" w:cs="Garamond"/>
          <w:color w:val="auto"/>
        </w:rPr>
      </w:pPr>
    </w:p>
    <w:p w:rsidR="00B011F1" w:rsidRDefault="00B011F1" w:rsidP="001B1218">
      <w:pPr>
        <w:pStyle w:val="Default"/>
        <w:rPr>
          <w:rFonts w:ascii="Garamond" w:hAnsi="Garamond" w:cs="Garamond"/>
          <w:color w:val="auto"/>
        </w:rPr>
      </w:pPr>
    </w:p>
    <w:p w:rsidR="0073527E" w:rsidRDefault="0073527E" w:rsidP="001B1218">
      <w:pPr>
        <w:pStyle w:val="Default"/>
        <w:rPr>
          <w:rFonts w:ascii="Garamond" w:hAnsi="Garamond" w:cs="Garamond"/>
          <w:noProof/>
          <w:color w:val="auto"/>
        </w:rPr>
      </w:pPr>
      <w:r>
        <w:rPr>
          <w:rFonts w:ascii="Garamond" w:hAnsi="Garamond" w:cs="Garamond"/>
          <w:noProof/>
          <w:color w:val="auto"/>
        </w:rPr>
        <w:drawing>
          <wp:inline distT="0" distB="0" distL="0" distR="0" wp14:anchorId="22EF671C" wp14:editId="55535837">
            <wp:extent cx="2928938" cy="1952625"/>
            <wp:effectExtent l="76200" t="76200" r="138430" b="1238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0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9714" cy="1953142"/>
                    </a:xfrm>
                    <a:prstGeom prst="rect">
                      <a:avLst/>
                    </a:prstGeom>
                    <a:ln w="38100" cap="sq">
                      <a:solidFill>
                        <a:schemeClr val="tx2">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B011F1">
        <w:rPr>
          <w:rFonts w:ascii="Garamond" w:hAnsi="Garamond" w:cs="Garamond"/>
          <w:noProof/>
          <w:color w:val="auto"/>
        </w:rPr>
        <w:drawing>
          <wp:inline distT="0" distB="0" distL="0" distR="0" wp14:anchorId="2319ECFF" wp14:editId="34A5BC4B">
            <wp:extent cx="2914650" cy="1943100"/>
            <wp:effectExtent l="76200" t="76200" r="133350" b="133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0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650" cy="1943100"/>
                    </a:xfrm>
                    <a:prstGeom prst="rect">
                      <a:avLst/>
                    </a:prstGeom>
                    <a:ln w="38100" cap="sq">
                      <a:solidFill>
                        <a:schemeClr val="tx2">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B011F1">
        <w:rPr>
          <w:rFonts w:ascii="Garamond" w:hAnsi="Garamond" w:cs="Garamond"/>
          <w:color w:val="auto"/>
        </w:rPr>
        <w:t xml:space="preserve">  </w:t>
      </w:r>
    </w:p>
    <w:p w:rsidR="0073527E" w:rsidRDefault="0073527E" w:rsidP="001B1218">
      <w:pPr>
        <w:pStyle w:val="Default"/>
        <w:rPr>
          <w:rFonts w:ascii="Garamond" w:hAnsi="Garamond" w:cs="Garamond"/>
          <w:color w:val="auto"/>
        </w:rPr>
      </w:pPr>
      <w:r w:rsidRPr="005564F3">
        <w:rPr>
          <w:rFonts w:ascii="Garamond" w:hAnsi="Garamond" w:cs="Garamond"/>
          <w:b/>
          <w:color w:val="auto"/>
        </w:rPr>
        <w:t>Figure 3:</w:t>
      </w:r>
      <w:r>
        <w:rPr>
          <w:rFonts w:ascii="Garamond" w:hAnsi="Garamond" w:cs="Garamond"/>
          <w:color w:val="auto"/>
        </w:rPr>
        <w:t xml:space="preserve"> Adding stock solution to test bottle.</w:t>
      </w:r>
      <w:r>
        <w:rPr>
          <w:rFonts w:ascii="Garamond" w:hAnsi="Garamond" w:cs="Garamond"/>
          <w:color w:val="auto"/>
        </w:rPr>
        <w:tab/>
      </w:r>
      <w:r>
        <w:rPr>
          <w:rFonts w:ascii="Garamond" w:hAnsi="Garamond" w:cs="Garamond"/>
          <w:color w:val="auto"/>
        </w:rPr>
        <w:tab/>
      </w:r>
      <w:r w:rsidRPr="005564F3">
        <w:rPr>
          <w:rFonts w:ascii="Garamond" w:hAnsi="Garamond" w:cs="Garamond"/>
          <w:b/>
          <w:color w:val="auto"/>
        </w:rPr>
        <w:t>Figure 4:</w:t>
      </w:r>
      <w:r>
        <w:rPr>
          <w:rFonts w:ascii="Garamond" w:hAnsi="Garamond" w:cs="Garamond"/>
          <w:color w:val="auto"/>
        </w:rPr>
        <w:t xml:space="preserve"> Coating the bottom of the bottle.</w:t>
      </w:r>
    </w:p>
    <w:p w:rsidR="0073527E" w:rsidRDefault="0073527E" w:rsidP="001B1218">
      <w:pPr>
        <w:pStyle w:val="Default"/>
        <w:rPr>
          <w:rFonts w:ascii="Garamond" w:hAnsi="Garamond" w:cs="Garamond"/>
          <w:noProof/>
          <w:color w:val="auto"/>
        </w:rPr>
      </w:pPr>
    </w:p>
    <w:p w:rsidR="001B1218" w:rsidRDefault="00B011F1" w:rsidP="001B1218">
      <w:pPr>
        <w:pStyle w:val="Default"/>
        <w:rPr>
          <w:rFonts w:ascii="Garamond" w:hAnsi="Garamond" w:cs="Garamond"/>
          <w:color w:val="auto"/>
        </w:rPr>
      </w:pPr>
      <w:r>
        <w:rPr>
          <w:rFonts w:ascii="Garamond" w:hAnsi="Garamond" w:cs="Garamond"/>
          <w:noProof/>
          <w:color w:val="auto"/>
        </w:rPr>
        <w:drawing>
          <wp:inline distT="0" distB="0" distL="0" distR="0" wp14:anchorId="4FDF48DC" wp14:editId="43FAEFF2">
            <wp:extent cx="2927985" cy="1951990"/>
            <wp:effectExtent l="76200" t="76200" r="139065" b="1244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0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2748" cy="1955165"/>
                    </a:xfrm>
                    <a:prstGeom prst="rect">
                      <a:avLst/>
                    </a:prstGeom>
                    <a:ln w="38100" cap="sq">
                      <a:solidFill>
                        <a:schemeClr val="tx2">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Garamond" w:hAnsi="Garamond" w:cs="Garamond"/>
          <w:color w:val="auto"/>
        </w:rPr>
        <w:t xml:space="preserve">   </w:t>
      </w:r>
      <w:r w:rsidR="0073527E">
        <w:rPr>
          <w:rFonts w:ascii="Garamond" w:hAnsi="Garamond" w:cs="Garamond"/>
          <w:noProof/>
          <w:color w:val="auto"/>
        </w:rPr>
        <w:drawing>
          <wp:inline distT="0" distB="0" distL="0" distR="0" wp14:anchorId="65827842" wp14:editId="594C6D31">
            <wp:extent cx="2914650" cy="1943100"/>
            <wp:effectExtent l="76200" t="76200" r="13335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308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800" cy="1943200"/>
                    </a:xfrm>
                    <a:prstGeom prst="rect">
                      <a:avLst/>
                    </a:prstGeom>
                    <a:ln w="38100" cap="sq">
                      <a:solidFill>
                        <a:schemeClr val="tx2">
                          <a:lumMod val="50000"/>
                          <a:lumOff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5564F3">
        <w:rPr>
          <w:rFonts w:ascii="Garamond" w:hAnsi="Garamond" w:cs="Garamond"/>
          <w:b/>
          <w:color w:val="auto"/>
        </w:rPr>
        <w:t xml:space="preserve">Figure </w:t>
      </w:r>
      <w:r w:rsidR="0073527E" w:rsidRPr="005564F3">
        <w:rPr>
          <w:rFonts w:ascii="Garamond" w:hAnsi="Garamond" w:cs="Garamond"/>
          <w:b/>
          <w:color w:val="auto"/>
        </w:rPr>
        <w:t>5</w:t>
      </w:r>
      <w:r>
        <w:rPr>
          <w:rFonts w:ascii="Garamond" w:hAnsi="Garamond" w:cs="Garamond"/>
          <w:color w:val="auto"/>
        </w:rPr>
        <w:t xml:space="preserve">: Coating the </w:t>
      </w:r>
      <w:r w:rsidR="0073527E">
        <w:rPr>
          <w:rFonts w:ascii="Garamond" w:hAnsi="Garamond" w:cs="Garamond"/>
          <w:color w:val="auto"/>
        </w:rPr>
        <w:t>cap of the bottle.</w:t>
      </w:r>
      <w:r w:rsidR="0073527E">
        <w:rPr>
          <w:rFonts w:ascii="Garamond" w:hAnsi="Garamond" w:cs="Garamond"/>
          <w:color w:val="auto"/>
        </w:rPr>
        <w:tab/>
      </w:r>
      <w:r w:rsidR="0073527E">
        <w:rPr>
          <w:rFonts w:ascii="Garamond" w:hAnsi="Garamond" w:cs="Garamond"/>
          <w:color w:val="auto"/>
        </w:rPr>
        <w:tab/>
      </w:r>
      <w:r w:rsidR="0073527E" w:rsidRPr="005564F3">
        <w:rPr>
          <w:rFonts w:ascii="Garamond" w:hAnsi="Garamond" w:cs="Garamond"/>
          <w:b/>
          <w:color w:val="auto"/>
        </w:rPr>
        <w:t>Figure 6</w:t>
      </w:r>
      <w:r w:rsidRPr="005564F3">
        <w:rPr>
          <w:rFonts w:ascii="Garamond" w:hAnsi="Garamond" w:cs="Garamond"/>
          <w:b/>
          <w:color w:val="auto"/>
        </w:rPr>
        <w:t>:</w:t>
      </w:r>
      <w:r>
        <w:rPr>
          <w:rFonts w:ascii="Garamond" w:hAnsi="Garamond" w:cs="Garamond"/>
          <w:color w:val="auto"/>
        </w:rPr>
        <w:t xml:space="preserve"> Coating </w:t>
      </w:r>
      <w:r w:rsidR="005564F3">
        <w:rPr>
          <w:rFonts w:ascii="Garamond" w:hAnsi="Garamond" w:cs="Garamond"/>
          <w:color w:val="auto"/>
        </w:rPr>
        <w:t>the sides</w:t>
      </w:r>
      <w:r>
        <w:rPr>
          <w:rFonts w:ascii="Garamond" w:hAnsi="Garamond" w:cs="Garamond"/>
          <w:color w:val="auto"/>
        </w:rPr>
        <w:t xml:space="preserve"> of the bottle.</w:t>
      </w:r>
    </w:p>
    <w:p w:rsidR="00B011F1" w:rsidRDefault="00B011F1" w:rsidP="001B1218">
      <w:pPr>
        <w:pStyle w:val="Default"/>
        <w:rPr>
          <w:rFonts w:ascii="Garamond" w:hAnsi="Garamond" w:cs="Garamond"/>
          <w:color w:val="auto"/>
        </w:rPr>
      </w:pPr>
    </w:p>
    <w:p w:rsidR="005564F3" w:rsidRDefault="005564F3" w:rsidP="001B1218">
      <w:pPr>
        <w:autoSpaceDE w:val="0"/>
        <w:autoSpaceDN w:val="0"/>
        <w:adjustRightInd w:val="0"/>
        <w:spacing w:after="0" w:line="240" w:lineRule="auto"/>
        <w:jc w:val="both"/>
        <w:rPr>
          <w:rFonts w:ascii="Garamond" w:hAnsi="Garamond"/>
          <w:sz w:val="24"/>
          <w:szCs w:val="24"/>
        </w:rPr>
      </w:pPr>
    </w:p>
    <w:p w:rsidR="007F78A1" w:rsidRDefault="0062024C" w:rsidP="001B1218">
      <w:pPr>
        <w:autoSpaceDE w:val="0"/>
        <w:autoSpaceDN w:val="0"/>
        <w:adjustRightInd w:val="0"/>
        <w:spacing w:after="0" w:line="240" w:lineRule="auto"/>
        <w:jc w:val="both"/>
        <w:rPr>
          <w:rFonts w:ascii="Garamond" w:hAnsi="Garamond"/>
          <w:sz w:val="24"/>
          <w:szCs w:val="24"/>
        </w:rPr>
      </w:pPr>
      <w:r w:rsidRPr="001B1218">
        <w:rPr>
          <w:rFonts w:ascii="Garamond" w:hAnsi="Garamond"/>
          <w:sz w:val="24"/>
          <w:szCs w:val="24"/>
        </w:rPr>
        <w:t>10</w:t>
      </w:r>
      <w:r w:rsidR="007F78A1" w:rsidRPr="001B1218">
        <w:rPr>
          <w:rFonts w:ascii="Garamond" w:hAnsi="Garamond"/>
          <w:sz w:val="24"/>
          <w:szCs w:val="24"/>
        </w:rPr>
        <w:t xml:space="preserve">) Repeat this for all the test bottles; </w:t>
      </w:r>
    </w:p>
    <w:p w:rsidR="001B1218" w:rsidRPr="001B1218" w:rsidRDefault="001B1218" w:rsidP="001B1218">
      <w:pPr>
        <w:autoSpaceDE w:val="0"/>
        <w:autoSpaceDN w:val="0"/>
        <w:adjustRightInd w:val="0"/>
        <w:spacing w:after="0" w:line="240" w:lineRule="auto"/>
        <w:jc w:val="both"/>
        <w:rPr>
          <w:rFonts w:ascii="Garamond" w:hAnsi="Garamond"/>
          <w:sz w:val="24"/>
          <w:szCs w:val="24"/>
        </w:rPr>
      </w:pPr>
    </w:p>
    <w:p w:rsidR="007F78A1" w:rsidRDefault="0062024C" w:rsidP="001B1218">
      <w:pPr>
        <w:autoSpaceDE w:val="0"/>
        <w:autoSpaceDN w:val="0"/>
        <w:adjustRightInd w:val="0"/>
        <w:spacing w:after="0" w:line="240" w:lineRule="auto"/>
        <w:jc w:val="both"/>
        <w:rPr>
          <w:rFonts w:ascii="Garamond" w:hAnsi="Garamond"/>
          <w:sz w:val="24"/>
          <w:szCs w:val="24"/>
        </w:rPr>
      </w:pPr>
      <w:r w:rsidRPr="001B1218">
        <w:rPr>
          <w:rFonts w:ascii="Garamond" w:hAnsi="Garamond"/>
          <w:sz w:val="24"/>
          <w:szCs w:val="24"/>
        </w:rPr>
        <w:t>11</w:t>
      </w:r>
      <w:r w:rsidR="007F78A1" w:rsidRPr="001B1218">
        <w:rPr>
          <w:rFonts w:ascii="Garamond" w:hAnsi="Garamond"/>
          <w:sz w:val="24"/>
          <w:szCs w:val="24"/>
        </w:rPr>
        <w:t>) Remove the caps and continue rolling bottles on their side until all visible signs of the liquid are gone from inside and the bottl</w:t>
      </w:r>
      <w:r w:rsidR="005564F3">
        <w:rPr>
          <w:rFonts w:ascii="Garamond" w:hAnsi="Garamond"/>
          <w:sz w:val="24"/>
          <w:szCs w:val="24"/>
        </w:rPr>
        <w:t>es are completely dry</w:t>
      </w:r>
      <w:r w:rsidR="007F78A1" w:rsidRPr="001B1218">
        <w:rPr>
          <w:rFonts w:ascii="Garamond" w:hAnsi="Garamond"/>
          <w:sz w:val="24"/>
          <w:szCs w:val="24"/>
        </w:rPr>
        <w:t xml:space="preserve">; </w:t>
      </w:r>
    </w:p>
    <w:p w:rsidR="001B1218" w:rsidRPr="001B1218" w:rsidRDefault="001B1218" w:rsidP="001B1218">
      <w:pPr>
        <w:autoSpaceDE w:val="0"/>
        <w:autoSpaceDN w:val="0"/>
        <w:adjustRightInd w:val="0"/>
        <w:spacing w:after="0" w:line="240" w:lineRule="auto"/>
        <w:jc w:val="both"/>
        <w:rPr>
          <w:rFonts w:ascii="Garamond" w:hAnsi="Garamond"/>
          <w:sz w:val="24"/>
          <w:szCs w:val="24"/>
        </w:rPr>
      </w:pPr>
    </w:p>
    <w:p w:rsidR="007F78A1" w:rsidRDefault="0062024C" w:rsidP="001B1218">
      <w:pPr>
        <w:autoSpaceDE w:val="0"/>
        <w:autoSpaceDN w:val="0"/>
        <w:adjustRightInd w:val="0"/>
        <w:spacing w:after="0" w:line="240" w:lineRule="auto"/>
        <w:jc w:val="both"/>
        <w:rPr>
          <w:rFonts w:ascii="Garamond" w:hAnsi="Garamond"/>
          <w:sz w:val="24"/>
          <w:szCs w:val="24"/>
        </w:rPr>
      </w:pPr>
      <w:r w:rsidRPr="001B1218">
        <w:rPr>
          <w:rFonts w:ascii="Garamond" w:hAnsi="Garamond"/>
          <w:sz w:val="24"/>
          <w:szCs w:val="24"/>
        </w:rPr>
        <w:t>12</w:t>
      </w:r>
      <w:r w:rsidR="007F78A1" w:rsidRPr="001B1218">
        <w:rPr>
          <w:rFonts w:ascii="Garamond" w:hAnsi="Garamond"/>
          <w:sz w:val="24"/>
          <w:szCs w:val="24"/>
        </w:rPr>
        <w:t xml:space="preserve">) Leave bottles on their sides and cover with something that will keep them protected from light; </w:t>
      </w:r>
    </w:p>
    <w:p w:rsidR="001B1218" w:rsidRPr="001B1218" w:rsidRDefault="001B1218" w:rsidP="001B1218">
      <w:pPr>
        <w:autoSpaceDE w:val="0"/>
        <w:autoSpaceDN w:val="0"/>
        <w:adjustRightInd w:val="0"/>
        <w:spacing w:after="0" w:line="240" w:lineRule="auto"/>
        <w:jc w:val="both"/>
        <w:rPr>
          <w:rFonts w:ascii="Garamond" w:hAnsi="Garamond"/>
          <w:sz w:val="24"/>
          <w:szCs w:val="24"/>
        </w:rPr>
      </w:pPr>
    </w:p>
    <w:p w:rsidR="007F78A1" w:rsidRPr="001B1218" w:rsidRDefault="0062024C" w:rsidP="001B1218">
      <w:pPr>
        <w:pStyle w:val="Default"/>
        <w:rPr>
          <w:rFonts w:ascii="Garamond" w:hAnsi="Garamond" w:cstheme="minorBidi"/>
          <w:color w:val="auto"/>
        </w:rPr>
      </w:pPr>
      <w:r w:rsidRPr="001B1218">
        <w:rPr>
          <w:rFonts w:ascii="Garamond" w:hAnsi="Garamond" w:cstheme="minorBidi"/>
          <w:color w:val="auto"/>
        </w:rPr>
        <w:t>13</w:t>
      </w:r>
      <w:r w:rsidR="007F78A1" w:rsidRPr="001B1218">
        <w:rPr>
          <w:rFonts w:ascii="Garamond" w:hAnsi="Garamond" w:cstheme="minorBidi"/>
          <w:color w:val="auto"/>
        </w:rPr>
        <w:t>) If bottles are not used right away, store bottles in a dark place (such as a drawer) with the caps off to avoid moisture build-up. If shipping pre-coated bottles, ship the bottles with the caps on. More information on the storage of coated bottles is given in Section 4.3.</w:t>
      </w:r>
    </w:p>
    <w:p w:rsidR="007F78A1" w:rsidRDefault="007F78A1" w:rsidP="001B1218">
      <w:pPr>
        <w:pStyle w:val="Default"/>
        <w:rPr>
          <w:rFonts w:ascii="Garamond" w:hAnsi="Garamond" w:cstheme="minorBidi"/>
          <w:color w:val="auto"/>
        </w:rPr>
      </w:pPr>
    </w:p>
    <w:p w:rsidR="0056758B" w:rsidRDefault="0056758B" w:rsidP="001B1218">
      <w:pPr>
        <w:pStyle w:val="Default"/>
        <w:rPr>
          <w:rFonts w:ascii="Garamond" w:hAnsi="Garamond" w:cstheme="minorBidi"/>
          <w:color w:val="auto"/>
        </w:rPr>
      </w:pPr>
    </w:p>
    <w:p w:rsidR="0056758B" w:rsidRDefault="0056758B" w:rsidP="001B1218">
      <w:pPr>
        <w:pStyle w:val="Default"/>
        <w:rPr>
          <w:rFonts w:ascii="Garamond" w:hAnsi="Garamond" w:cstheme="minorBidi"/>
          <w:color w:val="auto"/>
        </w:rPr>
      </w:pPr>
    </w:p>
    <w:p w:rsidR="0056758B" w:rsidRDefault="0056758B" w:rsidP="001B1218">
      <w:pPr>
        <w:pStyle w:val="Default"/>
        <w:rPr>
          <w:rFonts w:ascii="Garamond" w:hAnsi="Garamond" w:cstheme="minorBidi"/>
          <w:color w:val="auto"/>
        </w:rPr>
      </w:pPr>
    </w:p>
    <w:p w:rsidR="00512C2B" w:rsidRDefault="00512C2B" w:rsidP="001B1218">
      <w:pPr>
        <w:pStyle w:val="Default"/>
        <w:rPr>
          <w:rFonts w:ascii="Garamond" w:hAnsi="Garamond" w:cstheme="minorBidi"/>
          <w:color w:val="auto"/>
        </w:rPr>
      </w:pPr>
    </w:p>
    <w:p w:rsidR="00512C2B" w:rsidRPr="001B1218" w:rsidRDefault="00512C2B" w:rsidP="001B1218">
      <w:pPr>
        <w:pStyle w:val="Default"/>
        <w:rPr>
          <w:rFonts w:ascii="Garamond" w:hAnsi="Garamond" w:cstheme="minorBidi"/>
          <w:color w:val="auto"/>
        </w:rPr>
      </w:pPr>
    </w:p>
    <w:p w:rsidR="007F78A1" w:rsidRPr="007F78A1" w:rsidRDefault="007F78A1" w:rsidP="001B1218">
      <w:pPr>
        <w:autoSpaceDE w:val="0"/>
        <w:autoSpaceDN w:val="0"/>
        <w:adjustRightInd w:val="0"/>
        <w:spacing w:after="0" w:line="240" w:lineRule="auto"/>
        <w:rPr>
          <w:rFonts w:ascii="Century Gothic" w:hAnsi="Century Gothic" w:cs="Century Gothic"/>
          <w:color w:val="000000"/>
          <w:sz w:val="24"/>
          <w:szCs w:val="24"/>
        </w:rPr>
      </w:pPr>
    </w:p>
    <w:p w:rsidR="007F78A1" w:rsidRPr="001B1218" w:rsidRDefault="007F78A1" w:rsidP="001B1218">
      <w:pPr>
        <w:autoSpaceDE w:val="0"/>
        <w:autoSpaceDN w:val="0"/>
        <w:adjustRightInd w:val="0"/>
        <w:spacing w:after="0" w:line="240" w:lineRule="auto"/>
        <w:rPr>
          <w:rFonts w:ascii="Century Gothic" w:hAnsi="Century Gothic"/>
          <w:b/>
          <w:bCs/>
          <w:color w:val="6C7C5F" w:themeColor="accent6" w:themeShade="BF"/>
          <w:sz w:val="28"/>
          <w:szCs w:val="28"/>
        </w:rPr>
      </w:pPr>
      <w:r w:rsidRPr="001B1218">
        <w:rPr>
          <w:rFonts w:ascii="Century Gothic" w:hAnsi="Century Gothic"/>
          <w:b/>
          <w:bCs/>
          <w:color w:val="6C7C5F" w:themeColor="accent6" w:themeShade="BF"/>
          <w:sz w:val="28"/>
          <w:szCs w:val="28"/>
        </w:rPr>
        <w:t xml:space="preserve">4. CDC bottle bioassay method </w:t>
      </w:r>
    </w:p>
    <w:p w:rsidR="0093198B" w:rsidRPr="007F78A1" w:rsidRDefault="0093198B" w:rsidP="001B1218">
      <w:pPr>
        <w:autoSpaceDE w:val="0"/>
        <w:autoSpaceDN w:val="0"/>
        <w:adjustRightInd w:val="0"/>
        <w:spacing w:after="0" w:line="240" w:lineRule="auto"/>
        <w:rPr>
          <w:rFonts w:ascii="Century Gothic" w:hAnsi="Century Gothic"/>
          <w:sz w:val="28"/>
          <w:szCs w:val="28"/>
        </w:rPr>
      </w:pPr>
    </w:p>
    <w:p w:rsidR="007F78A1" w:rsidRPr="001B1218" w:rsidRDefault="007F78A1" w:rsidP="001B1218">
      <w:pPr>
        <w:autoSpaceDE w:val="0"/>
        <w:autoSpaceDN w:val="0"/>
        <w:adjustRightInd w:val="0"/>
        <w:spacing w:after="0" w:line="240" w:lineRule="auto"/>
        <w:rPr>
          <w:rFonts w:ascii="Century Gothic" w:hAnsi="Century Gothic"/>
          <w:b/>
          <w:bCs/>
          <w:color w:val="92A185" w:themeColor="accent6"/>
          <w:sz w:val="23"/>
          <w:szCs w:val="23"/>
        </w:rPr>
      </w:pPr>
      <w:r w:rsidRPr="001B1218">
        <w:rPr>
          <w:rFonts w:ascii="Century Gothic" w:hAnsi="Century Gothic"/>
          <w:b/>
          <w:bCs/>
          <w:color w:val="92A185" w:themeColor="accent6"/>
          <w:sz w:val="23"/>
          <w:szCs w:val="23"/>
        </w:rPr>
        <w:t xml:space="preserve">4.1. General considerations </w:t>
      </w:r>
    </w:p>
    <w:p w:rsidR="001B1218" w:rsidRPr="007F78A1" w:rsidRDefault="001B1218" w:rsidP="001B1218">
      <w:pPr>
        <w:autoSpaceDE w:val="0"/>
        <w:autoSpaceDN w:val="0"/>
        <w:adjustRightInd w:val="0"/>
        <w:spacing w:after="0" w:line="240" w:lineRule="auto"/>
        <w:rPr>
          <w:rFonts w:ascii="Century Gothic" w:hAnsi="Century Gothic"/>
          <w:sz w:val="23"/>
          <w:szCs w:val="23"/>
        </w:rPr>
      </w:pPr>
    </w:p>
    <w:p w:rsidR="001B1218" w:rsidRDefault="001B1218" w:rsidP="001B1218">
      <w:p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1</w:t>
      </w:r>
      <w:r w:rsidRPr="001B1218">
        <w:rPr>
          <w:rFonts w:ascii="Garamond" w:hAnsi="Garamond" w:cs="Garamond"/>
          <w:sz w:val="24"/>
          <w:szCs w:val="24"/>
        </w:rPr>
        <w:t>)</w:t>
      </w:r>
      <w:r>
        <w:rPr>
          <w:rFonts w:ascii="Garamond" w:hAnsi="Garamond" w:cs="Garamond"/>
          <w:sz w:val="24"/>
          <w:szCs w:val="24"/>
        </w:rPr>
        <w:t xml:space="preserve"> </w:t>
      </w:r>
      <w:r w:rsidR="007F78A1" w:rsidRPr="001B1218">
        <w:rPr>
          <w:rFonts w:ascii="Garamond" w:hAnsi="Garamond" w:cs="Garamond"/>
          <w:sz w:val="24"/>
          <w:szCs w:val="24"/>
        </w:rPr>
        <w:t xml:space="preserve">Use a filter in the aspirator to avoid inhaling mosquitoes or insect fragments;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1B1218" w:rsidP="001B1218">
      <w:p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2</w:t>
      </w:r>
      <w:r w:rsidR="007F78A1" w:rsidRPr="001B1218">
        <w:rPr>
          <w:rFonts w:ascii="Garamond" w:hAnsi="Garamond" w:cs="Garamond"/>
          <w:sz w:val="24"/>
          <w:szCs w:val="24"/>
        </w:rPr>
        <w:t xml:space="preserve">) Blow gently to expel the mosquitoes into the bottles. If you blow too hard, the mosquitoes can be damaged by hitting the sides of the bottle and killed before the insecticide has a chance to do so;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1B1218" w:rsidP="001B1218">
      <w:p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3</w:t>
      </w:r>
      <w:r w:rsidR="007F78A1" w:rsidRPr="001B1218">
        <w:rPr>
          <w:rFonts w:ascii="Garamond" w:hAnsi="Garamond" w:cs="Garamond"/>
          <w:sz w:val="24"/>
          <w:szCs w:val="24"/>
        </w:rPr>
        <w:t xml:space="preserve">) Be careful not to touch the inside of the bottle with the aspirator, as this may contaminate the aspirator;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Pr="001B1218" w:rsidRDefault="001B1218" w:rsidP="001B1218">
      <w:pPr>
        <w:pStyle w:val="Default"/>
        <w:rPr>
          <w:rFonts w:ascii="Garamond" w:hAnsi="Garamond" w:cs="Garamond"/>
          <w:color w:val="auto"/>
        </w:rPr>
      </w:pPr>
      <w:r>
        <w:rPr>
          <w:rFonts w:ascii="Garamond" w:hAnsi="Garamond" w:cs="Garamond"/>
          <w:color w:val="auto"/>
        </w:rPr>
        <w:t>4</w:t>
      </w:r>
      <w:r w:rsidR="007F78A1" w:rsidRPr="001B1218">
        <w:rPr>
          <w:rFonts w:ascii="Garamond" w:hAnsi="Garamond" w:cs="Garamond"/>
          <w:color w:val="auto"/>
        </w:rPr>
        <w:t>) Remember that the number of mosquitoes in the each of the test bottles does not need to be equal.</w:t>
      </w:r>
    </w:p>
    <w:p w:rsidR="007F78A1" w:rsidRDefault="007F78A1" w:rsidP="001B1218">
      <w:pPr>
        <w:autoSpaceDE w:val="0"/>
        <w:autoSpaceDN w:val="0"/>
        <w:adjustRightInd w:val="0"/>
        <w:spacing w:after="0" w:line="240" w:lineRule="auto"/>
        <w:rPr>
          <w:rFonts w:ascii="Century Gothic" w:hAnsi="Century Gothic" w:cs="Century Gothic"/>
          <w:color w:val="000000"/>
          <w:sz w:val="24"/>
          <w:szCs w:val="24"/>
        </w:rPr>
      </w:pPr>
    </w:p>
    <w:p w:rsidR="00512C2B" w:rsidRPr="007F78A1" w:rsidRDefault="00512C2B" w:rsidP="001B1218">
      <w:pPr>
        <w:autoSpaceDE w:val="0"/>
        <w:autoSpaceDN w:val="0"/>
        <w:adjustRightInd w:val="0"/>
        <w:spacing w:after="0" w:line="240" w:lineRule="auto"/>
        <w:rPr>
          <w:rFonts w:ascii="Century Gothic" w:hAnsi="Century Gothic" w:cs="Century Gothic"/>
          <w:color w:val="000000"/>
          <w:sz w:val="24"/>
          <w:szCs w:val="24"/>
        </w:rPr>
      </w:pPr>
    </w:p>
    <w:p w:rsidR="007F78A1" w:rsidRDefault="007F78A1" w:rsidP="001B1218">
      <w:pPr>
        <w:autoSpaceDE w:val="0"/>
        <w:autoSpaceDN w:val="0"/>
        <w:adjustRightInd w:val="0"/>
        <w:spacing w:after="0" w:line="240" w:lineRule="auto"/>
        <w:rPr>
          <w:rFonts w:ascii="Century Gothic" w:hAnsi="Century Gothic"/>
          <w:b/>
          <w:bCs/>
          <w:color w:val="92A185" w:themeColor="accent6"/>
          <w:sz w:val="24"/>
          <w:szCs w:val="24"/>
        </w:rPr>
      </w:pPr>
      <w:r w:rsidRPr="001B1218">
        <w:rPr>
          <w:rFonts w:ascii="Century Gothic" w:hAnsi="Century Gothic"/>
          <w:b/>
          <w:bCs/>
          <w:color w:val="92A185" w:themeColor="accent6"/>
          <w:sz w:val="24"/>
          <w:szCs w:val="24"/>
        </w:rPr>
        <w:t xml:space="preserve">4.2. Bioassay procedure </w:t>
      </w:r>
    </w:p>
    <w:p w:rsidR="001B1218" w:rsidRPr="001B1218" w:rsidRDefault="001B1218" w:rsidP="001B1218">
      <w:pPr>
        <w:autoSpaceDE w:val="0"/>
        <w:autoSpaceDN w:val="0"/>
        <w:adjustRightInd w:val="0"/>
        <w:spacing w:after="0" w:line="240" w:lineRule="auto"/>
        <w:rPr>
          <w:rFonts w:ascii="Century Gothic" w:hAnsi="Century Gothic"/>
          <w:color w:val="92A185" w:themeColor="accent6"/>
          <w:sz w:val="24"/>
          <w:szCs w:val="24"/>
        </w:rPr>
      </w:pPr>
    </w:p>
    <w:p w:rsidR="007F78A1" w:rsidRDefault="007F78A1"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 xml:space="preserve">The bioassay can be performed with the bottles in an upright position or with the bottles lying on their sides. The important thing is to be consistent and follow the same procedure each time.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7F78A1"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 xml:space="preserve">The steps: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1B1218" w:rsidRDefault="001B1218" w:rsidP="001B1218">
      <w:pPr>
        <w:autoSpaceDE w:val="0"/>
        <w:autoSpaceDN w:val="0"/>
        <w:adjustRightInd w:val="0"/>
        <w:spacing w:after="0" w:line="240" w:lineRule="auto"/>
        <w:jc w:val="both"/>
        <w:rPr>
          <w:rFonts w:ascii="Garamond" w:hAnsi="Garamond" w:cs="Garamond"/>
          <w:sz w:val="24"/>
          <w:szCs w:val="24"/>
        </w:rPr>
      </w:pPr>
      <w:r w:rsidRPr="001B1218">
        <w:rPr>
          <w:rFonts w:ascii="Garamond" w:hAnsi="Garamond" w:cs="Garamond"/>
          <w:sz w:val="24"/>
          <w:szCs w:val="24"/>
        </w:rPr>
        <w:t>1)</w:t>
      </w:r>
      <w:r>
        <w:rPr>
          <w:rFonts w:ascii="Garamond" w:hAnsi="Garamond" w:cs="Garamond"/>
          <w:sz w:val="24"/>
          <w:szCs w:val="24"/>
        </w:rPr>
        <w:t xml:space="preserve"> </w:t>
      </w:r>
      <w:r w:rsidR="007F78A1" w:rsidRPr="001B1218">
        <w:rPr>
          <w:rFonts w:ascii="Garamond" w:hAnsi="Garamond" w:cs="Garamond"/>
          <w:sz w:val="24"/>
          <w:szCs w:val="24"/>
        </w:rPr>
        <w:t xml:space="preserve">Using an aspirator, introduce 10–25 mosquitoes into the control bottle. It is not necessary to count the mosquitoes; the exact number does not matter;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1B1218" w:rsidP="001B1218">
      <w:p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2</w:t>
      </w:r>
      <w:r w:rsidR="007F78A1" w:rsidRPr="001B1218">
        <w:rPr>
          <w:rFonts w:ascii="Garamond" w:hAnsi="Garamond" w:cs="Garamond"/>
          <w:sz w:val="24"/>
          <w:szCs w:val="24"/>
        </w:rPr>
        <w:t>) Introduce 10–25 mosquitoes into each test bottle; again, the exact n</w:t>
      </w:r>
      <w:r w:rsidR="0056758B">
        <w:rPr>
          <w:rFonts w:ascii="Garamond" w:hAnsi="Garamond" w:cs="Garamond"/>
          <w:sz w:val="24"/>
          <w:szCs w:val="24"/>
        </w:rPr>
        <w:t>umber does not matter</w:t>
      </w:r>
      <w:r w:rsidR="007F78A1" w:rsidRPr="001B1218">
        <w:rPr>
          <w:rFonts w:ascii="Garamond" w:hAnsi="Garamond" w:cs="Garamond"/>
          <w:sz w:val="24"/>
          <w:szCs w:val="24"/>
        </w:rPr>
        <w:t xml:space="preserve">;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1B1218" w:rsidP="001B1218">
      <w:pPr>
        <w:autoSpaceDE w:val="0"/>
        <w:autoSpaceDN w:val="0"/>
        <w:adjustRightInd w:val="0"/>
        <w:spacing w:after="0" w:line="240" w:lineRule="auto"/>
        <w:jc w:val="both"/>
        <w:rPr>
          <w:rFonts w:ascii="Garamond" w:hAnsi="Garamond" w:cs="Garamond"/>
          <w:sz w:val="24"/>
          <w:szCs w:val="24"/>
        </w:rPr>
      </w:pPr>
      <w:r>
        <w:rPr>
          <w:rFonts w:ascii="Garamond" w:hAnsi="Garamond" w:cs="Garamond"/>
          <w:sz w:val="24"/>
          <w:szCs w:val="24"/>
        </w:rPr>
        <w:t>3</w:t>
      </w:r>
      <w:r w:rsidR="007F78A1" w:rsidRPr="001B1218">
        <w:rPr>
          <w:rFonts w:ascii="Garamond" w:hAnsi="Garamond" w:cs="Garamond"/>
          <w:sz w:val="24"/>
          <w:szCs w:val="24"/>
        </w:rPr>
        <w:t xml:space="preserve">) Start a timer. Be sure to examine the bottles at Time 0 and count the number of dead and/or live mosquitoes; </w:t>
      </w:r>
    </w:p>
    <w:p w:rsidR="001B1218" w:rsidRPr="001B1218" w:rsidRDefault="001B1218" w:rsidP="001B1218">
      <w:pPr>
        <w:autoSpaceDE w:val="0"/>
        <w:autoSpaceDN w:val="0"/>
        <w:adjustRightInd w:val="0"/>
        <w:spacing w:after="0" w:line="240" w:lineRule="auto"/>
        <w:jc w:val="both"/>
        <w:rPr>
          <w:rFonts w:ascii="Garamond" w:hAnsi="Garamond" w:cs="Garamond"/>
          <w:sz w:val="24"/>
          <w:szCs w:val="24"/>
        </w:rPr>
      </w:pPr>
    </w:p>
    <w:p w:rsidR="007F78A1" w:rsidRDefault="001B1218" w:rsidP="001B1218">
      <w:pPr>
        <w:pStyle w:val="Default"/>
        <w:rPr>
          <w:rFonts w:ascii="Garamond" w:hAnsi="Garamond" w:cs="Garamond"/>
          <w:color w:val="auto"/>
        </w:rPr>
      </w:pPr>
      <w:r>
        <w:rPr>
          <w:rFonts w:ascii="Garamond" w:hAnsi="Garamond" w:cs="Garamond"/>
          <w:color w:val="auto"/>
        </w:rPr>
        <w:t>4</w:t>
      </w:r>
      <w:r w:rsidR="007F78A1" w:rsidRPr="001B1218">
        <w:rPr>
          <w:rFonts w:ascii="Garamond" w:hAnsi="Garamond" w:cs="Garamond"/>
          <w:color w:val="auto"/>
        </w:rPr>
        <w:t xml:space="preserve">) If you find dead mosquitoes at Time 0, make a note </w:t>
      </w:r>
      <w:r w:rsidR="0008336D" w:rsidRPr="001B1218">
        <w:rPr>
          <w:rFonts w:ascii="Garamond" w:hAnsi="Garamond" w:cs="Garamond"/>
          <w:color w:val="auto"/>
        </w:rPr>
        <w:t>of them on the data form</w:t>
      </w:r>
      <w:r w:rsidR="007F78A1" w:rsidRPr="001B1218">
        <w:rPr>
          <w:rFonts w:ascii="Garamond" w:hAnsi="Garamond" w:cs="Garamond"/>
          <w:color w:val="auto"/>
        </w:rPr>
        <w:t>;</w:t>
      </w:r>
    </w:p>
    <w:p w:rsidR="001B1218" w:rsidRPr="001B1218" w:rsidRDefault="001B1218" w:rsidP="001B1218">
      <w:pPr>
        <w:pStyle w:val="Default"/>
        <w:rPr>
          <w:rFonts w:ascii="Garamond" w:hAnsi="Garamond" w:cs="Garamond"/>
          <w:color w:val="auto"/>
        </w:rPr>
      </w:pPr>
    </w:p>
    <w:p w:rsidR="007F78A1" w:rsidRDefault="001B1218" w:rsidP="001B1218">
      <w:pPr>
        <w:autoSpaceDE w:val="0"/>
        <w:autoSpaceDN w:val="0"/>
        <w:adjustRightInd w:val="0"/>
        <w:spacing w:after="0" w:line="240" w:lineRule="auto"/>
        <w:jc w:val="both"/>
        <w:rPr>
          <w:rFonts w:ascii="Garamond" w:hAnsi="Garamond"/>
          <w:sz w:val="24"/>
          <w:szCs w:val="24"/>
        </w:rPr>
      </w:pPr>
      <w:r>
        <w:rPr>
          <w:rFonts w:ascii="Garamond" w:hAnsi="Garamond"/>
          <w:sz w:val="24"/>
          <w:szCs w:val="24"/>
        </w:rPr>
        <w:t>5</w:t>
      </w:r>
      <w:r w:rsidR="007F78A1" w:rsidRPr="001B1218">
        <w:rPr>
          <w:rFonts w:ascii="Garamond" w:hAnsi="Garamond"/>
          <w:sz w:val="24"/>
          <w:szCs w:val="24"/>
        </w:rPr>
        <w:t xml:space="preserve">) Record how many mosquitoes are dead or alive, whichever is easier to count, </w:t>
      </w:r>
      <w:r w:rsidR="0008336D" w:rsidRPr="001B1218">
        <w:rPr>
          <w:rFonts w:ascii="Garamond" w:hAnsi="Garamond"/>
          <w:sz w:val="24"/>
          <w:szCs w:val="24"/>
        </w:rPr>
        <w:t xml:space="preserve">at 5 minutes, 10 minutes, then </w:t>
      </w:r>
      <w:r w:rsidR="007F78A1" w:rsidRPr="001B1218">
        <w:rPr>
          <w:rFonts w:ascii="Garamond" w:hAnsi="Garamond"/>
          <w:sz w:val="24"/>
          <w:szCs w:val="24"/>
        </w:rPr>
        <w:t>every 15 minutes until all are d</w:t>
      </w:r>
      <w:r w:rsidR="007535DF">
        <w:rPr>
          <w:rFonts w:ascii="Garamond" w:hAnsi="Garamond"/>
          <w:sz w:val="24"/>
          <w:szCs w:val="24"/>
        </w:rPr>
        <w:t>ead, or up to 2 hours</w:t>
      </w:r>
      <w:r w:rsidR="007F78A1" w:rsidRPr="001B1218">
        <w:rPr>
          <w:rFonts w:ascii="Garamond" w:hAnsi="Garamond"/>
          <w:sz w:val="24"/>
          <w:szCs w:val="24"/>
        </w:rPr>
        <w:t xml:space="preserve">. It is not necessary to continue the bioassay beyond 2 hours; </w:t>
      </w:r>
    </w:p>
    <w:p w:rsidR="001B1218" w:rsidRPr="001B1218" w:rsidRDefault="001B1218" w:rsidP="001B1218">
      <w:pPr>
        <w:autoSpaceDE w:val="0"/>
        <w:autoSpaceDN w:val="0"/>
        <w:adjustRightInd w:val="0"/>
        <w:spacing w:after="0" w:line="240" w:lineRule="auto"/>
        <w:jc w:val="both"/>
        <w:rPr>
          <w:rFonts w:ascii="Garamond" w:hAnsi="Garamond"/>
          <w:sz w:val="24"/>
          <w:szCs w:val="24"/>
        </w:rPr>
      </w:pPr>
    </w:p>
    <w:p w:rsidR="007F78A1" w:rsidRDefault="001B1218" w:rsidP="001B1218">
      <w:pPr>
        <w:autoSpaceDE w:val="0"/>
        <w:autoSpaceDN w:val="0"/>
        <w:adjustRightInd w:val="0"/>
        <w:spacing w:after="0" w:line="240" w:lineRule="auto"/>
        <w:jc w:val="both"/>
        <w:rPr>
          <w:rFonts w:ascii="Garamond" w:hAnsi="Garamond"/>
          <w:sz w:val="24"/>
          <w:szCs w:val="24"/>
        </w:rPr>
      </w:pPr>
      <w:r>
        <w:rPr>
          <w:rFonts w:ascii="Garamond" w:hAnsi="Garamond"/>
          <w:sz w:val="24"/>
          <w:szCs w:val="24"/>
        </w:rPr>
        <w:t>6</w:t>
      </w:r>
      <w:r w:rsidR="007F78A1" w:rsidRPr="001B1218">
        <w:rPr>
          <w:rFonts w:ascii="Garamond" w:hAnsi="Garamond"/>
          <w:sz w:val="24"/>
          <w:szCs w:val="24"/>
        </w:rPr>
        <w:t>) Record these data o</w:t>
      </w:r>
      <w:r w:rsidR="007535DF">
        <w:rPr>
          <w:rFonts w:ascii="Garamond" w:hAnsi="Garamond"/>
          <w:sz w:val="24"/>
          <w:szCs w:val="24"/>
        </w:rPr>
        <w:t>n the reporting form (attached in the email</w:t>
      </w:r>
      <w:r w:rsidR="007F78A1" w:rsidRPr="001B1218">
        <w:rPr>
          <w:rFonts w:ascii="Garamond" w:hAnsi="Garamond"/>
          <w:sz w:val="24"/>
          <w:szCs w:val="24"/>
        </w:rPr>
        <w:t xml:space="preserve">); </w:t>
      </w:r>
    </w:p>
    <w:p w:rsidR="007337F0" w:rsidRDefault="007337F0" w:rsidP="001B1218">
      <w:pPr>
        <w:autoSpaceDE w:val="0"/>
        <w:autoSpaceDN w:val="0"/>
        <w:adjustRightInd w:val="0"/>
        <w:spacing w:after="0" w:line="240" w:lineRule="auto"/>
        <w:jc w:val="both"/>
        <w:rPr>
          <w:rFonts w:ascii="Garamond" w:hAnsi="Garamond"/>
          <w:sz w:val="24"/>
          <w:szCs w:val="24"/>
        </w:rPr>
      </w:pPr>
    </w:p>
    <w:p w:rsidR="007337F0" w:rsidRDefault="007337F0" w:rsidP="001B1218">
      <w:pPr>
        <w:autoSpaceDE w:val="0"/>
        <w:autoSpaceDN w:val="0"/>
        <w:adjustRightInd w:val="0"/>
        <w:spacing w:after="0" w:line="240" w:lineRule="auto"/>
        <w:jc w:val="both"/>
        <w:rPr>
          <w:rFonts w:ascii="Garamond" w:hAnsi="Garamond"/>
          <w:sz w:val="24"/>
          <w:szCs w:val="24"/>
        </w:rPr>
      </w:pPr>
      <w:r>
        <w:rPr>
          <w:rFonts w:ascii="Garamond" w:hAnsi="Garamond"/>
          <w:sz w:val="24"/>
          <w:szCs w:val="24"/>
        </w:rPr>
        <w:t>7)  The Excel bottle data spreadsheet will graph the total percent mortality (Y axis) against time (X axis) using a linear scale.</w:t>
      </w:r>
    </w:p>
    <w:p w:rsidR="001B1218" w:rsidRPr="001B1218" w:rsidRDefault="001B1218" w:rsidP="001B1218">
      <w:pPr>
        <w:autoSpaceDE w:val="0"/>
        <w:autoSpaceDN w:val="0"/>
        <w:adjustRightInd w:val="0"/>
        <w:spacing w:after="0" w:line="240" w:lineRule="auto"/>
        <w:jc w:val="both"/>
        <w:rPr>
          <w:rFonts w:ascii="Garamond" w:hAnsi="Garamond"/>
          <w:sz w:val="24"/>
          <w:szCs w:val="24"/>
        </w:rPr>
      </w:pPr>
    </w:p>
    <w:p w:rsidR="007F78A1" w:rsidRDefault="007337F0" w:rsidP="001B1218">
      <w:pPr>
        <w:autoSpaceDE w:val="0"/>
        <w:autoSpaceDN w:val="0"/>
        <w:adjustRightInd w:val="0"/>
        <w:spacing w:after="0" w:line="240" w:lineRule="auto"/>
        <w:jc w:val="both"/>
        <w:rPr>
          <w:rFonts w:ascii="Garamond" w:hAnsi="Garamond"/>
          <w:sz w:val="24"/>
          <w:szCs w:val="24"/>
        </w:rPr>
      </w:pPr>
      <w:r>
        <w:rPr>
          <w:rFonts w:ascii="Garamond" w:hAnsi="Garamond"/>
          <w:sz w:val="24"/>
          <w:szCs w:val="24"/>
        </w:rPr>
        <w:t>8</w:t>
      </w:r>
      <w:r w:rsidR="007F78A1" w:rsidRPr="001B1218">
        <w:rPr>
          <w:rFonts w:ascii="Garamond" w:hAnsi="Garamond"/>
          <w:sz w:val="24"/>
          <w:szCs w:val="24"/>
        </w:rPr>
        <w:t xml:space="preserve">) Remember that mortality at diagnostic time is the most critical value because it represents the threshold between susceptibility and resistance. Refer to Table 1 for diagnostic doses and times for commonly used insecticides; </w:t>
      </w:r>
    </w:p>
    <w:p w:rsidR="001B1218" w:rsidRPr="001B1218" w:rsidRDefault="001B1218" w:rsidP="001B1218">
      <w:pPr>
        <w:autoSpaceDE w:val="0"/>
        <w:autoSpaceDN w:val="0"/>
        <w:adjustRightInd w:val="0"/>
        <w:spacing w:after="0" w:line="240" w:lineRule="auto"/>
        <w:jc w:val="both"/>
        <w:rPr>
          <w:rFonts w:ascii="Garamond" w:hAnsi="Garamond"/>
          <w:sz w:val="24"/>
          <w:szCs w:val="24"/>
        </w:rPr>
      </w:pPr>
    </w:p>
    <w:p w:rsidR="007F78A1" w:rsidRDefault="007337F0" w:rsidP="001B1218">
      <w:pPr>
        <w:autoSpaceDE w:val="0"/>
        <w:autoSpaceDN w:val="0"/>
        <w:adjustRightInd w:val="0"/>
        <w:spacing w:after="0" w:line="240" w:lineRule="auto"/>
        <w:jc w:val="both"/>
        <w:rPr>
          <w:rFonts w:ascii="Garamond" w:hAnsi="Garamond"/>
          <w:sz w:val="24"/>
          <w:szCs w:val="24"/>
        </w:rPr>
      </w:pPr>
      <w:r>
        <w:rPr>
          <w:rFonts w:ascii="Garamond" w:hAnsi="Garamond"/>
          <w:sz w:val="24"/>
          <w:szCs w:val="24"/>
        </w:rPr>
        <w:t>9</w:t>
      </w:r>
      <w:r w:rsidR="007F78A1" w:rsidRPr="001B1218">
        <w:rPr>
          <w:rFonts w:ascii="Garamond" w:hAnsi="Garamond"/>
          <w:sz w:val="24"/>
          <w:szCs w:val="24"/>
        </w:rPr>
        <w:t xml:space="preserve">) Take into consideration mortality in the control bottle at 2 hours (end of the bioassay) when reporting the results of the bioassay (Section 4.5). Use Abbott’s formula to correct results if the mortality at 2 hours in the control bottle is between 3% and 10%. You may need to discard the bioassay results if mortality in the </w:t>
      </w:r>
      <w:r w:rsidR="007F78A1" w:rsidRPr="001B1218">
        <w:rPr>
          <w:rFonts w:ascii="Garamond" w:hAnsi="Garamond"/>
          <w:sz w:val="24"/>
          <w:szCs w:val="24"/>
        </w:rPr>
        <w:lastRenderedPageBreak/>
        <w:t>control bottle a</w:t>
      </w:r>
      <w:r w:rsidR="007535DF">
        <w:rPr>
          <w:rFonts w:ascii="Garamond" w:hAnsi="Garamond"/>
          <w:sz w:val="24"/>
          <w:szCs w:val="24"/>
        </w:rPr>
        <w:t xml:space="preserve">t the end of the test was &gt;10%.  The Excel </w:t>
      </w:r>
      <w:r>
        <w:rPr>
          <w:rFonts w:ascii="Garamond" w:hAnsi="Garamond"/>
          <w:sz w:val="24"/>
          <w:szCs w:val="24"/>
        </w:rPr>
        <w:t xml:space="preserve">bottle data </w:t>
      </w:r>
      <w:r w:rsidR="007535DF">
        <w:rPr>
          <w:rFonts w:ascii="Garamond" w:hAnsi="Garamond"/>
          <w:sz w:val="24"/>
          <w:szCs w:val="24"/>
        </w:rPr>
        <w:t>spreadsheet provided will automatically correct the results using Abbott’s formula.</w:t>
      </w:r>
    </w:p>
    <w:p w:rsidR="00512C2B" w:rsidRDefault="00512C2B" w:rsidP="001B1218">
      <w:pPr>
        <w:autoSpaceDE w:val="0"/>
        <w:autoSpaceDN w:val="0"/>
        <w:adjustRightInd w:val="0"/>
        <w:spacing w:after="0" w:line="240" w:lineRule="auto"/>
        <w:jc w:val="both"/>
        <w:rPr>
          <w:rFonts w:ascii="Garamond" w:hAnsi="Garamond"/>
          <w:sz w:val="24"/>
          <w:szCs w:val="24"/>
        </w:rPr>
      </w:pPr>
    </w:p>
    <w:p w:rsidR="007F78A1" w:rsidRDefault="007F78A1" w:rsidP="001B1218">
      <w:pPr>
        <w:autoSpaceDE w:val="0"/>
        <w:autoSpaceDN w:val="0"/>
        <w:adjustRightInd w:val="0"/>
        <w:spacing w:after="0" w:line="240" w:lineRule="auto"/>
        <w:jc w:val="both"/>
        <w:rPr>
          <w:rFonts w:ascii="Garamond" w:hAnsi="Garamond"/>
          <w:sz w:val="24"/>
          <w:szCs w:val="24"/>
        </w:rPr>
      </w:pPr>
      <w:r w:rsidRPr="001B1218">
        <w:rPr>
          <w:rFonts w:ascii="Garamond" w:hAnsi="Garamond"/>
          <w:sz w:val="24"/>
          <w:szCs w:val="24"/>
        </w:rPr>
        <w:t>Mosquitoes are considered dead if they can no longer stand. See Bo</w:t>
      </w:r>
      <w:r w:rsidR="00702231">
        <w:rPr>
          <w:rFonts w:ascii="Garamond" w:hAnsi="Garamond"/>
          <w:sz w:val="24"/>
          <w:szCs w:val="24"/>
        </w:rPr>
        <w:t>x 1</w:t>
      </w:r>
      <w:r w:rsidRPr="001B1218">
        <w:rPr>
          <w:rFonts w:ascii="Garamond" w:hAnsi="Garamond"/>
          <w:sz w:val="24"/>
          <w:szCs w:val="24"/>
        </w:rPr>
        <w:t xml:space="preserve"> for more information. </w:t>
      </w:r>
    </w:p>
    <w:p w:rsidR="001B1218" w:rsidRPr="001B1218" w:rsidRDefault="001B1218" w:rsidP="001B1218">
      <w:pPr>
        <w:autoSpaceDE w:val="0"/>
        <w:autoSpaceDN w:val="0"/>
        <w:adjustRightInd w:val="0"/>
        <w:spacing w:after="0" w:line="240" w:lineRule="auto"/>
        <w:jc w:val="both"/>
        <w:rPr>
          <w:rFonts w:ascii="Garamond" w:hAnsi="Garamond"/>
          <w:sz w:val="24"/>
          <w:szCs w:val="24"/>
        </w:rPr>
      </w:pPr>
    </w:p>
    <w:p w:rsidR="007F78A1" w:rsidRPr="001B1218" w:rsidRDefault="007F78A1" w:rsidP="001B1218">
      <w:pPr>
        <w:pStyle w:val="Default"/>
        <w:rPr>
          <w:rFonts w:ascii="Garamond" w:hAnsi="Garamond" w:cs="Garamond"/>
          <w:color w:val="auto"/>
        </w:rPr>
      </w:pPr>
      <w:r w:rsidRPr="001B1218">
        <w:rPr>
          <w:rFonts w:ascii="Garamond" w:hAnsi="Garamond" w:cs="Garamond"/>
          <w:color w:val="auto"/>
        </w:rPr>
        <w:t>A timer could be started for each bottle, but it is sufficient to start one timer when the first or last bottle receives its mosquitoes. It is, however, important to be consistent and follow the same timer start procedure each time. Mosquitoes alive at the diagnostic time (Table 1) represent mosquitoes resistant to the insecticide being tested. These mosquitoes may be transferred to a sleeved carton for further analysis (e.g., molecular or biochemical assays). Mosquitoes flying at the end of the bioassay in the control bottle may need to be killed to get an accurate count. Mosquitoes can be killed by freezing or stunning them.</w:t>
      </w:r>
    </w:p>
    <w:p w:rsidR="0008336D" w:rsidRPr="001B1218" w:rsidRDefault="0008336D" w:rsidP="001B1218">
      <w:pPr>
        <w:pStyle w:val="Default"/>
        <w:rPr>
          <w:rFonts w:ascii="Garamond" w:hAnsi="Garamond" w:cs="Garamond"/>
          <w:color w:val="auto"/>
        </w:rPr>
      </w:pPr>
    </w:p>
    <w:p w:rsidR="0008336D" w:rsidRDefault="00702231" w:rsidP="0008336D">
      <w:pPr>
        <w:pStyle w:val="Default"/>
      </w:pPr>
      <w:r>
        <w:rPr>
          <w:noProof/>
        </w:rPr>
        <mc:AlternateContent>
          <mc:Choice Requires="wps">
            <w:drawing>
              <wp:anchor distT="0" distB="0" distL="114300" distR="114300" simplePos="0" relativeHeight="251657215" behindDoc="1" locked="0" layoutInCell="1" allowOverlap="1">
                <wp:simplePos x="0" y="0"/>
                <wp:positionH relativeFrom="column">
                  <wp:posOffset>-95250</wp:posOffset>
                </wp:positionH>
                <wp:positionV relativeFrom="paragraph">
                  <wp:posOffset>85725</wp:posOffset>
                </wp:positionV>
                <wp:extent cx="6743700" cy="26003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6743700" cy="2600325"/>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A5ABE7" id="Rectangle 12" o:spid="_x0000_s1026" style="position:absolute;margin-left:-7.5pt;margin-top:6.75pt;width:531pt;height:204.7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" fillcolor="#e4edec [661]" strokecolor="#2f3138 [1604]" strokeweight="1pt"/>
            </w:pict>
          </mc:Fallback>
        </mc:AlternateContent>
      </w:r>
    </w:p>
    <w:p w:rsidR="0056758B" w:rsidRPr="00702231" w:rsidRDefault="00702231" w:rsidP="0056758B">
      <w:pPr>
        <w:pStyle w:val="Default"/>
        <w:jc w:val="both"/>
        <w:rPr>
          <w:rFonts w:cstheme="minorBidi"/>
          <w:b/>
          <w:bCs/>
          <w:color w:val="6C7C5F" w:themeColor="accent6" w:themeShade="BF"/>
          <w:sz w:val="28"/>
          <w:szCs w:val="28"/>
        </w:rPr>
      </w:pPr>
      <w:r w:rsidRPr="00702231">
        <w:rPr>
          <w:rFonts w:cstheme="minorBidi"/>
          <w:b/>
          <w:bCs/>
          <w:color w:val="6C7C5F" w:themeColor="accent6" w:themeShade="BF"/>
          <w:sz w:val="28"/>
          <w:szCs w:val="28"/>
        </w:rPr>
        <w:t>Box 1</w:t>
      </w:r>
      <w:r w:rsidR="0008336D" w:rsidRPr="00702231">
        <w:rPr>
          <w:rFonts w:cstheme="minorBidi"/>
          <w:b/>
          <w:bCs/>
          <w:color w:val="6C7C5F" w:themeColor="accent6" w:themeShade="BF"/>
          <w:sz w:val="28"/>
          <w:szCs w:val="28"/>
        </w:rPr>
        <w:t>: Notes about mortality criteria.</w:t>
      </w:r>
    </w:p>
    <w:p w:rsidR="0008336D" w:rsidRPr="0008336D" w:rsidRDefault="0008336D" w:rsidP="0056758B">
      <w:pPr>
        <w:pStyle w:val="Default"/>
        <w:jc w:val="both"/>
        <w:rPr>
          <w:rFonts w:cstheme="minorBidi"/>
          <w:b/>
          <w:bCs/>
          <w:color w:val="auto"/>
          <w:sz w:val="28"/>
          <w:szCs w:val="28"/>
        </w:rPr>
      </w:pPr>
      <w:r>
        <w:rPr>
          <w:rFonts w:cstheme="minorBidi"/>
          <w:b/>
          <w:bCs/>
          <w:color w:val="auto"/>
          <w:sz w:val="28"/>
          <w:szCs w:val="28"/>
        </w:rPr>
        <w:t xml:space="preserve"> </w:t>
      </w:r>
    </w:p>
    <w:p w:rsidR="0008336D" w:rsidRDefault="0008336D" w:rsidP="00702231">
      <w:pPr>
        <w:pStyle w:val="Default"/>
        <w:numPr>
          <w:ilvl w:val="0"/>
          <w:numId w:val="7"/>
        </w:numPr>
        <w:rPr>
          <w:rFonts w:ascii="Garamond" w:hAnsi="Garamond" w:cs="Garamond"/>
          <w:color w:val="auto"/>
          <w:sz w:val="23"/>
          <w:szCs w:val="23"/>
        </w:rPr>
      </w:pPr>
      <w:r>
        <w:rPr>
          <w:rFonts w:ascii="Garamond" w:hAnsi="Garamond" w:cs="Garamond"/>
          <w:color w:val="auto"/>
          <w:sz w:val="23"/>
          <w:szCs w:val="23"/>
        </w:rPr>
        <w:t xml:space="preserve">“Dead” mosquitoes are mosquitoes that cannot stand. </w:t>
      </w:r>
    </w:p>
    <w:p w:rsidR="0056758B" w:rsidRDefault="0056758B" w:rsidP="0056758B">
      <w:pPr>
        <w:pStyle w:val="Default"/>
        <w:ind w:left="720"/>
        <w:rPr>
          <w:rFonts w:ascii="Garamond" w:hAnsi="Garamond" w:cs="Garamond"/>
          <w:color w:val="auto"/>
          <w:sz w:val="23"/>
          <w:szCs w:val="23"/>
        </w:rPr>
      </w:pPr>
    </w:p>
    <w:p w:rsidR="0056758B" w:rsidRDefault="0008336D" w:rsidP="0056758B">
      <w:pPr>
        <w:pStyle w:val="Default"/>
        <w:numPr>
          <w:ilvl w:val="0"/>
          <w:numId w:val="7"/>
        </w:numPr>
        <w:rPr>
          <w:rFonts w:ascii="Garamond" w:hAnsi="Garamond" w:cs="Garamond"/>
          <w:color w:val="auto"/>
          <w:sz w:val="23"/>
          <w:szCs w:val="23"/>
        </w:rPr>
      </w:pPr>
      <w:r>
        <w:rPr>
          <w:rFonts w:ascii="Garamond" w:hAnsi="Garamond" w:cs="Garamond"/>
          <w:color w:val="auto"/>
          <w:sz w:val="23"/>
          <w:szCs w:val="23"/>
        </w:rPr>
        <w:t>It helps to gently rotate the bottle while taking the count.</w:t>
      </w:r>
    </w:p>
    <w:p w:rsidR="0008336D" w:rsidRDefault="0008336D" w:rsidP="0056758B">
      <w:pPr>
        <w:pStyle w:val="Default"/>
        <w:rPr>
          <w:rFonts w:ascii="Garamond" w:hAnsi="Garamond" w:cs="Garamond"/>
          <w:color w:val="auto"/>
          <w:sz w:val="23"/>
          <w:szCs w:val="23"/>
        </w:rPr>
      </w:pPr>
      <w:r>
        <w:rPr>
          <w:rFonts w:ascii="Garamond" w:hAnsi="Garamond" w:cs="Garamond"/>
          <w:color w:val="auto"/>
          <w:sz w:val="23"/>
          <w:szCs w:val="23"/>
        </w:rPr>
        <w:t xml:space="preserve"> </w:t>
      </w:r>
    </w:p>
    <w:p w:rsidR="0008336D" w:rsidRDefault="0008336D" w:rsidP="0056758B">
      <w:pPr>
        <w:pStyle w:val="Default"/>
        <w:numPr>
          <w:ilvl w:val="0"/>
          <w:numId w:val="7"/>
        </w:numPr>
        <w:rPr>
          <w:rFonts w:ascii="Garamond" w:hAnsi="Garamond" w:cs="Garamond"/>
          <w:color w:val="auto"/>
          <w:sz w:val="23"/>
          <w:szCs w:val="23"/>
        </w:rPr>
      </w:pPr>
      <w:r>
        <w:rPr>
          <w:rFonts w:ascii="Garamond" w:hAnsi="Garamond" w:cs="Garamond"/>
          <w:color w:val="auto"/>
          <w:sz w:val="23"/>
          <w:szCs w:val="23"/>
        </w:rPr>
        <w:t xml:space="preserve">Immobile mosquitoes that slide along the curvature of the bottle can be easily categorized as dead. </w:t>
      </w:r>
    </w:p>
    <w:p w:rsidR="0056758B" w:rsidRDefault="0056758B" w:rsidP="0056758B">
      <w:pPr>
        <w:pStyle w:val="Default"/>
        <w:rPr>
          <w:rFonts w:ascii="Garamond" w:hAnsi="Garamond" w:cs="Garamond"/>
          <w:color w:val="auto"/>
          <w:sz w:val="23"/>
          <w:szCs w:val="23"/>
        </w:rPr>
      </w:pPr>
    </w:p>
    <w:p w:rsidR="0008336D" w:rsidRDefault="0008336D" w:rsidP="0056758B">
      <w:pPr>
        <w:pStyle w:val="Default"/>
        <w:numPr>
          <w:ilvl w:val="0"/>
          <w:numId w:val="7"/>
        </w:numPr>
        <w:rPr>
          <w:rFonts w:ascii="Garamond" w:hAnsi="Garamond" w:cs="Garamond"/>
          <w:color w:val="auto"/>
          <w:sz w:val="23"/>
          <w:szCs w:val="23"/>
        </w:rPr>
      </w:pPr>
      <w:r>
        <w:rPr>
          <w:rFonts w:ascii="Garamond" w:hAnsi="Garamond" w:cs="Garamond"/>
          <w:color w:val="auto"/>
          <w:sz w:val="23"/>
          <w:szCs w:val="23"/>
        </w:rPr>
        <w:t xml:space="preserve">It is easier to count the number of dead mosquitoes in the first readings of the bioassay, and it is easier to count the number of live mosquitoes when few remain alive. </w:t>
      </w:r>
    </w:p>
    <w:p w:rsidR="0056758B" w:rsidRDefault="0056758B" w:rsidP="0056758B">
      <w:pPr>
        <w:pStyle w:val="Default"/>
        <w:rPr>
          <w:rFonts w:ascii="Garamond" w:hAnsi="Garamond" w:cs="Garamond"/>
          <w:color w:val="auto"/>
          <w:sz w:val="23"/>
          <w:szCs w:val="23"/>
        </w:rPr>
      </w:pPr>
    </w:p>
    <w:p w:rsidR="0008336D" w:rsidRDefault="0008336D" w:rsidP="0056758B">
      <w:pPr>
        <w:pStyle w:val="Default"/>
        <w:numPr>
          <w:ilvl w:val="0"/>
          <w:numId w:val="7"/>
        </w:numPr>
        <w:rPr>
          <w:rFonts w:ascii="Garamond" w:hAnsi="Garamond" w:cs="Garamond"/>
          <w:color w:val="auto"/>
          <w:sz w:val="23"/>
          <w:szCs w:val="23"/>
        </w:rPr>
      </w:pPr>
      <w:r>
        <w:rPr>
          <w:rFonts w:ascii="Garamond" w:hAnsi="Garamond" w:cs="Garamond"/>
          <w:color w:val="auto"/>
          <w:sz w:val="23"/>
          <w:szCs w:val="23"/>
        </w:rPr>
        <w:t xml:space="preserve">In the end, the percentage of dead mosquitoes at the diagnostic time (dead mosquitoes/total of mosquitoes in the assay) is the most important value in the graph. </w:t>
      </w:r>
    </w:p>
    <w:p w:rsidR="0008336D" w:rsidRDefault="0008336D" w:rsidP="0008336D">
      <w:pPr>
        <w:pStyle w:val="Default"/>
        <w:rPr>
          <w:rFonts w:ascii="Garamond" w:hAnsi="Garamond" w:cs="Garamond"/>
          <w:color w:val="auto"/>
          <w:sz w:val="23"/>
          <w:szCs w:val="23"/>
        </w:rPr>
      </w:pPr>
    </w:p>
    <w:p w:rsidR="00702231" w:rsidRDefault="00702231" w:rsidP="0008336D">
      <w:pPr>
        <w:autoSpaceDE w:val="0"/>
        <w:autoSpaceDN w:val="0"/>
        <w:adjustRightInd w:val="0"/>
        <w:spacing w:after="0" w:line="240" w:lineRule="auto"/>
        <w:rPr>
          <w:rFonts w:ascii="Century Gothic" w:hAnsi="Century Gothic" w:cs="Century Gothic"/>
          <w:color w:val="000000"/>
          <w:sz w:val="24"/>
          <w:szCs w:val="24"/>
        </w:rPr>
      </w:pPr>
    </w:p>
    <w:p w:rsidR="00702231" w:rsidRPr="0008336D" w:rsidRDefault="00702231" w:rsidP="0008336D">
      <w:pPr>
        <w:autoSpaceDE w:val="0"/>
        <w:autoSpaceDN w:val="0"/>
        <w:adjustRightInd w:val="0"/>
        <w:spacing w:after="0" w:line="240" w:lineRule="auto"/>
        <w:rPr>
          <w:rFonts w:ascii="Century Gothic" w:hAnsi="Century Gothic" w:cs="Century Gothic"/>
          <w:color w:val="000000"/>
          <w:sz w:val="24"/>
          <w:szCs w:val="24"/>
        </w:rPr>
      </w:pPr>
    </w:p>
    <w:p w:rsidR="0008336D" w:rsidRDefault="0008336D" w:rsidP="00702231">
      <w:pPr>
        <w:autoSpaceDE w:val="0"/>
        <w:autoSpaceDN w:val="0"/>
        <w:adjustRightInd w:val="0"/>
        <w:spacing w:after="0" w:line="240" w:lineRule="auto"/>
        <w:rPr>
          <w:rFonts w:ascii="Century Gothic" w:hAnsi="Century Gothic"/>
          <w:b/>
          <w:bCs/>
          <w:color w:val="92A185" w:themeColor="accent6"/>
          <w:sz w:val="24"/>
          <w:szCs w:val="24"/>
        </w:rPr>
      </w:pPr>
      <w:r w:rsidRPr="00702231">
        <w:rPr>
          <w:rFonts w:ascii="Century Gothic" w:hAnsi="Century Gothic"/>
          <w:b/>
          <w:bCs/>
          <w:color w:val="92A185" w:themeColor="accent6"/>
          <w:sz w:val="24"/>
          <w:szCs w:val="24"/>
        </w:rPr>
        <w:t xml:space="preserve">4.3. Handling of coated bottles </w:t>
      </w:r>
    </w:p>
    <w:p w:rsidR="00702231" w:rsidRPr="00702231" w:rsidRDefault="00702231" w:rsidP="00702231">
      <w:pPr>
        <w:autoSpaceDE w:val="0"/>
        <w:autoSpaceDN w:val="0"/>
        <w:adjustRightInd w:val="0"/>
        <w:spacing w:after="0" w:line="240" w:lineRule="auto"/>
        <w:rPr>
          <w:rFonts w:ascii="Century Gothic" w:hAnsi="Century Gothic"/>
          <w:color w:val="92A185" w:themeColor="accent6"/>
          <w:sz w:val="24"/>
          <w:szCs w:val="24"/>
        </w:rPr>
      </w:pPr>
    </w:p>
    <w:p w:rsidR="0008336D" w:rsidRPr="00702231" w:rsidRDefault="0008336D" w:rsidP="00702231">
      <w:pPr>
        <w:autoSpaceDE w:val="0"/>
        <w:autoSpaceDN w:val="0"/>
        <w:adjustRightInd w:val="0"/>
        <w:spacing w:after="0" w:line="240" w:lineRule="auto"/>
        <w:jc w:val="both"/>
        <w:rPr>
          <w:rFonts w:ascii="Garamond" w:hAnsi="Garamond" w:cs="Garamond"/>
          <w:bCs/>
          <w:sz w:val="24"/>
          <w:szCs w:val="24"/>
        </w:rPr>
      </w:pPr>
      <w:r w:rsidRPr="00702231">
        <w:rPr>
          <w:rFonts w:ascii="Garamond" w:hAnsi="Garamond" w:cs="Garamond"/>
          <w:sz w:val="24"/>
          <w:szCs w:val="24"/>
        </w:rPr>
        <w:t xml:space="preserve">More than one batch of mosquitoes can be run in a single bottle in one day. However, the main limiting factor for reusing previously coated bottles is moisture build-up with successive introductions of mosquitoes, especially in humid conditions. If the bottles are to be reused on the same day, it is necessary to leave some time (2–4 hours, longer if in a humid climate) between the bioassays for the bottles to dry out (with caps off) before introducing more mosquitoes. If the bottles are to be reused the following day, bottles with caps off can be left to dry overnight protected from direct light. </w:t>
      </w:r>
      <w:r w:rsidR="00702231" w:rsidRPr="00702231">
        <w:rPr>
          <w:rFonts w:ascii="Garamond" w:hAnsi="Garamond" w:cs="Garamond"/>
          <w:bCs/>
          <w:sz w:val="24"/>
          <w:szCs w:val="24"/>
        </w:rPr>
        <w:t>Do not</w:t>
      </w:r>
      <w:r w:rsidRPr="00702231">
        <w:rPr>
          <w:rFonts w:ascii="Garamond" w:hAnsi="Garamond" w:cs="Garamond"/>
          <w:bCs/>
          <w:sz w:val="24"/>
          <w:szCs w:val="24"/>
        </w:rPr>
        <w:t xml:space="preserve"> dry bottles in the oven after they have been coated with insecticide. </w:t>
      </w:r>
    </w:p>
    <w:p w:rsidR="00702231" w:rsidRPr="00702231" w:rsidRDefault="00702231" w:rsidP="00702231">
      <w:pPr>
        <w:autoSpaceDE w:val="0"/>
        <w:autoSpaceDN w:val="0"/>
        <w:adjustRightInd w:val="0"/>
        <w:spacing w:after="0" w:line="240" w:lineRule="auto"/>
        <w:jc w:val="both"/>
        <w:rPr>
          <w:rFonts w:ascii="Garamond" w:hAnsi="Garamond" w:cs="Garamond"/>
          <w:sz w:val="24"/>
          <w:szCs w:val="24"/>
        </w:rPr>
      </w:pPr>
    </w:p>
    <w:p w:rsidR="0008336D" w:rsidRDefault="0008336D" w:rsidP="00702231">
      <w:pPr>
        <w:pStyle w:val="Default"/>
        <w:rPr>
          <w:rFonts w:ascii="Garamond" w:hAnsi="Garamond" w:cs="Garamond"/>
          <w:color w:val="auto"/>
        </w:rPr>
      </w:pPr>
      <w:r w:rsidRPr="00702231">
        <w:rPr>
          <w:rFonts w:ascii="Garamond" w:hAnsi="Garamond" w:cs="Garamond"/>
          <w:color w:val="auto"/>
        </w:rPr>
        <w:t xml:space="preserve">If the bottles are not to be used soon after coating them with insecticide, it is recommended to let them dry with their caps off. When the bottles are dry, they should be stored in a dark place (such as a drawer) with their caps off. Depending on the insecticide used, bottles </w:t>
      </w:r>
      <w:r w:rsidR="007535DF">
        <w:rPr>
          <w:rFonts w:ascii="Garamond" w:hAnsi="Garamond" w:cs="Garamond"/>
          <w:color w:val="auto"/>
        </w:rPr>
        <w:t>can be stored from 12 hours to 4</w:t>
      </w:r>
      <w:r w:rsidRPr="00702231">
        <w:rPr>
          <w:rFonts w:ascii="Garamond" w:hAnsi="Garamond" w:cs="Garamond"/>
          <w:color w:val="auto"/>
        </w:rPr>
        <w:t xml:space="preserve"> days in this manner. The length of time bottles can be stored depends on </w:t>
      </w:r>
      <w:r w:rsidR="00702231">
        <w:rPr>
          <w:rFonts w:ascii="Garamond" w:hAnsi="Garamond" w:cs="Garamond"/>
          <w:color w:val="auto"/>
        </w:rPr>
        <w:t xml:space="preserve">the insecticide.  </w:t>
      </w:r>
      <w:r w:rsidRPr="00702231">
        <w:rPr>
          <w:rFonts w:ascii="Garamond" w:hAnsi="Garamond" w:cs="Garamond"/>
          <w:color w:val="auto"/>
        </w:rPr>
        <w:t xml:space="preserve">Naled-coated bottles do not store well, so they should be used immediately after being prepared. Organophosphate-coated bottles should be used within 24 hours. </w:t>
      </w:r>
      <w:r w:rsidR="007535DF">
        <w:rPr>
          <w:rFonts w:ascii="Garamond" w:hAnsi="Garamond" w:cs="Garamond"/>
          <w:color w:val="auto"/>
        </w:rPr>
        <w:t xml:space="preserve">Pyrethroid-coated bottles should be used within 2-4 days.  </w:t>
      </w:r>
      <w:r w:rsidRPr="00702231">
        <w:rPr>
          <w:rFonts w:ascii="Garamond" w:hAnsi="Garamond" w:cs="Garamond"/>
          <w:color w:val="auto"/>
        </w:rPr>
        <w:t>To check if a stored bottle is still adequate, it is possible to put some mosquitoes known to be susceptible in the bottle. If they die in the expected time frame (within the diagnostic time), the bottle can still be used. Bottles can be coated in a central laboratory and shipped for use in the field. During transport, bottles should have their caps on.</w:t>
      </w:r>
    </w:p>
    <w:p w:rsidR="00702231" w:rsidRDefault="00702231" w:rsidP="00702231">
      <w:pPr>
        <w:autoSpaceDE w:val="0"/>
        <w:autoSpaceDN w:val="0"/>
        <w:adjustRightInd w:val="0"/>
        <w:spacing w:after="0" w:line="240" w:lineRule="auto"/>
        <w:jc w:val="both"/>
        <w:rPr>
          <w:rFonts w:ascii="Century Gothic" w:hAnsi="Century Gothic"/>
          <w:b/>
          <w:bCs/>
          <w:color w:val="92A185" w:themeColor="accent6"/>
          <w:sz w:val="24"/>
          <w:szCs w:val="24"/>
        </w:rPr>
      </w:pPr>
    </w:p>
    <w:p w:rsidR="00512C2B" w:rsidRDefault="00512C2B" w:rsidP="00702231">
      <w:pPr>
        <w:autoSpaceDE w:val="0"/>
        <w:autoSpaceDN w:val="0"/>
        <w:adjustRightInd w:val="0"/>
        <w:spacing w:after="0" w:line="240" w:lineRule="auto"/>
        <w:jc w:val="both"/>
        <w:rPr>
          <w:rFonts w:ascii="Century Gothic" w:hAnsi="Century Gothic"/>
          <w:b/>
          <w:bCs/>
          <w:color w:val="92A185" w:themeColor="accent6"/>
          <w:sz w:val="24"/>
          <w:szCs w:val="24"/>
        </w:rPr>
      </w:pPr>
    </w:p>
    <w:p w:rsidR="0008336D" w:rsidRPr="00702231" w:rsidRDefault="0008336D" w:rsidP="00702231">
      <w:pPr>
        <w:autoSpaceDE w:val="0"/>
        <w:autoSpaceDN w:val="0"/>
        <w:adjustRightInd w:val="0"/>
        <w:spacing w:after="0" w:line="240" w:lineRule="auto"/>
        <w:jc w:val="both"/>
        <w:rPr>
          <w:rFonts w:ascii="Century Gothic" w:hAnsi="Century Gothic"/>
          <w:b/>
          <w:bCs/>
          <w:color w:val="92A185" w:themeColor="accent6"/>
          <w:sz w:val="24"/>
          <w:szCs w:val="24"/>
        </w:rPr>
      </w:pPr>
      <w:r w:rsidRPr="00702231">
        <w:rPr>
          <w:rFonts w:ascii="Century Gothic" w:hAnsi="Century Gothic"/>
          <w:b/>
          <w:bCs/>
          <w:color w:val="92A185" w:themeColor="accent6"/>
          <w:sz w:val="24"/>
          <w:szCs w:val="24"/>
        </w:rPr>
        <w:t>4.4. Identification of mechanisms of resistance</w:t>
      </w:r>
    </w:p>
    <w:p w:rsidR="00702231" w:rsidRPr="00702231" w:rsidRDefault="00702231" w:rsidP="00702231">
      <w:pPr>
        <w:autoSpaceDE w:val="0"/>
        <w:autoSpaceDN w:val="0"/>
        <w:adjustRightInd w:val="0"/>
        <w:spacing w:after="0" w:line="240" w:lineRule="auto"/>
        <w:jc w:val="both"/>
        <w:rPr>
          <w:rFonts w:ascii="Century Gothic" w:hAnsi="Century Gothic"/>
          <w:sz w:val="24"/>
          <w:szCs w:val="24"/>
        </w:rPr>
      </w:pPr>
    </w:p>
    <w:p w:rsidR="0008336D" w:rsidRPr="00702231" w:rsidRDefault="0008336D" w:rsidP="00702231">
      <w:pPr>
        <w:pStyle w:val="Default"/>
        <w:rPr>
          <w:rFonts w:ascii="Garamond" w:hAnsi="Garamond" w:cs="Garamond"/>
          <w:color w:val="auto"/>
        </w:rPr>
      </w:pPr>
      <w:r w:rsidRPr="00702231">
        <w:rPr>
          <w:rFonts w:ascii="Garamond" w:hAnsi="Garamond" w:cs="Garamond"/>
          <w:color w:val="auto"/>
        </w:rPr>
        <w:t>Resistance is assumed to be present if a portion of the test population survives the diagnostic dose at the diagnostic time. Mosquitoes that survive the bioassay can be used for testing to identify mechanisms of resistance using enzymatic assays or molecular methods. Surviving mosquitoes may be easily released from bottles into a sleeved holding carton to separate them from those killed during the CDC bottle bioassay. Mosquitoes that will be further tested using enzymatic assays should be stored frozen. Mosquitoes to be used for molecular studies can be frozen, dried, or stored in 70% (or higher) ethanol.</w:t>
      </w:r>
    </w:p>
    <w:p w:rsidR="0008336D" w:rsidRPr="00702231" w:rsidRDefault="0008336D" w:rsidP="00702231">
      <w:pPr>
        <w:pStyle w:val="Default"/>
        <w:rPr>
          <w:color w:val="92A185" w:themeColor="accent6"/>
        </w:rPr>
      </w:pPr>
    </w:p>
    <w:p w:rsidR="0008336D" w:rsidRPr="00702231" w:rsidRDefault="0008336D" w:rsidP="00702231">
      <w:pPr>
        <w:pStyle w:val="Pa9"/>
        <w:spacing w:line="240" w:lineRule="auto"/>
        <w:rPr>
          <w:b/>
          <w:bCs/>
          <w:color w:val="92A185" w:themeColor="accent6"/>
        </w:rPr>
      </w:pPr>
      <w:r w:rsidRPr="00702231">
        <w:rPr>
          <w:b/>
          <w:bCs/>
          <w:color w:val="92A185" w:themeColor="accent6"/>
        </w:rPr>
        <w:t xml:space="preserve">4.5. Validity of the data </w:t>
      </w:r>
    </w:p>
    <w:p w:rsidR="00702231" w:rsidRPr="00702231" w:rsidRDefault="00702231" w:rsidP="00702231">
      <w:pPr>
        <w:pStyle w:val="Default"/>
      </w:pPr>
    </w:p>
    <w:p w:rsidR="0008336D" w:rsidRPr="00702231" w:rsidRDefault="0008336D" w:rsidP="00702231">
      <w:pPr>
        <w:pStyle w:val="Default"/>
        <w:rPr>
          <w:rFonts w:ascii="Garamond" w:hAnsi="Garamond" w:cs="Garamond"/>
        </w:rPr>
      </w:pPr>
      <w:r w:rsidRPr="00702231">
        <w:rPr>
          <w:rFonts w:ascii="Garamond" w:hAnsi="Garamond" w:cs="Garamond"/>
        </w:rPr>
        <w:t>With practice, the mortality of mosquitoes in the control bottle at 2 hours (end of the bioassay) should be zero. In most cases, mortality of up to 3% in the control bottle may be ignored. In cases where mortality is 3%–10% in the control bottle at 2 hours, it is possible to either use Abbott’s formula to</w:t>
      </w:r>
      <w:r w:rsidR="0093198B">
        <w:rPr>
          <w:rFonts w:ascii="Garamond" w:hAnsi="Garamond" w:cs="Garamond"/>
        </w:rPr>
        <w:t xml:space="preserve"> correct the findings (see Box 2</w:t>
      </w:r>
      <w:r w:rsidRPr="00702231">
        <w:rPr>
          <w:rFonts w:ascii="Garamond" w:hAnsi="Garamond" w:cs="Garamond"/>
        </w:rPr>
        <w:t>), or discard results and repeat the bioassay. If mortality in the control bottle is greater than 10% at the end of the bioassay, the results of this particular run should be discarded, and the CDC bottle bioassay should be repeated. If a particular mosquito collection is essentially irreplaceable and the bioassay cannot be repeated, Abbott’s formula can be considered even when control mortality is &gt;10%.</w:t>
      </w:r>
    </w:p>
    <w:p w:rsidR="0008336D" w:rsidRDefault="0008336D" w:rsidP="00702231">
      <w:pPr>
        <w:pStyle w:val="Default"/>
      </w:pPr>
    </w:p>
    <w:p w:rsidR="00702231" w:rsidRDefault="00702231" w:rsidP="00702231">
      <w:pPr>
        <w:pStyle w:val="Default"/>
      </w:pPr>
    </w:p>
    <w:p w:rsidR="00702231" w:rsidRPr="00702231" w:rsidRDefault="00702231" w:rsidP="00702231">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noProof/>
          <w:color w:val="000000"/>
          <w:sz w:val="24"/>
          <w:szCs w:val="24"/>
        </w:rPr>
        <mc:AlternateContent>
          <mc:Choice Requires="wps">
            <w:drawing>
              <wp:anchor distT="0" distB="0" distL="114300" distR="114300" simplePos="0" relativeHeight="251656190" behindDoc="1" locked="0" layoutInCell="1" allowOverlap="1">
                <wp:simplePos x="0" y="0"/>
                <wp:positionH relativeFrom="column">
                  <wp:posOffset>-133350</wp:posOffset>
                </wp:positionH>
                <wp:positionV relativeFrom="paragraph">
                  <wp:posOffset>61595</wp:posOffset>
                </wp:positionV>
                <wp:extent cx="6591300" cy="21717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591300" cy="21717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C76D47" id="Rectangle 13" o:spid="_x0000_s1026" style="position:absolute;margin-left:-10.5pt;margin-top:4.85pt;width:519pt;height:171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" fillcolor="#c9dcda [1301]" strokecolor="#2f3138 [1604]" strokeweight="1pt"/>
            </w:pict>
          </mc:Fallback>
        </mc:AlternateContent>
      </w:r>
    </w:p>
    <w:p w:rsidR="00702231" w:rsidRPr="0093198B" w:rsidRDefault="0093198B" w:rsidP="00702231">
      <w:pPr>
        <w:autoSpaceDE w:val="0"/>
        <w:autoSpaceDN w:val="0"/>
        <w:adjustRightInd w:val="0"/>
        <w:spacing w:after="0" w:line="240" w:lineRule="auto"/>
        <w:jc w:val="both"/>
        <w:rPr>
          <w:rFonts w:ascii="Century Gothic" w:hAnsi="Century Gothic"/>
          <w:b/>
          <w:bCs/>
          <w:color w:val="6C7C5F" w:themeColor="accent6" w:themeShade="BF"/>
          <w:sz w:val="28"/>
          <w:szCs w:val="28"/>
        </w:rPr>
      </w:pPr>
      <w:r>
        <w:rPr>
          <w:rFonts w:ascii="Century Gothic" w:hAnsi="Century Gothic"/>
          <w:b/>
          <w:bCs/>
          <w:color w:val="6C7C5F" w:themeColor="accent6" w:themeShade="BF"/>
          <w:sz w:val="28"/>
          <w:szCs w:val="28"/>
        </w:rPr>
        <w:t>Box 2</w:t>
      </w:r>
      <w:r w:rsidR="00702231" w:rsidRPr="0093198B">
        <w:rPr>
          <w:rFonts w:ascii="Century Gothic" w:hAnsi="Century Gothic"/>
          <w:b/>
          <w:bCs/>
          <w:color w:val="6C7C5F" w:themeColor="accent6" w:themeShade="BF"/>
          <w:sz w:val="28"/>
          <w:szCs w:val="28"/>
        </w:rPr>
        <w:t xml:space="preserve">: Abbott’s formula. </w:t>
      </w:r>
    </w:p>
    <w:p w:rsidR="00702231" w:rsidRPr="00702231" w:rsidRDefault="00702231" w:rsidP="00702231">
      <w:pPr>
        <w:autoSpaceDE w:val="0"/>
        <w:autoSpaceDN w:val="0"/>
        <w:adjustRightInd w:val="0"/>
        <w:spacing w:after="0" w:line="240" w:lineRule="auto"/>
        <w:jc w:val="both"/>
        <w:rPr>
          <w:rFonts w:ascii="Century Gothic" w:hAnsi="Century Gothic"/>
          <w:sz w:val="28"/>
          <w:szCs w:val="28"/>
        </w:rPr>
      </w:pPr>
    </w:p>
    <w:p w:rsidR="00702231" w:rsidRDefault="00702231" w:rsidP="00702231">
      <w:pPr>
        <w:autoSpaceDE w:val="0"/>
        <w:autoSpaceDN w:val="0"/>
        <w:adjustRightInd w:val="0"/>
        <w:spacing w:after="0" w:line="240" w:lineRule="auto"/>
        <w:rPr>
          <w:rFonts w:ascii="Garamond" w:hAnsi="Garamond" w:cs="Garamond"/>
          <w:sz w:val="24"/>
          <w:szCs w:val="24"/>
        </w:rPr>
      </w:pPr>
      <w:r w:rsidRPr="00702231">
        <w:rPr>
          <w:rFonts w:ascii="Garamond" w:hAnsi="Garamond" w:cs="Garamond"/>
          <w:sz w:val="24"/>
          <w:szCs w:val="24"/>
        </w:rPr>
        <w:t xml:space="preserve">Corrected mortality = </w:t>
      </w:r>
      <w:r w:rsidRPr="00702231">
        <w:rPr>
          <w:rFonts w:ascii="Garamond" w:hAnsi="Garamond" w:cs="Garamond"/>
          <w:sz w:val="24"/>
          <w:szCs w:val="24"/>
          <w:u w:val="single"/>
        </w:rPr>
        <w:t xml:space="preserve">(mortality in test bottles [%] - mortality in control bottle [%]) </w:t>
      </w:r>
      <w:r w:rsidRPr="00702231">
        <w:rPr>
          <w:rFonts w:ascii="Garamond" w:hAnsi="Garamond" w:cs="Garamond"/>
          <w:sz w:val="24"/>
          <w:szCs w:val="24"/>
        </w:rPr>
        <w:t xml:space="preserve">x 100 </w:t>
      </w:r>
    </w:p>
    <w:p w:rsidR="00702231" w:rsidRDefault="00702231" w:rsidP="00702231">
      <w:pPr>
        <w:autoSpaceDE w:val="0"/>
        <w:autoSpaceDN w:val="0"/>
        <w:adjustRightInd w:val="0"/>
        <w:spacing w:after="0" w:line="240" w:lineRule="auto"/>
        <w:ind w:left="2880" w:firstLine="720"/>
        <w:rPr>
          <w:rFonts w:ascii="Garamond" w:hAnsi="Garamond" w:cs="Garamond"/>
          <w:sz w:val="24"/>
          <w:szCs w:val="24"/>
        </w:rPr>
      </w:pPr>
      <w:r w:rsidRPr="00702231">
        <w:rPr>
          <w:rFonts w:ascii="Garamond" w:hAnsi="Garamond" w:cs="Garamond"/>
          <w:sz w:val="24"/>
          <w:szCs w:val="24"/>
        </w:rPr>
        <w:t xml:space="preserve">(100% - mortality in control bottle [%]) </w:t>
      </w:r>
    </w:p>
    <w:p w:rsidR="00702231" w:rsidRPr="00702231" w:rsidRDefault="00702231" w:rsidP="00702231">
      <w:pPr>
        <w:autoSpaceDE w:val="0"/>
        <w:autoSpaceDN w:val="0"/>
        <w:adjustRightInd w:val="0"/>
        <w:spacing w:after="0" w:line="240" w:lineRule="auto"/>
        <w:rPr>
          <w:rFonts w:ascii="Garamond" w:hAnsi="Garamond" w:cs="Garamond"/>
          <w:sz w:val="24"/>
          <w:szCs w:val="24"/>
        </w:rPr>
      </w:pPr>
    </w:p>
    <w:p w:rsidR="00702231" w:rsidRDefault="00702231" w:rsidP="00702231">
      <w:pPr>
        <w:autoSpaceDE w:val="0"/>
        <w:autoSpaceDN w:val="0"/>
        <w:adjustRightInd w:val="0"/>
        <w:spacing w:after="0" w:line="240" w:lineRule="auto"/>
        <w:jc w:val="both"/>
        <w:rPr>
          <w:rFonts w:ascii="Garamond" w:hAnsi="Garamond" w:cs="Garamond"/>
          <w:sz w:val="24"/>
          <w:szCs w:val="24"/>
        </w:rPr>
      </w:pPr>
      <w:r w:rsidRPr="00702231">
        <w:rPr>
          <w:rFonts w:ascii="Garamond" w:hAnsi="Garamond" w:cs="Garamond"/>
          <w:sz w:val="24"/>
          <w:szCs w:val="24"/>
        </w:rPr>
        <w:t xml:space="preserve">For example: If mortality in test bottles is 50% at diagnostic time and control mortality is 10% at 2 hours, the corrected mortality is [(50%-10%) / (100%-10%)] x 100 = 44.4% </w:t>
      </w:r>
    </w:p>
    <w:p w:rsidR="00702231" w:rsidRPr="00702231" w:rsidRDefault="00702231" w:rsidP="00702231">
      <w:pPr>
        <w:autoSpaceDE w:val="0"/>
        <w:autoSpaceDN w:val="0"/>
        <w:adjustRightInd w:val="0"/>
        <w:spacing w:after="0" w:line="240" w:lineRule="auto"/>
        <w:jc w:val="both"/>
        <w:rPr>
          <w:rFonts w:ascii="Garamond" w:hAnsi="Garamond" w:cs="Garamond"/>
          <w:sz w:val="24"/>
          <w:szCs w:val="24"/>
        </w:rPr>
      </w:pPr>
    </w:p>
    <w:p w:rsidR="00702231" w:rsidRDefault="00702231" w:rsidP="00702231">
      <w:pPr>
        <w:pStyle w:val="Default"/>
        <w:rPr>
          <w:rFonts w:ascii="Garamond" w:hAnsi="Garamond" w:cs="Garamond"/>
          <w:color w:val="auto"/>
        </w:rPr>
      </w:pPr>
      <w:r w:rsidRPr="00702231">
        <w:rPr>
          <w:rFonts w:ascii="Garamond" w:hAnsi="Garamond" w:cs="Garamond"/>
          <w:b/>
          <w:color w:val="auto"/>
          <w:u w:val="double"/>
        </w:rPr>
        <w:t>Note:</w:t>
      </w:r>
      <w:r w:rsidRPr="00702231">
        <w:rPr>
          <w:rFonts w:ascii="Garamond" w:hAnsi="Garamond" w:cs="Garamond"/>
          <w:color w:val="auto"/>
        </w:rPr>
        <w:t xml:space="preserve"> In cases of 100% mortality in test bottles, Abbottt’s formula has no effect. For example: </w:t>
      </w:r>
    </w:p>
    <w:p w:rsidR="00702231" w:rsidRPr="00702231" w:rsidRDefault="00702231" w:rsidP="00702231">
      <w:pPr>
        <w:pStyle w:val="Default"/>
        <w:rPr>
          <w:rFonts w:ascii="Garamond" w:hAnsi="Garamond" w:cs="Garamond"/>
          <w:color w:val="auto"/>
        </w:rPr>
      </w:pPr>
      <w:r w:rsidRPr="00702231">
        <w:rPr>
          <w:rFonts w:ascii="Garamond" w:hAnsi="Garamond" w:cs="Garamond"/>
          <w:color w:val="auto"/>
        </w:rPr>
        <w:t>[(100% - 10%) / (100% - 10%)] x 100 = 100% corrected mortality</w:t>
      </w:r>
    </w:p>
    <w:p w:rsidR="00702231" w:rsidRDefault="00702231" w:rsidP="00702231">
      <w:pPr>
        <w:pStyle w:val="Default"/>
        <w:rPr>
          <w:rFonts w:ascii="Garamond" w:hAnsi="Garamond" w:cs="Garamond"/>
          <w:color w:val="auto"/>
          <w:sz w:val="23"/>
          <w:szCs w:val="23"/>
        </w:rPr>
      </w:pPr>
    </w:p>
    <w:p w:rsidR="00702231" w:rsidRPr="00702231" w:rsidRDefault="00702231" w:rsidP="00702231">
      <w:pPr>
        <w:pStyle w:val="Default"/>
      </w:pPr>
    </w:p>
    <w:p w:rsidR="0093198B" w:rsidRDefault="0093198B" w:rsidP="00702231">
      <w:pPr>
        <w:pStyle w:val="Default"/>
        <w:rPr>
          <w:rFonts w:cstheme="minorBidi"/>
          <w:b/>
          <w:bCs/>
          <w:color w:val="92A185" w:themeColor="accent6"/>
        </w:rPr>
      </w:pPr>
    </w:p>
    <w:p w:rsidR="0093198B" w:rsidRDefault="0093198B" w:rsidP="00702231">
      <w:pPr>
        <w:pStyle w:val="Default"/>
        <w:rPr>
          <w:rFonts w:cstheme="minorBidi"/>
          <w:b/>
          <w:bCs/>
          <w:color w:val="92A185" w:themeColor="accent6"/>
        </w:rPr>
      </w:pPr>
    </w:p>
    <w:p w:rsidR="0008336D" w:rsidRPr="00702231" w:rsidRDefault="0008336D" w:rsidP="00702231">
      <w:pPr>
        <w:pStyle w:val="Default"/>
        <w:rPr>
          <w:rFonts w:cstheme="minorBidi"/>
          <w:b/>
          <w:bCs/>
          <w:color w:val="92A185" w:themeColor="accent6"/>
        </w:rPr>
      </w:pPr>
      <w:r w:rsidRPr="00702231">
        <w:rPr>
          <w:rFonts w:cstheme="minorBidi"/>
          <w:b/>
          <w:bCs/>
          <w:color w:val="92A185" w:themeColor="accent6"/>
        </w:rPr>
        <w:t xml:space="preserve">4.6. Interpretation of results </w:t>
      </w:r>
    </w:p>
    <w:p w:rsidR="00702231" w:rsidRPr="00702231" w:rsidRDefault="00702231" w:rsidP="00702231">
      <w:pPr>
        <w:pStyle w:val="Default"/>
        <w:rPr>
          <w:rFonts w:cstheme="minorBidi"/>
          <w:color w:val="auto"/>
        </w:rPr>
      </w:pPr>
    </w:p>
    <w:p w:rsidR="0093198B" w:rsidRDefault="0008336D" w:rsidP="00702231">
      <w:pPr>
        <w:pStyle w:val="Default"/>
        <w:rPr>
          <w:rFonts w:ascii="Garamond" w:hAnsi="Garamond" w:cstheme="minorBidi"/>
          <w:color w:val="auto"/>
        </w:rPr>
      </w:pPr>
      <w:r w:rsidRPr="00702231">
        <w:rPr>
          <w:rFonts w:ascii="Garamond" w:hAnsi="Garamond" w:cs="Garamond"/>
        </w:rPr>
        <w:t>As with other resistance bioassays, data from the CDC bottle bioassay using test mosquitoes need to be compared with data from susceptible mosquitoes or from a population that will serve as baseline.</w:t>
      </w:r>
      <w:r w:rsidR="00C0332E" w:rsidRPr="00702231">
        <w:t xml:space="preserve"> </w:t>
      </w:r>
      <w:r w:rsidR="00C0332E" w:rsidRPr="00702231">
        <w:rPr>
          <w:rFonts w:ascii="Garamond" w:hAnsi="Garamond"/>
        </w:rPr>
        <w:t>Alternatively, if no baseline or susceptible data exists you can compare previous data generated from the same site over time or within a geographic area to spot trends both temporally and geographically.</w:t>
      </w:r>
      <w:r w:rsidR="00C0332E" w:rsidRPr="00702231">
        <w:t xml:space="preserve">  </w:t>
      </w:r>
      <w:r w:rsidR="00C0332E" w:rsidRPr="00702231">
        <w:rPr>
          <w:rFonts w:ascii="Garamond" w:hAnsi="Garamond" w:cstheme="minorBidi"/>
          <w:color w:val="auto"/>
        </w:rPr>
        <w:t>Calibration entails determining the diagnostic dose and the diagnostic time for a particular species in a given region, which correspond to the dose and time at which all of susc</w:t>
      </w:r>
      <w:r w:rsidR="0093198B">
        <w:rPr>
          <w:rFonts w:ascii="Garamond" w:hAnsi="Garamond" w:cstheme="minorBidi"/>
          <w:color w:val="auto"/>
        </w:rPr>
        <w:t>eptible mosquitoes die (Figure 7</w:t>
      </w:r>
      <w:r w:rsidR="00C0332E" w:rsidRPr="00702231">
        <w:rPr>
          <w:rFonts w:ascii="Garamond" w:hAnsi="Garamond" w:cstheme="minorBidi"/>
          <w:color w:val="auto"/>
        </w:rPr>
        <w:t>). If test mosquitoes survive beyond this threshold, these survivors represent a proportion of the population that has something allowing them to delay the insecticide from reaching the target site and acting. In other words, they have some degree of resistance.</w:t>
      </w:r>
      <w:r w:rsidR="00C0332E" w:rsidRPr="00702231">
        <w:t xml:space="preserve"> </w:t>
      </w:r>
      <w:r w:rsidR="00C0332E" w:rsidRPr="00702231">
        <w:rPr>
          <w:rFonts w:ascii="Garamond" w:hAnsi="Garamond" w:cstheme="minorBidi"/>
          <w:color w:val="auto"/>
        </w:rPr>
        <w:t xml:space="preserve">In the example shown in Figure 9, all mosquitoes that died before the </w:t>
      </w:r>
    </w:p>
    <w:p w:rsidR="0093198B" w:rsidRDefault="0093198B" w:rsidP="00702231">
      <w:pPr>
        <w:pStyle w:val="Default"/>
        <w:rPr>
          <w:rFonts w:ascii="Garamond" w:hAnsi="Garamond" w:cstheme="minorBidi"/>
          <w:color w:val="auto"/>
        </w:rPr>
      </w:pPr>
    </w:p>
    <w:p w:rsidR="0093198B" w:rsidRDefault="0093198B" w:rsidP="00702231">
      <w:pPr>
        <w:pStyle w:val="Default"/>
        <w:rPr>
          <w:rFonts w:ascii="Garamond" w:hAnsi="Garamond" w:cstheme="minorBidi"/>
          <w:color w:val="auto"/>
        </w:rPr>
      </w:pPr>
    </w:p>
    <w:p w:rsidR="0008336D" w:rsidRDefault="00C0332E" w:rsidP="00702231">
      <w:pPr>
        <w:pStyle w:val="Default"/>
        <w:rPr>
          <w:rFonts w:ascii="Garamond" w:hAnsi="Garamond"/>
        </w:rPr>
      </w:pPr>
      <w:r w:rsidRPr="00702231">
        <w:rPr>
          <w:rFonts w:ascii="Garamond" w:hAnsi="Garamond" w:cstheme="minorBidi"/>
          <w:color w:val="auto"/>
        </w:rPr>
        <w:t xml:space="preserve">diagnostic time when exposed to insecticide-coated bottles were susceptible. Test mosquitoes surviving beyond the diagnostic time threshold were assumed to have some degree of resistance. In the example, only 23% of the test population was susceptible. Recommendations for interpretation of bioassay data are shown in Box </w:t>
      </w:r>
      <w:r w:rsidR="0093198B">
        <w:rPr>
          <w:rFonts w:ascii="Garamond" w:hAnsi="Garamond" w:cstheme="minorBidi"/>
          <w:color w:val="auto"/>
        </w:rPr>
        <w:t>3</w:t>
      </w:r>
      <w:r w:rsidRPr="00702231">
        <w:rPr>
          <w:rFonts w:ascii="Garamond" w:hAnsi="Garamond" w:cstheme="minorBidi"/>
          <w:color w:val="auto"/>
        </w:rPr>
        <w:t>. The most important information is the mortality at the diagnostic time, but the bioassay is carried out beyond the diagnostic time to evaluate the intensity of resistance.</w:t>
      </w:r>
      <w:r w:rsidRPr="00702231">
        <w:rPr>
          <w:rFonts w:ascii="Garamond" w:hAnsi="Garamond"/>
        </w:rPr>
        <w:t xml:space="preserve"> It is important to note that resistance detected with this test does not necessarily translate into control failure.  This test is much more sensitive in detecting the development of resistance than relying on failure of control to detect resistance.  It allows you to determine if resistance is in a population before you lose the use of a chemical so that you can make management decisions in a timely enough manner to preserve susceptibility to that chemical.</w:t>
      </w:r>
    </w:p>
    <w:p w:rsidR="0093198B" w:rsidRDefault="0093198B" w:rsidP="00702231">
      <w:pPr>
        <w:pStyle w:val="Default"/>
        <w:rPr>
          <w:rFonts w:ascii="Garamond" w:hAnsi="Garamond"/>
        </w:rPr>
      </w:pPr>
    </w:p>
    <w:p w:rsidR="0093198B" w:rsidRDefault="0093198B" w:rsidP="00702231">
      <w:pPr>
        <w:pStyle w:val="Default"/>
        <w:rPr>
          <w:rFonts w:ascii="Garamond" w:hAnsi="Garamond"/>
        </w:rPr>
      </w:pPr>
    </w:p>
    <w:p w:rsidR="0093198B" w:rsidRDefault="0093198B" w:rsidP="00702231">
      <w:pPr>
        <w:pStyle w:val="Default"/>
        <w:rPr>
          <w:rFonts w:ascii="Garamond" w:hAnsi="Garamond"/>
        </w:rPr>
      </w:pPr>
    </w:p>
    <w:p w:rsidR="0093198B" w:rsidRPr="00702231" w:rsidRDefault="0093198B" w:rsidP="00702231">
      <w:pPr>
        <w:pStyle w:val="Default"/>
        <w:rPr>
          <w:rFonts w:ascii="Garamond" w:hAnsi="Garamond"/>
        </w:rPr>
      </w:pPr>
      <w:r>
        <w:rPr>
          <w:rFonts w:ascii="Garamond" w:hAnsi="Garamond"/>
          <w:noProof/>
        </w:rPr>
        <mc:AlternateContent>
          <mc:Choice Requires="wps">
            <w:drawing>
              <wp:anchor distT="0" distB="0" distL="114300" distR="114300" simplePos="0" relativeHeight="251659264" behindDoc="0" locked="0" layoutInCell="1" allowOverlap="1">
                <wp:simplePos x="0" y="0"/>
                <wp:positionH relativeFrom="column">
                  <wp:posOffset>2295525</wp:posOffset>
                </wp:positionH>
                <wp:positionV relativeFrom="paragraph">
                  <wp:posOffset>400050</wp:posOffset>
                </wp:positionV>
                <wp:extent cx="0" cy="2952750"/>
                <wp:effectExtent l="19050" t="19050" r="19050" b="0"/>
                <wp:wrapNone/>
                <wp:docPr id="15" name="Straight Connector 15"/>
                <wp:cNvGraphicFramePr/>
                <a:graphic xmlns:a="http://schemas.openxmlformats.org/drawingml/2006/main">
                  <a:graphicData uri="http://schemas.microsoft.com/office/word/2010/wordprocessingShape">
                    <wps:wsp>
                      <wps:cNvCnPr/>
                      <wps:spPr>
                        <a:xfrm flipV="1">
                          <a:off x="0" y="0"/>
                          <a:ext cx="0" cy="2952750"/>
                        </a:xfrm>
                        <a:prstGeom prst="line">
                          <a:avLst/>
                        </a:prstGeom>
                        <a:ln w="38100">
                          <a:solidFill>
                            <a:schemeClr val="bg2">
                              <a:lumMod val="50000"/>
                            </a:schemeClr>
                          </a:solidFill>
                          <a:prstDash val="dash"/>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4551FC" id="Straight Connector 1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80.75pt,31.5pt" to="180.7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" strokecolor="#dda61b [1614]" strokeweight="3pt">
                <v:stroke dashstyle="dash"/>
              </v:line>
            </w:pict>
          </mc:Fallback>
        </mc:AlternateContent>
      </w:r>
      <w:r w:rsidRPr="0093198B">
        <w:rPr>
          <w:rFonts w:ascii="Garamond" w:hAnsi="Garamond"/>
          <w:noProof/>
        </w:rPr>
        <w:drawing>
          <wp:inline distT="0" distB="0" distL="0" distR="0">
            <wp:extent cx="6400800" cy="4292390"/>
            <wp:effectExtent l="95250" t="95250" r="95250" b="895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292390"/>
                    </a:xfrm>
                    <a:prstGeom prst="rect">
                      <a:avLst/>
                    </a:prstGeom>
                    <a:ln w="88900" cap="sq" cmpd="thickThin">
                      <a:solidFill>
                        <a:schemeClr val="tx2">
                          <a:lumMod val="50000"/>
                          <a:lumOff val="50000"/>
                        </a:schemeClr>
                      </a:solidFill>
                      <a:prstDash val="solid"/>
                      <a:miter lim="800000"/>
                    </a:ln>
                    <a:effectLst>
                      <a:innerShdw blurRad="76200">
                        <a:srgbClr val="000000"/>
                      </a:innerShdw>
                    </a:effectLst>
                  </pic:spPr>
                </pic:pic>
              </a:graphicData>
            </a:graphic>
          </wp:inline>
        </w:drawing>
      </w:r>
    </w:p>
    <w:p w:rsidR="00C0332E" w:rsidRDefault="00C0332E" w:rsidP="00702231">
      <w:pPr>
        <w:pStyle w:val="Default"/>
        <w:rPr>
          <w:rFonts w:ascii="Garamond" w:hAnsi="Garamond"/>
          <w:sz w:val="23"/>
          <w:szCs w:val="23"/>
        </w:rPr>
      </w:pPr>
    </w:p>
    <w:p w:rsidR="0093198B" w:rsidRPr="0093198B" w:rsidRDefault="0093198B" w:rsidP="00702231">
      <w:pPr>
        <w:pStyle w:val="Default"/>
        <w:rPr>
          <w:rFonts w:ascii="Garamond" w:hAnsi="Garamond"/>
        </w:rPr>
      </w:pPr>
      <w:r w:rsidRPr="0093198B">
        <w:rPr>
          <w:rFonts w:ascii="Garamond" w:hAnsi="Garamond"/>
          <w:b/>
        </w:rPr>
        <w:t>Figure 7:</w:t>
      </w:r>
      <w:r w:rsidRPr="0093198B">
        <w:rPr>
          <w:rFonts w:ascii="Garamond" w:hAnsi="Garamond"/>
        </w:rPr>
        <w:t xml:space="preserve"> Determination of resistance threshold. </w:t>
      </w:r>
    </w:p>
    <w:p w:rsidR="00C0332E" w:rsidRDefault="00C0332E" w:rsidP="00702231">
      <w:pPr>
        <w:autoSpaceDE w:val="0"/>
        <w:autoSpaceDN w:val="0"/>
        <w:adjustRightInd w:val="0"/>
        <w:spacing w:after="0" w:line="240" w:lineRule="auto"/>
        <w:rPr>
          <w:rFonts w:ascii="Century Gothic" w:hAnsi="Century Gothic" w:cs="Century Gothic"/>
          <w:color w:val="000000"/>
          <w:sz w:val="24"/>
          <w:szCs w:val="24"/>
        </w:rPr>
      </w:pPr>
    </w:p>
    <w:p w:rsidR="0093198B" w:rsidRDefault="0093198B" w:rsidP="00702231">
      <w:pPr>
        <w:autoSpaceDE w:val="0"/>
        <w:autoSpaceDN w:val="0"/>
        <w:adjustRightInd w:val="0"/>
        <w:spacing w:after="0" w:line="240" w:lineRule="auto"/>
        <w:rPr>
          <w:rFonts w:ascii="Century Gothic" w:hAnsi="Century Gothic" w:cs="Century Gothic"/>
          <w:color w:val="000000"/>
          <w:sz w:val="24"/>
          <w:szCs w:val="24"/>
        </w:rPr>
      </w:pPr>
    </w:p>
    <w:p w:rsidR="0093198B" w:rsidRDefault="0093198B" w:rsidP="00702231">
      <w:pPr>
        <w:autoSpaceDE w:val="0"/>
        <w:autoSpaceDN w:val="0"/>
        <w:adjustRightInd w:val="0"/>
        <w:spacing w:after="0" w:line="240" w:lineRule="auto"/>
        <w:rPr>
          <w:rFonts w:ascii="Century Gothic" w:hAnsi="Century Gothic" w:cs="Century Gothic"/>
          <w:color w:val="000000"/>
          <w:sz w:val="24"/>
          <w:szCs w:val="24"/>
        </w:rPr>
      </w:pPr>
    </w:p>
    <w:p w:rsidR="0093198B" w:rsidRDefault="0093198B" w:rsidP="00702231">
      <w:pPr>
        <w:autoSpaceDE w:val="0"/>
        <w:autoSpaceDN w:val="0"/>
        <w:adjustRightInd w:val="0"/>
        <w:spacing w:after="0" w:line="240" w:lineRule="auto"/>
        <w:rPr>
          <w:rFonts w:ascii="Century Gothic" w:hAnsi="Century Gothic" w:cs="Century Gothic"/>
          <w:color w:val="000000"/>
          <w:sz w:val="24"/>
          <w:szCs w:val="24"/>
        </w:rPr>
      </w:pPr>
    </w:p>
    <w:p w:rsidR="0093198B" w:rsidRDefault="0093198B" w:rsidP="00702231">
      <w:pPr>
        <w:autoSpaceDE w:val="0"/>
        <w:autoSpaceDN w:val="0"/>
        <w:adjustRightInd w:val="0"/>
        <w:spacing w:after="0" w:line="240" w:lineRule="auto"/>
        <w:rPr>
          <w:rFonts w:ascii="Century Gothic" w:hAnsi="Century Gothic" w:cs="Century Gothic"/>
          <w:color w:val="000000"/>
          <w:sz w:val="24"/>
          <w:szCs w:val="24"/>
        </w:rPr>
      </w:pPr>
    </w:p>
    <w:p w:rsidR="0093198B" w:rsidRDefault="0093198B" w:rsidP="00702231">
      <w:pPr>
        <w:autoSpaceDE w:val="0"/>
        <w:autoSpaceDN w:val="0"/>
        <w:adjustRightInd w:val="0"/>
        <w:spacing w:after="0" w:line="240" w:lineRule="auto"/>
        <w:rPr>
          <w:rFonts w:ascii="Century Gothic" w:hAnsi="Century Gothic" w:cs="Century Gothic"/>
          <w:color w:val="000000"/>
          <w:sz w:val="24"/>
          <w:szCs w:val="24"/>
        </w:rPr>
      </w:pPr>
    </w:p>
    <w:p w:rsidR="0093198B" w:rsidRDefault="0093198B" w:rsidP="00702231">
      <w:pPr>
        <w:autoSpaceDE w:val="0"/>
        <w:autoSpaceDN w:val="0"/>
        <w:adjustRightInd w:val="0"/>
        <w:spacing w:after="0" w:line="240" w:lineRule="auto"/>
        <w:rPr>
          <w:rFonts w:ascii="Century Gothic" w:hAnsi="Century Gothic" w:cs="Century Gothic"/>
          <w:color w:val="000000"/>
          <w:sz w:val="24"/>
          <w:szCs w:val="24"/>
        </w:rPr>
      </w:pPr>
    </w:p>
    <w:p w:rsidR="0093198B" w:rsidRDefault="0093198B" w:rsidP="00702231">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noProof/>
          <w:color w:val="000000"/>
          <w:sz w:val="24"/>
          <w:szCs w:val="24"/>
        </w:rPr>
        <w:lastRenderedPageBreak/>
        <mc:AlternateContent>
          <mc:Choice Requires="wps">
            <w:drawing>
              <wp:anchor distT="0" distB="0" distL="114300" distR="114300" simplePos="0" relativeHeight="251655165" behindDoc="1" locked="0" layoutInCell="1" allowOverlap="1">
                <wp:simplePos x="0" y="0"/>
                <wp:positionH relativeFrom="column">
                  <wp:posOffset>-209550</wp:posOffset>
                </wp:positionH>
                <wp:positionV relativeFrom="paragraph">
                  <wp:posOffset>238125</wp:posOffset>
                </wp:positionV>
                <wp:extent cx="6705600" cy="25527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705600" cy="255270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4BD557E" id="Rectangle 16" o:spid="_x0000_s1026" style="position:absolute;margin-left:-16.5pt;margin-top:18.75pt;width:528pt;height:201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" fillcolor="#c9dcda [1301]" strokecolor="#2f3138 [1604]" strokeweight="1pt"/>
            </w:pict>
          </mc:Fallback>
        </mc:AlternateContent>
      </w:r>
    </w:p>
    <w:p w:rsidR="0093198B" w:rsidRPr="00C0332E" w:rsidRDefault="0093198B" w:rsidP="00702231">
      <w:pPr>
        <w:autoSpaceDE w:val="0"/>
        <w:autoSpaceDN w:val="0"/>
        <w:adjustRightInd w:val="0"/>
        <w:spacing w:after="0" w:line="240" w:lineRule="auto"/>
        <w:rPr>
          <w:rFonts w:ascii="Century Gothic" w:hAnsi="Century Gothic" w:cs="Century Gothic"/>
          <w:color w:val="000000"/>
          <w:sz w:val="24"/>
          <w:szCs w:val="24"/>
        </w:rPr>
      </w:pPr>
    </w:p>
    <w:p w:rsidR="00C0332E" w:rsidRPr="0093198B" w:rsidRDefault="0093198B" w:rsidP="00702231">
      <w:pPr>
        <w:autoSpaceDE w:val="0"/>
        <w:autoSpaceDN w:val="0"/>
        <w:adjustRightInd w:val="0"/>
        <w:spacing w:after="0" w:line="240" w:lineRule="auto"/>
        <w:rPr>
          <w:rFonts w:ascii="Century Gothic" w:hAnsi="Century Gothic"/>
          <w:b/>
          <w:bCs/>
          <w:color w:val="6C7C5F" w:themeColor="accent6" w:themeShade="BF"/>
          <w:sz w:val="28"/>
          <w:szCs w:val="28"/>
        </w:rPr>
      </w:pPr>
      <w:r w:rsidRPr="0093198B">
        <w:rPr>
          <w:rFonts w:ascii="Century Gothic" w:hAnsi="Century Gothic"/>
          <w:b/>
          <w:bCs/>
          <w:color w:val="6C7C5F" w:themeColor="accent6" w:themeShade="BF"/>
          <w:sz w:val="28"/>
          <w:szCs w:val="28"/>
        </w:rPr>
        <w:t>Box 3</w:t>
      </w:r>
      <w:r w:rsidR="00C0332E" w:rsidRPr="0093198B">
        <w:rPr>
          <w:rFonts w:ascii="Century Gothic" w:hAnsi="Century Gothic"/>
          <w:b/>
          <w:bCs/>
          <w:color w:val="6C7C5F" w:themeColor="accent6" w:themeShade="BF"/>
          <w:sz w:val="28"/>
          <w:szCs w:val="28"/>
        </w:rPr>
        <w:t xml:space="preserve">: Interpretation of data for management purposes. </w:t>
      </w:r>
    </w:p>
    <w:p w:rsidR="0093198B" w:rsidRPr="00C0332E" w:rsidRDefault="0093198B" w:rsidP="00702231">
      <w:pPr>
        <w:autoSpaceDE w:val="0"/>
        <w:autoSpaceDN w:val="0"/>
        <w:adjustRightInd w:val="0"/>
        <w:spacing w:after="0" w:line="240" w:lineRule="auto"/>
        <w:rPr>
          <w:rFonts w:ascii="Century Gothic" w:hAnsi="Century Gothic"/>
          <w:sz w:val="28"/>
          <w:szCs w:val="28"/>
        </w:rPr>
      </w:pPr>
    </w:p>
    <w:p w:rsidR="00C0332E" w:rsidRDefault="00C0332E" w:rsidP="00702231">
      <w:pPr>
        <w:autoSpaceDE w:val="0"/>
        <w:autoSpaceDN w:val="0"/>
        <w:adjustRightInd w:val="0"/>
        <w:spacing w:after="0" w:line="240" w:lineRule="auto"/>
        <w:jc w:val="both"/>
        <w:rPr>
          <w:rFonts w:ascii="Garamond" w:hAnsi="Garamond" w:cs="Garamond"/>
          <w:sz w:val="24"/>
          <w:szCs w:val="24"/>
        </w:rPr>
      </w:pPr>
      <w:r w:rsidRPr="00702231">
        <w:rPr>
          <w:rFonts w:ascii="Garamond" w:hAnsi="Garamond" w:cs="Garamond"/>
          <w:sz w:val="24"/>
          <w:szCs w:val="24"/>
        </w:rPr>
        <w:t xml:space="preserve">WHO recommendations for assessing the significance of detected resistance: </w:t>
      </w:r>
    </w:p>
    <w:p w:rsidR="0093198B" w:rsidRPr="00702231" w:rsidRDefault="0093198B" w:rsidP="00702231">
      <w:pPr>
        <w:autoSpaceDE w:val="0"/>
        <w:autoSpaceDN w:val="0"/>
        <w:adjustRightInd w:val="0"/>
        <w:spacing w:after="0" w:line="240" w:lineRule="auto"/>
        <w:jc w:val="both"/>
        <w:rPr>
          <w:rFonts w:ascii="Garamond" w:hAnsi="Garamond" w:cs="Garamond"/>
          <w:sz w:val="24"/>
          <w:szCs w:val="24"/>
        </w:rPr>
      </w:pPr>
    </w:p>
    <w:p w:rsidR="00C0332E" w:rsidRDefault="00A91199" w:rsidP="00702231">
      <w:pPr>
        <w:pStyle w:val="ListParagraph"/>
        <w:numPr>
          <w:ilvl w:val="0"/>
          <w:numId w:val="10"/>
        </w:numPr>
        <w:autoSpaceDE w:val="0"/>
        <w:autoSpaceDN w:val="0"/>
        <w:adjustRightInd w:val="0"/>
        <w:spacing w:after="0" w:line="240" w:lineRule="auto"/>
        <w:rPr>
          <w:rFonts w:ascii="Garamond" w:hAnsi="Garamond" w:cs="Garamond"/>
          <w:sz w:val="24"/>
          <w:szCs w:val="24"/>
        </w:rPr>
      </w:pPr>
      <w:r>
        <w:rPr>
          <w:rFonts w:ascii="Garamond" w:hAnsi="Garamond" w:cs="Garamond"/>
          <w:sz w:val="24"/>
          <w:szCs w:val="24"/>
        </w:rPr>
        <w:t>97</w:t>
      </w:r>
      <w:r w:rsidR="00C0332E" w:rsidRPr="00702231">
        <w:rPr>
          <w:rFonts w:ascii="Garamond" w:hAnsi="Garamond" w:cs="Garamond"/>
          <w:sz w:val="24"/>
          <w:szCs w:val="24"/>
        </w:rPr>
        <w:t xml:space="preserve">%–100% mortality at the recommended diagnostic time indicates susceptibility; </w:t>
      </w:r>
    </w:p>
    <w:p w:rsidR="0093198B" w:rsidRPr="00702231" w:rsidRDefault="0093198B" w:rsidP="0093198B">
      <w:pPr>
        <w:pStyle w:val="ListParagraph"/>
        <w:autoSpaceDE w:val="0"/>
        <w:autoSpaceDN w:val="0"/>
        <w:adjustRightInd w:val="0"/>
        <w:spacing w:after="0" w:line="240" w:lineRule="auto"/>
        <w:rPr>
          <w:rFonts w:ascii="Garamond" w:hAnsi="Garamond" w:cs="Garamond"/>
          <w:sz w:val="24"/>
          <w:szCs w:val="24"/>
        </w:rPr>
      </w:pPr>
    </w:p>
    <w:p w:rsidR="0093198B" w:rsidRPr="0093198B" w:rsidRDefault="00A91199" w:rsidP="0093198B">
      <w:pPr>
        <w:pStyle w:val="ListParagraph"/>
        <w:numPr>
          <w:ilvl w:val="0"/>
          <w:numId w:val="10"/>
        </w:numPr>
        <w:autoSpaceDE w:val="0"/>
        <w:autoSpaceDN w:val="0"/>
        <w:adjustRightInd w:val="0"/>
        <w:spacing w:after="79" w:line="240" w:lineRule="auto"/>
        <w:rPr>
          <w:rFonts w:ascii="Garamond" w:hAnsi="Garamond" w:cs="Garamond"/>
          <w:sz w:val="24"/>
          <w:szCs w:val="24"/>
        </w:rPr>
      </w:pPr>
      <w:r>
        <w:rPr>
          <w:rFonts w:ascii="Garamond" w:hAnsi="Garamond" w:cs="Garamond"/>
          <w:sz w:val="24"/>
          <w:szCs w:val="24"/>
        </w:rPr>
        <w:t>90</w:t>
      </w:r>
      <w:r w:rsidR="00C0332E" w:rsidRPr="00702231">
        <w:rPr>
          <w:rFonts w:ascii="Garamond" w:hAnsi="Garamond" w:cs="Garamond"/>
          <w:sz w:val="24"/>
          <w:szCs w:val="24"/>
        </w:rPr>
        <w:t>%–9</w:t>
      </w:r>
      <w:r>
        <w:rPr>
          <w:rFonts w:ascii="Garamond" w:hAnsi="Garamond" w:cs="Garamond"/>
          <w:sz w:val="24"/>
          <w:szCs w:val="24"/>
        </w:rPr>
        <w:t>6</w:t>
      </w:r>
      <w:r w:rsidR="00C0332E" w:rsidRPr="00702231">
        <w:rPr>
          <w:rFonts w:ascii="Garamond" w:hAnsi="Garamond" w:cs="Garamond"/>
          <w:sz w:val="24"/>
          <w:szCs w:val="24"/>
        </w:rPr>
        <w:t xml:space="preserve">% mortality at the recommended diagnostic time suggests the possibility of resistance that </w:t>
      </w:r>
      <w:r w:rsidR="00C0332E" w:rsidRPr="0093198B">
        <w:rPr>
          <w:rFonts w:ascii="Garamond" w:hAnsi="Garamond" w:cs="Garamond"/>
          <w:sz w:val="24"/>
          <w:szCs w:val="24"/>
        </w:rPr>
        <w:t xml:space="preserve">needs to be confirmed; </w:t>
      </w:r>
    </w:p>
    <w:p w:rsidR="00C0332E" w:rsidRPr="0093198B" w:rsidRDefault="00C0332E" w:rsidP="00C0332E">
      <w:pPr>
        <w:pStyle w:val="ListParagraph"/>
        <w:numPr>
          <w:ilvl w:val="0"/>
          <w:numId w:val="10"/>
        </w:numPr>
        <w:autoSpaceDE w:val="0"/>
        <w:autoSpaceDN w:val="0"/>
        <w:adjustRightInd w:val="0"/>
        <w:spacing w:after="0" w:line="240" w:lineRule="auto"/>
        <w:rPr>
          <w:rFonts w:ascii="Garamond" w:hAnsi="Garamond" w:cs="Garamond"/>
          <w:sz w:val="24"/>
          <w:szCs w:val="24"/>
        </w:rPr>
      </w:pPr>
      <w:r w:rsidRPr="0093198B">
        <w:rPr>
          <w:rFonts w:ascii="Garamond" w:hAnsi="Garamond" w:cs="Garamond"/>
          <w:sz w:val="24"/>
          <w:szCs w:val="24"/>
        </w:rPr>
        <w:t>&lt;</w:t>
      </w:r>
      <w:r w:rsidR="00A91199">
        <w:rPr>
          <w:rFonts w:ascii="Garamond" w:hAnsi="Garamond" w:cs="Garamond"/>
          <w:sz w:val="24"/>
          <w:szCs w:val="24"/>
        </w:rPr>
        <w:t>9</w:t>
      </w:r>
      <w:r w:rsidRPr="0093198B">
        <w:rPr>
          <w:rFonts w:ascii="Garamond" w:hAnsi="Garamond" w:cs="Garamond"/>
          <w:sz w:val="24"/>
          <w:szCs w:val="24"/>
        </w:rPr>
        <w:t xml:space="preserve">0% mortality at the recommended diagnostic time suggests resistance. </w:t>
      </w:r>
    </w:p>
    <w:p w:rsidR="00C0332E" w:rsidRPr="0093198B" w:rsidRDefault="00C0332E" w:rsidP="00C0332E">
      <w:pPr>
        <w:autoSpaceDE w:val="0"/>
        <w:autoSpaceDN w:val="0"/>
        <w:adjustRightInd w:val="0"/>
        <w:spacing w:after="0" w:line="240" w:lineRule="auto"/>
        <w:rPr>
          <w:rFonts w:ascii="Garamond" w:hAnsi="Garamond" w:cs="Garamond"/>
          <w:sz w:val="24"/>
          <w:szCs w:val="24"/>
        </w:rPr>
      </w:pPr>
    </w:p>
    <w:p w:rsidR="00C0332E" w:rsidRPr="0093198B" w:rsidRDefault="00C0332E" w:rsidP="00C0332E">
      <w:pPr>
        <w:pStyle w:val="Default"/>
        <w:rPr>
          <w:rFonts w:ascii="Garamond" w:hAnsi="Garamond" w:cs="Garamond"/>
          <w:color w:val="auto"/>
        </w:rPr>
      </w:pPr>
      <w:r w:rsidRPr="0093198B">
        <w:rPr>
          <w:rFonts w:ascii="Garamond" w:hAnsi="Garamond" w:cs="Garamond"/>
          <w:b/>
          <w:color w:val="auto"/>
          <w:u w:val="double"/>
        </w:rPr>
        <w:t>Note:</w:t>
      </w:r>
      <w:r w:rsidRPr="0093198B">
        <w:rPr>
          <w:rFonts w:ascii="Garamond" w:hAnsi="Garamond" w:cs="Garamond"/>
          <w:color w:val="auto"/>
        </w:rPr>
        <w:t xml:space="preserve"> Where &lt;95% mortality occurs at the diagnostic time in bioassays that have been conduct</w:t>
      </w:r>
      <w:r w:rsidRPr="0093198B">
        <w:rPr>
          <w:rFonts w:ascii="Garamond" w:hAnsi="Garamond" w:cs="Garamond"/>
          <w:color w:val="auto"/>
        </w:rPr>
        <w:softHyphen/>
        <w:t>ed under optimum conditions and with a sample size of &gt;100 mosquitoes, then resistance can be strongly suspected.</w:t>
      </w:r>
    </w:p>
    <w:p w:rsidR="00C0332E" w:rsidRPr="0093198B" w:rsidRDefault="00C0332E" w:rsidP="00C0332E">
      <w:pPr>
        <w:pStyle w:val="Default"/>
        <w:rPr>
          <w:rFonts w:ascii="Garamond" w:hAnsi="Garamond" w:cs="Garamond"/>
          <w:color w:val="auto"/>
        </w:rPr>
      </w:pPr>
    </w:p>
    <w:p w:rsidR="00C0332E" w:rsidRDefault="00C0332E" w:rsidP="00C0332E">
      <w:pPr>
        <w:autoSpaceDE w:val="0"/>
        <w:autoSpaceDN w:val="0"/>
        <w:adjustRightInd w:val="0"/>
        <w:spacing w:after="0" w:line="240" w:lineRule="auto"/>
        <w:rPr>
          <w:rFonts w:ascii="Century Gothic" w:hAnsi="Century Gothic" w:cs="Century Gothic"/>
          <w:color w:val="000000"/>
          <w:sz w:val="24"/>
          <w:szCs w:val="24"/>
        </w:rPr>
      </w:pPr>
    </w:p>
    <w:p w:rsidR="0093198B" w:rsidRPr="00C0332E" w:rsidRDefault="0093198B" w:rsidP="00C0332E">
      <w:pPr>
        <w:autoSpaceDE w:val="0"/>
        <w:autoSpaceDN w:val="0"/>
        <w:adjustRightInd w:val="0"/>
        <w:spacing w:after="0" w:line="240" w:lineRule="auto"/>
        <w:rPr>
          <w:rFonts w:ascii="Century Gothic" w:hAnsi="Century Gothic" w:cs="Century Gothic"/>
          <w:color w:val="000000"/>
          <w:sz w:val="24"/>
          <w:szCs w:val="24"/>
        </w:rPr>
      </w:pPr>
    </w:p>
    <w:p w:rsidR="00C0332E" w:rsidRPr="00FA2AF4" w:rsidRDefault="00C0332E" w:rsidP="0093198B">
      <w:pPr>
        <w:autoSpaceDE w:val="0"/>
        <w:autoSpaceDN w:val="0"/>
        <w:adjustRightInd w:val="0"/>
        <w:spacing w:after="0" w:line="240" w:lineRule="auto"/>
        <w:rPr>
          <w:rFonts w:ascii="Century Gothic" w:hAnsi="Century Gothic"/>
          <w:b/>
          <w:bCs/>
          <w:color w:val="6C7C5F" w:themeColor="accent6" w:themeShade="BF"/>
          <w:sz w:val="28"/>
          <w:szCs w:val="28"/>
        </w:rPr>
      </w:pPr>
      <w:r w:rsidRPr="00FA2AF4">
        <w:rPr>
          <w:rFonts w:ascii="Century Gothic" w:hAnsi="Century Gothic"/>
          <w:b/>
          <w:bCs/>
          <w:color w:val="6C7C5F" w:themeColor="accent6" w:themeShade="BF"/>
          <w:sz w:val="28"/>
          <w:szCs w:val="28"/>
        </w:rPr>
        <w:t xml:space="preserve">5. Resistance surveillance </w:t>
      </w:r>
    </w:p>
    <w:p w:rsidR="0093198B" w:rsidRPr="00C0332E" w:rsidRDefault="0093198B" w:rsidP="0093198B">
      <w:pPr>
        <w:autoSpaceDE w:val="0"/>
        <w:autoSpaceDN w:val="0"/>
        <w:adjustRightInd w:val="0"/>
        <w:spacing w:after="0" w:line="240" w:lineRule="auto"/>
        <w:rPr>
          <w:rFonts w:ascii="Century Gothic" w:hAnsi="Century Gothic"/>
          <w:sz w:val="28"/>
          <w:szCs w:val="28"/>
        </w:rPr>
      </w:pPr>
    </w:p>
    <w:p w:rsidR="00C0332E" w:rsidRPr="00FA2AF4" w:rsidRDefault="00C0332E" w:rsidP="0093198B">
      <w:pPr>
        <w:autoSpaceDE w:val="0"/>
        <w:autoSpaceDN w:val="0"/>
        <w:adjustRightInd w:val="0"/>
        <w:spacing w:after="0" w:line="240" w:lineRule="auto"/>
        <w:rPr>
          <w:rFonts w:ascii="Century Gothic" w:hAnsi="Century Gothic"/>
          <w:b/>
          <w:bCs/>
          <w:color w:val="92A185" w:themeColor="accent6"/>
          <w:sz w:val="24"/>
          <w:szCs w:val="24"/>
        </w:rPr>
      </w:pPr>
      <w:r w:rsidRPr="00FA2AF4">
        <w:rPr>
          <w:rFonts w:ascii="Century Gothic" w:hAnsi="Century Gothic"/>
          <w:b/>
          <w:bCs/>
          <w:color w:val="92A185" w:themeColor="accent6"/>
          <w:sz w:val="24"/>
          <w:szCs w:val="24"/>
        </w:rPr>
        <w:t xml:space="preserve">5.1. Background </w:t>
      </w:r>
    </w:p>
    <w:p w:rsidR="0093198B" w:rsidRPr="0093198B" w:rsidRDefault="0093198B" w:rsidP="0093198B">
      <w:pPr>
        <w:autoSpaceDE w:val="0"/>
        <w:autoSpaceDN w:val="0"/>
        <w:adjustRightInd w:val="0"/>
        <w:spacing w:after="0" w:line="240" w:lineRule="auto"/>
        <w:rPr>
          <w:rFonts w:ascii="Century Gothic" w:hAnsi="Century Gothic"/>
          <w:sz w:val="24"/>
          <w:szCs w:val="24"/>
        </w:rPr>
      </w:pPr>
    </w:p>
    <w:p w:rsidR="00C0332E"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t>Although resistance data are often collected as part of vector control programs, this is often not done as regularly as it should be in a true resistance surveillance effort. Surveillance requires the regular collection and interpretation of epidemiological data to support changes in public health programs. It is important to consider the CDC bottle bioassay an instrument to collect information to support an insecticide resistance surveillance system. Resistance data are most valuable when collected over time to allow for comparisons and for monitoring of trends.  It is important to consider how information collected as part of an insecticide resistance surveillance system will be used.</w:t>
      </w:r>
    </w:p>
    <w:p w:rsidR="0093198B" w:rsidRPr="0093198B" w:rsidRDefault="0093198B" w:rsidP="0093198B">
      <w:pPr>
        <w:autoSpaceDE w:val="0"/>
        <w:autoSpaceDN w:val="0"/>
        <w:adjustRightInd w:val="0"/>
        <w:spacing w:after="0" w:line="240" w:lineRule="auto"/>
        <w:jc w:val="both"/>
        <w:rPr>
          <w:rFonts w:ascii="Garamond" w:hAnsi="Garamond" w:cs="Garamond"/>
          <w:sz w:val="24"/>
          <w:szCs w:val="24"/>
        </w:rPr>
      </w:pPr>
    </w:p>
    <w:p w:rsidR="00C0332E" w:rsidRPr="00FA2AF4" w:rsidRDefault="00C0332E" w:rsidP="0093198B">
      <w:pPr>
        <w:autoSpaceDE w:val="0"/>
        <w:autoSpaceDN w:val="0"/>
        <w:adjustRightInd w:val="0"/>
        <w:spacing w:after="0" w:line="240" w:lineRule="auto"/>
        <w:rPr>
          <w:rFonts w:ascii="Century Gothic" w:hAnsi="Century Gothic"/>
          <w:b/>
          <w:bCs/>
          <w:color w:val="92A185" w:themeColor="accent6"/>
          <w:sz w:val="24"/>
          <w:szCs w:val="24"/>
        </w:rPr>
      </w:pPr>
      <w:r w:rsidRPr="00FA2AF4">
        <w:rPr>
          <w:rFonts w:ascii="Century Gothic" w:hAnsi="Century Gothic"/>
          <w:b/>
          <w:bCs/>
          <w:color w:val="92A185" w:themeColor="accent6"/>
          <w:sz w:val="24"/>
          <w:szCs w:val="24"/>
        </w:rPr>
        <w:t xml:space="preserve">5.2. Features of resistance emergence </w:t>
      </w:r>
    </w:p>
    <w:p w:rsidR="0093198B" w:rsidRPr="0093198B" w:rsidRDefault="0093198B" w:rsidP="0093198B">
      <w:pPr>
        <w:autoSpaceDE w:val="0"/>
        <w:autoSpaceDN w:val="0"/>
        <w:adjustRightInd w:val="0"/>
        <w:spacing w:after="0" w:line="240" w:lineRule="auto"/>
        <w:rPr>
          <w:rFonts w:ascii="Century Gothic" w:hAnsi="Century Gothic"/>
          <w:sz w:val="24"/>
          <w:szCs w:val="24"/>
        </w:rPr>
      </w:pPr>
    </w:p>
    <w:p w:rsidR="00C0332E"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t xml:space="preserve">Several genetic, biologic, and operational factors influence the development of insecticide resistance. In many respects, resistance is a complex problem, with different outcomes possible in a particular area, depending on the influence of diverse factors on initial conditions. Even so, certain factors affect resistance development throughout the world. Major resistance characteristics are discussed below, showing why each manifestation of resistance is potentially unique and therefore must be evaluated on case-by-case basis. </w:t>
      </w:r>
    </w:p>
    <w:p w:rsidR="0093198B" w:rsidRPr="0093198B" w:rsidRDefault="0093198B" w:rsidP="0093198B">
      <w:pPr>
        <w:autoSpaceDE w:val="0"/>
        <w:autoSpaceDN w:val="0"/>
        <w:adjustRightInd w:val="0"/>
        <w:spacing w:after="0" w:line="240" w:lineRule="auto"/>
        <w:jc w:val="both"/>
        <w:rPr>
          <w:rFonts w:ascii="Garamond" w:hAnsi="Garamond" w:cs="Garamond"/>
          <w:sz w:val="24"/>
          <w:szCs w:val="24"/>
        </w:rPr>
      </w:pPr>
    </w:p>
    <w:p w:rsidR="00C0332E" w:rsidRPr="00FA2AF4" w:rsidRDefault="00C0332E" w:rsidP="0093198B">
      <w:pPr>
        <w:autoSpaceDE w:val="0"/>
        <w:autoSpaceDN w:val="0"/>
        <w:adjustRightInd w:val="0"/>
        <w:spacing w:after="0" w:line="240" w:lineRule="auto"/>
        <w:rPr>
          <w:rFonts w:ascii="Century Gothic" w:hAnsi="Century Gothic" w:cs="Century Gothic"/>
          <w:b/>
          <w:bCs/>
          <w:color w:val="92A185" w:themeColor="accent6"/>
          <w:sz w:val="24"/>
          <w:szCs w:val="24"/>
        </w:rPr>
      </w:pPr>
      <w:r w:rsidRPr="00FA2AF4">
        <w:rPr>
          <w:rFonts w:ascii="Century Gothic" w:hAnsi="Century Gothic" w:cs="Century Gothic"/>
          <w:b/>
          <w:bCs/>
          <w:color w:val="92A185" w:themeColor="accent6"/>
          <w:sz w:val="24"/>
          <w:szCs w:val="24"/>
        </w:rPr>
        <w:t>5.3. Focal nature of resistance</w:t>
      </w:r>
    </w:p>
    <w:p w:rsidR="0093198B" w:rsidRPr="0093198B" w:rsidRDefault="0093198B" w:rsidP="0093198B">
      <w:pPr>
        <w:autoSpaceDE w:val="0"/>
        <w:autoSpaceDN w:val="0"/>
        <w:adjustRightInd w:val="0"/>
        <w:spacing w:after="0" w:line="240" w:lineRule="auto"/>
        <w:rPr>
          <w:rFonts w:ascii="Century Gothic" w:hAnsi="Century Gothic" w:cs="Century Gothic"/>
          <w:sz w:val="24"/>
          <w:szCs w:val="24"/>
        </w:rPr>
      </w:pPr>
    </w:p>
    <w:p w:rsidR="00C0332E"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t>Vector control personnel frequently assume that resistance in a particular species occurs throughout their control area, but insecticide resistance can be focal. Generally speaking, areas of ongoing vector control activities tend to have higher levels of resistance; when resistance levels in adjacent areas are compared, levels may be higher in areas of more intensive mosquito control.</w:t>
      </w:r>
    </w:p>
    <w:p w:rsidR="0093198B" w:rsidRPr="0093198B" w:rsidRDefault="0093198B" w:rsidP="0093198B">
      <w:pPr>
        <w:autoSpaceDE w:val="0"/>
        <w:autoSpaceDN w:val="0"/>
        <w:adjustRightInd w:val="0"/>
        <w:spacing w:after="0" w:line="240" w:lineRule="auto"/>
        <w:jc w:val="both"/>
        <w:rPr>
          <w:rFonts w:ascii="Garamond" w:hAnsi="Garamond" w:cs="Garamond"/>
          <w:sz w:val="24"/>
          <w:szCs w:val="24"/>
        </w:rPr>
      </w:pPr>
    </w:p>
    <w:p w:rsidR="00C0332E" w:rsidRPr="00FA2AF4" w:rsidRDefault="00C0332E" w:rsidP="0093198B">
      <w:pPr>
        <w:pStyle w:val="Pa9"/>
        <w:spacing w:line="240" w:lineRule="auto"/>
        <w:rPr>
          <w:b/>
          <w:bCs/>
          <w:color w:val="92A185" w:themeColor="accent6"/>
        </w:rPr>
      </w:pPr>
      <w:r w:rsidRPr="00FA2AF4">
        <w:rPr>
          <w:b/>
          <w:bCs/>
          <w:color w:val="92A185" w:themeColor="accent6"/>
        </w:rPr>
        <w:t xml:space="preserve">5.4. Resistance and disease control </w:t>
      </w:r>
    </w:p>
    <w:p w:rsidR="0093198B" w:rsidRPr="0093198B" w:rsidRDefault="0093198B" w:rsidP="0093198B">
      <w:pPr>
        <w:pStyle w:val="Default"/>
      </w:pPr>
    </w:p>
    <w:p w:rsidR="00512C2B"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lastRenderedPageBreak/>
        <w:t xml:space="preserve">In some cases, vector control strategies in a given area may not be affected by the level of insecticide resistance. For example, a control program may be able to control only 75% of the vector population. In these cases, an </w:t>
      </w:r>
    </w:p>
    <w:p w:rsidR="00C0332E"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t>insecticide resistance level lower than 10% will likely not affect disease control efforts. In such a situation, it would be sufficient to increase surveillance and monitor the level and frequency of resistance but no change in control strategies would be needed.</w:t>
      </w:r>
    </w:p>
    <w:p w:rsidR="0093198B" w:rsidRPr="0093198B" w:rsidRDefault="0093198B" w:rsidP="0093198B">
      <w:pPr>
        <w:autoSpaceDE w:val="0"/>
        <w:autoSpaceDN w:val="0"/>
        <w:adjustRightInd w:val="0"/>
        <w:spacing w:after="0" w:line="240" w:lineRule="auto"/>
        <w:jc w:val="both"/>
        <w:rPr>
          <w:rFonts w:ascii="Garamond" w:hAnsi="Garamond" w:cs="Garamond"/>
          <w:sz w:val="24"/>
          <w:szCs w:val="24"/>
        </w:rPr>
      </w:pPr>
    </w:p>
    <w:p w:rsidR="00C0332E" w:rsidRPr="00FA2AF4" w:rsidRDefault="00C0332E" w:rsidP="0093198B">
      <w:pPr>
        <w:autoSpaceDE w:val="0"/>
        <w:autoSpaceDN w:val="0"/>
        <w:adjustRightInd w:val="0"/>
        <w:spacing w:after="0" w:line="240" w:lineRule="auto"/>
        <w:rPr>
          <w:rFonts w:ascii="Century Gothic" w:hAnsi="Century Gothic"/>
          <w:b/>
          <w:bCs/>
          <w:color w:val="92A185" w:themeColor="accent6"/>
          <w:sz w:val="24"/>
          <w:szCs w:val="24"/>
        </w:rPr>
      </w:pPr>
      <w:r w:rsidRPr="00FA2AF4">
        <w:rPr>
          <w:rFonts w:ascii="Century Gothic" w:hAnsi="Century Gothic"/>
          <w:b/>
          <w:bCs/>
          <w:color w:val="92A185" w:themeColor="accent6"/>
          <w:sz w:val="24"/>
          <w:szCs w:val="24"/>
        </w:rPr>
        <w:t xml:space="preserve">5.5. Guiding principles </w:t>
      </w:r>
    </w:p>
    <w:p w:rsidR="0093198B" w:rsidRPr="0093198B" w:rsidRDefault="0093198B" w:rsidP="0093198B">
      <w:pPr>
        <w:autoSpaceDE w:val="0"/>
        <w:autoSpaceDN w:val="0"/>
        <w:adjustRightInd w:val="0"/>
        <w:spacing w:after="0" w:line="240" w:lineRule="auto"/>
        <w:rPr>
          <w:rFonts w:ascii="Century Gothic" w:hAnsi="Century Gothic"/>
          <w:sz w:val="24"/>
          <w:szCs w:val="24"/>
        </w:rPr>
      </w:pPr>
    </w:p>
    <w:p w:rsidR="00C0332E"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t>In general terms, resistance surveillance should be conducted in areas where disease transmission is a concern and where insecticide-based control measures are contemplated, ideally before purchase of insecticide. In addition to constraints imposed by economic resources, the number of sites that can be sampled is highly dependent on the size of the area contemplated for insecticide use. Due to the potential focal nature of resistance, efforts must be made to choose spatially distributed sites in the area of in</w:t>
      </w:r>
      <w:r w:rsidR="00D478DC" w:rsidRPr="0093198B">
        <w:rPr>
          <w:rFonts w:ascii="Garamond" w:hAnsi="Garamond" w:cs="Garamond"/>
          <w:sz w:val="24"/>
          <w:szCs w:val="24"/>
        </w:rPr>
        <w:t>terest, if possible. Areas 1.25 miles</w:t>
      </w:r>
      <w:r w:rsidRPr="0093198B">
        <w:rPr>
          <w:rFonts w:ascii="Garamond" w:hAnsi="Garamond" w:cs="Garamond"/>
          <w:sz w:val="24"/>
          <w:szCs w:val="24"/>
        </w:rPr>
        <w:t xml:space="preserve"> or more apart should not be assumed to have similar resistance patterns. Another means of deciding on surveillance sites is to focus on those areas of active disease transmission. Even if only one or a few sites can be monitored, this is far preferable to having no surveillance sites. In addition, efforts should be made to operate sites for at least a few years, since comparative data are the most meaningful information. </w:t>
      </w:r>
    </w:p>
    <w:p w:rsidR="007535DF" w:rsidRPr="0093198B" w:rsidRDefault="007535DF" w:rsidP="0093198B">
      <w:pPr>
        <w:autoSpaceDE w:val="0"/>
        <w:autoSpaceDN w:val="0"/>
        <w:adjustRightInd w:val="0"/>
        <w:spacing w:after="0" w:line="240" w:lineRule="auto"/>
        <w:jc w:val="both"/>
        <w:rPr>
          <w:rFonts w:ascii="Garamond" w:hAnsi="Garamond" w:cs="Garamond"/>
          <w:sz w:val="24"/>
          <w:szCs w:val="24"/>
        </w:rPr>
      </w:pPr>
    </w:p>
    <w:p w:rsidR="00C0332E"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t xml:space="preserve">Ideally each site should be monitored once a year. Where control efforts are seasonal, it may be useful to monitor at the beginning and at the end of the control season. If several vectors in the area are seasonal, the resistance testing schedule should be adjusted to the species of interest. </w:t>
      </w:r>
    </w:p>
    <w:p w:rsidR="007535DF" w:rsidRPr="0093198B" w:rsidRDefault="007535DF" w:rsidP="0093198B">
      <w:pPr>
        <w:autoSpaceDE w:val="0"/>
        <w:autoSpaceDN w:val="0"/>
        <w:adjustRightInd w:val="0"/>
        <w:spacing w:after="0" w:line="240" w:lineRule="auto"/>
        <w:jc w:val="both"/>
        <w:rPr>
          <w:rFonts w:ascii="Garamond" w:hAnsi="Garamond" w:cs="Garamond"/>
          <w:sz w:val="24"/>
          <w:szCs w:val="24"/>
        </w:rPr>
      </w:pPr>
    </w:p>
    <w:p w:rsidR="00C0332E" w:rsidRPr="0093198B" w:rsidRDefault="00C0332E" w:rsidP="0093198B">
      <w:pPr>
        <w:autoSpaceDE w:val="0"/>
        <w:autoSpaceDN w:val="0"/>
        <w:adjustRightInd w:val="0"/>
        <w:spacing w:after="0" w:line="240" w:lineRule="auto"/>
        <w:jc w:val="both"/>
        <w:rPr>
          <w:rFonts w:ascii="Garamond" w:hAnsi="Garamond" w:cs="Garamond"/>
          <w:sz w:val="24"/>
          <w:szCs w:val="24"/>
        </w:rPr>
      </w:pPr>
      <w:r w:rsidRPr="0093198B">
        <w:rPr>
          <w:rFonts w:ascii="Garamond" w:hAnsi="Garamond" w:cs="Garamond"/>
          <w:sz w:val="24"/>
          <w:szCs w:val="24"/>
        </w:rPr>
        <w:t xml:space="preserve">It is also important to consider that it will be necessary to try to identify resistance mechanisms once resistance is detected with the CDC bottle bioassay, whether using the CDC bottle bioassay with synergists, or biochemical and/or molecular methods. Decisions on which insecticide to change to will depend upon the specific mechanism(s) of resistance. </w:t>
      </w:r>
    </w:p>
    <w:p w:rsidR="00D478DC" w:rsidRPr="00D478DC" w:rsidRDefault="00D478DC" w:rsidP="00D478DC">
      <w:pPr>
        <w:autoSpaceDE w:val="0"/>
        <w:autoSpaceDN w:val="0"/>
        <w:adjustRightInd w:val="0"/>
        <w:spacing w:after="0" w:line="240" w:lineRule="auto"/>
        <w:rPr>
          <w:rFonts w:ascii="Century Gothic" w:hAnsi="Century Gothic" w:cs="Century Gothic"/>
          <w:color w:val="000000"/>
          <w:sz w:val="24"/>
          <w:szCs w:val="24"/>
        </w:rPr>
      </w:pPr>
    </w:p>
    <w:p w:rsidR="00FA2AF4" w:rsidRDefault="00D478DC" w:rsidP="00FA2AF4">
      <w:pPr>
        <w:autoSpaceDE w:val="0"/>
        <w:autoSpaceDN w:val="0"/>
        <w:adjustRightInd w:val="0"/>
        <w:spacing w:after="0" w:line="240" w:lineRule="auto"/>
        <w:rPr>
          <w:rFonts w:ascii="Century Gothic" w:hAnsi="Century Gothic"/>
          <w:b/>
          <w:bCs/>
          <w:color w:val="6C7C5F" w:themeColor="accent6" w:themeShade="BF"/>
          <w:sz w:val="28"/>
          <w:szCs w:val="28"/>
        </w:rPr>
      </w:pPr>
      <w:r w:rsidRPr="00FA2AF4">
        <w:rPr>
          <w:rFonts w:ascii="Century Gothic" w:hAnsi="Century Gothic"/>
          <w:b/>
          <w:bCs/>
          <w:color w:val="6C7C5F" w:themeColor="accent6" w:themeShade="BF"/>
          <w:sz w:val="28"/>
          <w:szCs w:val="28"/>
        </w:rPr>
        <w:t xml:space="preserve">6. CDC bottle bioassay and synergists </w:t>
      </w:r>
    </w:p>
    <w:p w:rsidR="00FA2AF4" w:rsidRPr="00FA2AF4" w:rsidRDefault="00FA2AF4" w:rsidP="00FA2AF4">
      <w:pPr>
        <w:autoSpaceDE w:val="0"/>
        <w:autoSpaceDN w:val="0"/>
        <w:adjustRightInd w:val="0"/>
        <w:spacing w:after="0" w:line="240" w:lineRule="auto"/>
        <w:rPr>
          <w:rFonts w:ascii="Century Gothic" w:hAnsi="Century Gothic"/>
          <w:b/>
          <w:bCs/>
          <w:color w:val="6C7C5F" w:themeColor="accent6" w:themeShade="BF"/>
          <w:sz w:val="28"/>
          <w:szCs w:val="28"/>
        </w:rPr>
      </w:pPr>
    </w:p>
    <w:p w:rsidR="00D478DC" w:rsidRPr="00FA2AF4" w:rsidRDefault="00D478DC" w:rsidP="00FA2AF4">
      <w:pPr>
        <w:autoSpaceDE w:val="0"/>
        <w:autoSpaceDN w:val="0"/>
        <w:adjustRightInd w:val="0"/>
        <w:spacing w:after="0" w:line="240" w:lineRule="auto"/>
        <w:rPr>
          <w:rFonts w:ascii="Century Gothic" w:hAnsi="Century Gothic"/>
          <w:b/>
          <w:bCs/>
          <w:color w:val="92A185" w:themeColor="accent6"/>
          <w:sz w:val="24"/>
          <w:szCs w:val="24"/>
        </w:rPr>
      </w:pPr>
      <w:r w:rsidRPr="00FA2AF4">
        <w:rPr>
          <w:rFonts w:ascii="Century Gothic" w:hAnsi="Century Gothic"/>
          <w:b/>
          <w:bCs/>
          <w:color w:val="92A185" w:themeColor="accent6"/>
          <w:sz w:val="24"/>
          <w:szCs w:val="24"/>
        </w:rPr>
        <w:t xml:space="preserve">6.1. Background </w:t>
      </w:r>
    </w:p>
    <w:p w:rsidR="00FA2AF4" w:rsidRPr="00FA2AF4" w:rsidRDefault="00FA2AF4" w:rsidP="00FA2AF4">
      <w:pPr>
        <w:autoSpaceDE w:val="0"/>
        <w:autoSpaceDN w:val="0"/>
        <w:adjustRightInd w:val="0"/>
        <w:spacing w:after="0" w:line="240" w:lineRule="auto"/>
        <w:rPr>
          <w:rFonts w:ascii="Century Gothic" w:hAnsi="Century Gothic"/>
          <w:sz w:val="24"/>
          <w:szCs w:val="24"/>
        </w:rPr>
      </w:pPr>
    </w:p>
    <w:p w:rsidR="00D478DC" w:rsidRDefault="00D478DC" w:rsidP="00FA2AF4">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t xml:space="preserve">The CDC bottle bioassay using bottles that were coated with a single insecticide provides information on insecticide resistance to that particular insecticide in adult vectors. These data may provide early evidence that an insecticide is losing its effectiveness. </w:t>
      </w:r>
    </w:p>
    <w:p w:rsidR="00FA2AF4" w:rsidRPr="00FA2AF4" w:rsidRDefault="00FA2AF4" w:rsidP="00FA2AF4">
      <w:pPr>
        <w:autoSpaceDE w:val="0"/>
        <w:autoSpaceDN w:val="0"/>
        <w:adjustRightInd w:val="0"/>
        <w:spacing w:after="0" w:line="240" w:lineRule="auto"/>
        <w:jc w:val="both"/>
        <w:rPr>
          <w:rFonts w:ascii="Garamond" w:hAnsi="Garamond" w:cs="Garamond"/>
          <w:sz w:val="24"/>
          <w:szCs w:val="24"/>
        </w:rPr>
      </w:pPr>
    </w:p>
    <w:p w:rsidR="00D478DC" w:rsidRPr="00FA2AF4" w:rsidRDefault="00D478DC" w:rsidP="00FA2AF4">
      <w:pPr>
        <w:pStyle w:val="Default"/>
        <w:rPr>
          <w:rFonts w:ascii="Garamond" w:hAnsi="Garamond" w:cs="Garamond"/>
        </w:rPr>
      </w:pPr>
      <w:r w:rsidRPr="00FA2AF4">
        <w:rPr>
          <w:rFonts w:ascii="Garamond" w:hAnsi="Garamond" w:cs="Garamond"/>
        </w:rPr>
        <w:t>Once resistance is detected, or at least suspected, one must decide what to do next and which other compounds are likely to still be effective and not compromised by cross resistance. This requires knowledge of the resistance mechanism(s) in place, information usually acquired using either biochemical (microplate) assays or molecular methods. A rapid and inexpensive alternative to assess resistance mechanisms is to use the CDC bottle bioassay with synergists. Synergists are enzyme inhibitors of insecticide detoxification enzymes. Synergists are available for the metabolic detoxification enzymes: esterases, oxidases, and glutathione s-transferases.</w:t>
      </w:r>
      <w:r w:rsidRPr="00FA2AF4">
        <w:t xml:space="preserve"> </w:t>
      </w:r>
      <w:r w:rsidRPr="00FA2AF4">
        <w:rPr>
          <w:rFonts w:ascii="Garamond" w:hAnsi="Garamond"/>
        </w:rPr>
        <w:t xml:space="preserve">Synergists act by abolishing the apparent resistance observed in the CDC bottle bioassay if a </w:t>
      </w:r>
      <w:r w:rsidRPr="00FA2AF4">
        <w:rPr>
          <w:rFonts w:ascii="Garamond" w:hAnsi="Garamond" w:cs="Garamond"/>
        </w:rPr>
        <w:t>detoxification enzyme plays a role in that particular resistance mechanism.</w:t>
      </w:r>
    </w:p>
    <w:p w:rsidR="00D478DC" w:rsidRPr="00D478DC" w:rsidRDefault="00D478DC" w:rsidP="00FA2AF4">
      <w:pPr>
        <w:autoSpaceDE w:val="0"/>
        <w:autoSpaceDN w:val="0"/>
        <w:adjustRightInd w:val="0"/>
        <w:spacing w:after="0" w:line="240" w:lineRule="auto"/>
        <w:rPr>
          <w:rFonts w:ascii="Century Gothic" w:hAnsi="Century Gothic" w:cs="Century Gothic"/>
          <w:color w:val="000000"/>
          <w:sz w:val="24"/>
          <w:szCs w:val="24"/>
        </w:rPr>
      </w:pPr>
    </w:p>
    <w:p w:rsidR="00D478DC" w:rsidRPr="00FA2AF4" w:rsidRDefault="00D478DC" w:rsidP="00FA2AF4">
      <w:pPr>
        <w:autoSpaceDE w:val="0"/>
        <w:autoSpaceDN w:val="0"/>
        <w:adjustRightInd w:val="0"/>
        <w:spacing w:after="0" w:line="240" w:lineRule="auto"/>
        <w:rPr>
          <w:rFonts w:ascii="Century Gothic" w:hAnsi="Century Gothic"/>
          <w:b/>
          <w:bCs/>
          <w:color w:val="6C7C5F" w:themeColor="accent6" w:themeShade="BF"/>
          <w:sz w:val="28"/>
          <w:szCs w:val="28"/>
        </w:rPr>
      </w:pPr>
      <w:r w:rsidRPr="00FA2AF4">
        <w:rPr>
          <w:rFonts w:ascii="Century Gothic" w:hAnsi="Century Gothic"/>
          <w:b/>
          <w:bCs/>
          <w:color w:val="6C7C5F" w:themeColor="accent6" w:themeShade="BF"/>
          <w:sz w:val="28"/>
          <w:szCs w:val="28"/>
        </w:rPr>
        <w:t xml:space="preserve">7. Bibliography </w:t>
      </w:r>
    </w:p>
    <w:p w:rsidR="00FA2AF4" w:rsidRPr="00D478DC" w:rsidRDefault="00FA2AF4" w:rsidP="00FA2AF4">
      <w:pPr>
        <w:autoSpaceDE w:val="0"/>
        <w:autoSpaceDN w:val="0"/>
        <w:adjustRightInd w:val="0"/>
        <w:spacing w:after="0" w:line="240" w:lineRule="auto"/>
        <w:rPr>
          <w:rFonts w:ascii="Century Gothic" w:hAnsi="Century Gothic"/>
          <w:sz w:val="28"/>
          <w:szCs w:val="28"/>
        </w:rPr>
      </w:pPr>
    </w:p>
    <w:p w:rsidR="00FA2AF4" w:rsidRDefault="00FA2AF4" w:rsidP="00FA2AF4">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lastRenderedPageBreak/>
        <w:t>1.</w:t>
      </w:r>
      <w:r>
        <w:rPr>
          <w:rFonts w:ascii="Garamond" w:hAnsi="Garamond" w:cs="Garamond"/>
          <w:sz w:val="24"/>
          <w:szCs w:val="24"/>
        </w:rPr>
        <w:t xml:space="preserve"> </w:t>
      </w:r>
      <w:r w:rsidR="00D478DC" w:rsidRPr="00FA2AF4">
        <w:rPr>
          <w:rFonts w:ascii="Garamond" w:hAnsi="Garamond" w:cs="Garamond"/>
          <w:sz w:val="24"/>
          <w:szCs w:val="24"/>
        </w:rPr>
        <w:t xml:space="preserve">Brogdon, WG and McAllister JC, 1998. Simplification of adult mosquito bioassays through use of time-mortality determinations in glass bottles. J. Am. Mosq. Control Assoc. 14(2):159–64. </w:t>
      </w:r>
    </w:p>
    <w:p w:rsidR="00FA2AF4" w:rsidRPr="00FA2AF4" w:rsidRDefault="00FA2AF4" w:rsidP="00FA2AF4">
      <w:pPr>
        <w:autoSpaceDE w:val="0"/>
        <w:autoSpaceDN w:val="0"/>
        <w:adjustRightInd w:val="0"/>
        <w:spacing w:after="0" w:line="240" w:lineRule="auto"/>
        <w:jc w:val="both"/>
        <w:rPr>
          <w:rFonts w:ascii="Garamond" w:hAnsi="Garamond" w:cs="Garamond"/>
          <w:sz w:val="24"/>
          <w:szCs w:val="24"/>
        </w:rPr>
      </w:pPr>
    </w:p>
    <w:p w:rsidR="00D478DC" w:rsidRPr="00512C2B" w:rsidRDefault="00D478DC" w:rsidP="00512C2B">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t xml:space="preserve">2. National Center for Infectious Diseases, Centers for Disease Control and Prevention (CDC). Evaluating mosquitoes for insecticide resistance: Web-based instruction. Available from: http://www.cdc.gov/malaria. </w:t>
      </w:r>
    </w:p>
    <w:p w:rsidR="00D478DC" w:rsidRDefault="00D478DC" w:rsidP="00D478DC">
      <w:pPr>
        <w:pStyle w:val="Default"/>
      </w:pPr>
    </w:p>
    <w:p w:rsidR="00D478DC" w:rsidRDefault="00D478DC" w:rsidP="00D478DC">
      <w:pPr>
        <w:autoSpaceDE w:val="0"/>
        <w:autoSpaceDN w:val="0"/>
        <w:adjustRightInd w:val="0"/>
        <w:spacing w:after="0" w:line="240" w:lineRule="auto"/>
        <w:rPr>
          <w:b/>
          <w:bCs/>
          <w:color w:val="485340" w:themeColor="accent6" w:themeShade="80"/>
          <w:sz w:val="48"/>
          <w:szCs w:val="48"/>
        </w:rPr>
      </w:pPr>
      <w:r w:rsidRPr="00FA2AF4">
        <w:rPr>
          <w:b/>
          <w:bCs/>
          <w:color w:val="485340" w:themeColor="accent6" w:themeShade="80"/>
          <w:sz w:val="48"/>
          <w:szCs w:val="48"/>
        </w:rPr>
        <w:t>APPENDIXES</w:t>
      </w:r>
    </w:p>
    <w:p w:rsidR="00FA2AF4" w:rsidRPr="00FA2AF4" w:rsidRDefault="00FA2AF4" w:rsidP="00D478DC">
      <w:pPr>
        <w:autoSpaceDE w:val="0"/>
        <w:autoSpaceDN w:val="0"/>
        <w:adjustRightInd w:val="0"/>
        <w:spacing w:after="0" w:line="240" w:lineRule="auto"/>
        <w:rPr>
          <w:rFonts w:ascii="Century Gothic" w:hAnsi="Century Gothic" w:cs="Century Gothic"/>
          <w:color w:val="485340" w:themeColor="accent6" w:themeShade="80"/>
          <w:sz w:val="24"/>
          <w:szCs w:val="24"/>
        </w:rPr>
      </w:pPr>
    </w:p>
    <w:p w:rsidR="00FA2AF4" w:rsidRDefault="00D478DC" w:rsidP="00FA2AF4">
      <w:pPr>
        <w:autoSpaceDE w:val="0"/>
        <w:autoSpaceDN w:val="0"/>
        <w:adjustRightInd w:val="0"/>
        <w:spacing w:after="0" w:line="240" w:lineRule="auto"/>
        <w:rPr>
          <w:rFonts w:ascii="Century Gothic" w:hAnsi="Century Gothic"/>
          <w:b/>
          <w:bCs/>
          <w:color w:val="6C7C5F" w:themeColor="accent6" w:themeShade="BF"/>
          <w:sz w:val="28"/>
          <w:szCs w:val="28"/>
        </w:rPr>
      </w:pPr>
      <w:r w:rsidRPr="00FA2AF4">
        <w:rPr>
          <w:rFonts w:ascii="Century Gothic" w:hAnsi="Century Gothic"/>
          <w:b/>
          <w:bCs/>
          <w:color w:val="6C7C5F" w:themeColor="accent6" w:themeShade="BF"/>
          <w:sz w:val="28"/>
          <w:szCs w:val="28"/>
        </w:rPr>
        <w:t xml:space="preserve">Appendix 1. Frequently asked questions (FAQs) </w:t>
      </w:r>
    </w:p>
    <w:p w:rsidR="00FA2AF4" w:rsidRPr="00FA2AF4" w:rsidRDefault="00FA2AF4" w:rsidP="00FA2AF4">
      <w:pPr>
        <w:autoSpaceDE w:val="0"/>
        <w:autoSpaceDN w:val="0"/>
        <w:adjustRightInd w:val="0"/>
        <w:spacing w:after="0" w:line="240" w:lineRule="auto"/>
        <w:rPr>
          <w:rFonts w:ascii="Century Gothic" w:hAnsi="Century Gothic"/>
          <w:b/>
          <w:bCs/>
          <w:color w:val="6C7C5F" w:themeColor="accent6" w:themeShade="BF"/>
          <w:sz w:val="28"/>
          <w:szCs w:val="28"/>
        </w:rPr>
      </w:pPr>
    </w:p>
    <w:p w:rsidR="00FA2AF4" w:rsidRDefault="00FA2AF4" w:rsidP="00FA2AF4">
      <w:pPr>
        <w:autoSpaceDE w:val="0"/>
        <w:autoSpaceDN w:val="0"/>
        <w:adjustRightInd w:val="0"/>
        <w:spacing w:after="0" w:line="240" w:lineRule="auto"/>
        <w:jc w:val="both"/>
        <w:rPr>
          <w:rFonts w:ascii="Century Gothic" w:hAnsi="Century Gothic"/>
          <w:b/>
          <w:bCs/>
          <w:color w:val="92A185" w:themeColor="accent6"/>
          <w:sz w:val="24"/>
          <w:szCs w:val="24"/>
        </w:rPr>
      </w:pPr>
      <w:r w:rsidRPr="00FA2AF4">
        <w:rPr>
          <w:rFonts w:ascii="Century Gothic" w:hAnsi="Century Gothic"/>
          <w:b/>
          <w:bCs/>
          <w:color w:val="92A185" w:themeColor="accent6"/>
          <w:sz w:val="24"/>
          <w:szCs w:val="24"/>
        </w:rPr>
        <w:t>1.</w:t>
      </w:r>
      <w:r>
        <w:rPr>
          <w:rFonts w:ascii="Century Gothic" w:hAnsi="Century Gothic"/>
          <w:b/>
          <w:bCs/>
          <w:color w:val="92A185" w:themeColor="accent6"/>
          <w:sz w:val="24"/>
          <w:szCs w:val="24"/>
        </w:rPr>
        <w:t xml:space="preserve"> </w:t>
      </w:r>
      <w:r w:rsidR="00D478DC" w:rsidRPr="00FA2AF4">
        <w:rPr>
          <w:rFonts w:ascii="Century Gothic" w:hAnsi="Century Gothic"/>
          <w:b/>
          <w:bCs/>
          <w:color w:val="92A185" w:themeColor="accent6"/>
          <w:sz w:val="24"/>
          <w:szCs w:val="24"/>
        </w:rPr>
        <w:t xml:space="preserve">What happens if there are not enough mosquitoes for a complete bioassay? </w:t>
      </w:r>
    </w:p>
    <w:p w:rsidR="00FA2AF4" w:rsidRPr="00FA2AF4" w:rsidRDefault="00FA2AF4" w:rsidP="00FA2AF4">
      <w:pPr>
        <w:autoSpaceDE w:val="0"/>
        <w:autoSpaceDN w:val="0"/>
        <w:adjustRightInd w:val="0"/>
        <w:spacing w:after="0" w:line="240" w:lineRule="auto"/>
        <w:jc w:val="both"/>
        <w:rPr>
          <w:rFonts w:ascii="Century Gothic" w:hAnsi="Century Gothic"/>
          <w:b/>
          <w:bCs/>
          <w:color w:val="92A185" w:themeColor="accent6"/>
          <w:sz w:val="24"/>
          <w:szCs w:val="24"/>
        </w:rPr>
      </w:pPr>
    </w:p>
    <w:p w:rsidR="00D478DC" w:rsidRDefault="00D478DC" w:rsidP="00FA2AF4">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t xml:space="preserve">When the number of mosquitoes captured in the field is insufficient for a full bioassay (four coated and one control bottles), you can reduce the number of bottles to be tested, but each bioassay must ALWAYS be run with a control until the required number is completed. If the testing takes place over a long period of time, use recently coated bottles if necessary. See expected lifetime of coated bottles in the guideline. Except in the case of organophosphate-coated bottles, coated bottles can be used multiple times over several days until the bioassay is completed, as long as moisture build-up from aspiration does not become excessive. </w:t>
      </w:r>
    </w:p>
    <w:p w:rsidR="00FA2AF4" w:rsidRPr="00FA2AF4" w:rsidRDefault="00FA2AF4" w:rsidP="00FA2AF4">
      <w:pPr>
        <w:autoSpaceDE w:val="0"/>
        <w:autoSpaceDN w:val="0"/>
        <w:adjustRightInd w:val="0"/>
        <w:spacing w:after="0" w:line="240" w:lineRule="auto"/>
        <w:jc w:val="both"/>
        <w:rPr>
          <w:rFonts w:ascii="Garamond" w:hAnsi="Garamond" w:cs="Garamond"/>
          <w:sz w:val="24"/>
          <w:szCs w:val="24"/>
        </w:rPr>
      </w:pPr>
    </w:p>
    <w:p w:rsidR="00D478DC" w:rsidRDefault="00D478DC" w:rsidP="00FA2AF4">
      <w:pPr>
        <w:autoSpaceDE w:val="0"/>
        <w:autoSpaceDN w:val="0"/>
        <w:adjustRightInd w:val="0"/>
        <w:spacing w:after="0" w:line="240" w:lineRule="auto"/>
        <w:jc w:val="both"/>
        <w:rPr>
          <w:rFonts w:ascii="Century Gothic" w:hAnsi="Century Gothic" w:cs="Century Gothic"/>
          <w:b/>
          <w:bCs/>
          <w:color w:val="92A185" w:themeColor="accent6"/>
          <w:sz w:val="24"/>
          <w:szCs w:val="24"/>
        </w:rPr>
      </w:pPr>
      <w:r w:rsidRPr="00FA2AF4">
        <w:rPr>
          <w:rFonts w:ascii="Century Gothic" w:hAnsi="Century Gothic" w:cs="Century Gothic"/>
          <w:b/>
          <w:bCs/>
          <w:color w:val="92A185" w:themeColor="accent6"/>
          <w:sz w:val="24"/>
          <w:szCs w:val="24"/>
        </w:rPr>
        <w:t xml:space="preserve">2. Should some bottles be designated solely as control bottles? </w:t>
      </w:r>
    </w:p>
    <w:p w:rsidR="00FA2AF4" w:rsidRPr="00FA2AF4" w:rsidRDefault="00FA2AF4" w:rsidP="00FA2AF4">
      <w:pPr>
        <w:autoSpaceDE w:val="0"/>
        <w:autoSpaceDN w:val="0"/>
        <w:adjustRightInd w:val="0"/>
        <w:spacing w:after="0" w:line="240" w:lineRule="auto"/>
        <w:jc w:val="both"/>
        <w:rPr>
          <w:rFonts w:ascii="Century Gothic" w:hAnsi="Century Gothic" w:cs="Century Gothic"/>
          <w:color w:val="92A185" w:themeColor="accent6"/>
          <w:sz w:val="24"/>
          <w:szCs w:val="24"/>
        </w:rPr>
      </w:pPr>
    </w:p>
    <w:p w:rsidR="00D478DC" w:rsidRDefault="00D478DC" w:rsidP="00FA2AF4">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t xml:space="preserve">No, some bottles should not be designated as control bottles. Bottles should randomly be assigned as test or control bottles. This will provide an additional quality control to the adequacy of the washing procedure. </w:t>
      </w:r>
    </w:p>
    <w:p w:rsidR="00FA2AF4" w:rsidRPr="00FA2AF4" w:rsidRDefault="00FA2AF4" w:rsidP="00FA2AF4">
      <w:pPr>
        <w:autoSpaceDE w:val="0"/>
        <w:autoSpaceDN w:val="0"/>
        <w:adjustRightInd w:val="0"/>
        <w:spacing w:after="0" w:line="240" w:lineRule="auto"/>
        <w:jc w:val="both"/>
        <w:rPr>
          <w:rFonts w:ascii="Garamond" w:hAnsi="Garamond" w:cs="Garamond"/>
          <w:sz w:val="24"/>
          <w:szCs w:val="24"/>
        </w:rPr>
      </w:pPr>
    </w:p>
    <w:p w:rsidR="00D478DC" w:rsidRDefault="00D478DC" w:rsidP="00FA2AF4">
      <w:pPr>
        <w:autoSpaceDE w:val="0"/>
        <w:autoSpaceDN w:val="0"/>
        <w:adjustRightInd w:val="0"/>
        <w:spacing w:after="0" w:line="240" w:lineRule="auto"/>
        <w:jc w:val="both"/>
        <w:rPr>
          <w:rFonts w:ascii="Century Gothic" w:hAnsi="Century Gothic" w:cs="Century Gothic"/>
          <w:b/>
          <w:bCs/>
          <w:color w:val="92A185" w:themeColor="accent6"/>
          <w:sz w:val="24"/>
          <w:szCs w:val="24"/>
        </w:rPr>
      </w:pPr>
      <w:r w:rsidRPr="00FA2AF4">
        <w:rPr>
          <w:rFonts w:ascii="Century Gothic" w:hAnsi="Century Gothic" w:cs="Century Gothic"/>
          <w:b/>
          <w:bCs/>
          <w:color w:val="92A185" w:themeColor="accent6"/>
          <w:sz w:val="24"/>
          <w:szCs w:val="24"/>
        </w:rPr>
        <w:t xml:space="preserve">3. What if there are no susceptible mosquitoes available for CDC bottle bioassay calibration? </w:t>
      </w:r>
    </w:p>
    <w:p w:rsidR="00FA2AF4" w:rsidRPr="00FA2AF4" w:rsidRDefault="00FA2AF4" w:rsidP="00FA2AF4">
      <w:pPr>
        <w:autoSpaceDE w:val="0"/>
        <w:autoSpaceDN w:val="0"/>
        <w:adjustRightInd w:val="0"/>
        <w:spacing w:after="0" w:line="240" w:lineRule="auto"/>
        <w:jc w:val="both"/>
        <w:rPr>
          <w:rFonts w:ascii="Century Gothic" w:hAnsi="Century Gothic" w:cs="Century Gothic"/>
          <w:color w:val="92A185" w:themeColor="accent6"/>
          <w:sz w:val="24"/>
          <w:szCs w:val="24"/>
        </w:rPr>
      </w:pPr>
    </w:p>
    <w:p w:rsidR="00D478DC" w:rsidRDefault="00D478DC" w:rsidP="00FA2AF4">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t xml:space="preserve">The diagnostic dose and diagnostic time for a particular species in a given area are similar. Use the diagnostic dose and the diagnostic time published in this guideline or consult the authors of this guideline or other users with experience in the method for that particular vector. Note that the value of the CDC bottle bioassay lies in showing changes over time in the characteristics of vector populations. Therefore, a baseline is useful even if some individual mosquitoes show resistance when the initial baseline is established. </w:t>
      </w:r>
    </w:p>
    <w:p w:rsidR="00FA2AF4" w:rsidRPr="00FA2AF4" w:rsidRDefault="00FA2AF4" w:rsidP="00FA2AF4">
      <w:pPr>
        <w:autoSpaceDE w:val="0"/>
        <w:autoSpaceDN w:val="0"/>
        <w:adjustRightInd w:val="0"/>
        <w:spacing w:after="0" w:line="240" w:lineRule="auto"/>
        <w:jc w:val="both"/>
        <w:rPr>
          <w:rFonts w:ascii="Garamond" w:hAnsi="Garamond" w:cs="Garamond"/>
          <w:sz w:val="24"/>
          <w:szCs w:val="24"/>
        </w:rPr>
      </w:pPr>
    </w:p>
    <w:p w:rsidR="00D478DC" w:rsidRDefault="00D478DC" w:rsidP="00FA2AF4">
      <w:pPr>
        <w:autoSpaceDE w:val="0"/>
        <w:autoSpaceDN w:val="0"/>
        <w:adjustRightInd w:val="0"/>
        <w:spacing w:after="0" w:line="240" w:lineRule="auto"/>
        <w:jc w:val="both"/>
        <w:rPr>
          <w:rFonts w:ascii="Century Gothic" w:hAnsi="Century Gothic"/>
          <w:b/>
          <w:bCs/>
          <w:color w:val="92A185" w:themeColor="accent6"/>
          <w:sz w:val="24"/>
          <w:szCs w:val="24"/>
        </w:rPr>
      </w:pPr>
      <w:r w:rsidRPr="00FA2AF4">
        <w:rPr>
          <w:rFonts w:ascii="Century Gothic" w:hAnsi="Century Gothic"/>
          <w:b/>
          <w:bCs/>
          <w:color w:val="92A185" w:themeColor="accent6"/>
          <w:sz w:val="24"/>
          <w:szCs w:val="24"/>
        </w:rPr>
        <w:t xml:space="preserve">4. How can mosquitoes be introduced into the bottle without letting other mosquitoes escape? </w:t>
      </w:r>
    </w:p>
    <w:p w:rsidR="00FA2AF4" w:rsidRPr="00FA2AF4" w:rsidRDefault="00FA2AF4" w:rsidP="00FA2AF4">
      <w:pPr>
        <w:autoSpaceDE w:val="0"/>
        <w:autoSpaceDN w:val="0"/>
        <w:adjustRightInd w:val="0"/>
        <w:spacing w:after="0" w:line="240" w:lineRule="auto"/>
        <w:jc w:val="both"/>
        <w:rPr>
          <w:rFonts w:ascii="Century Gothic" w:hAnsi="Century Gothic"/>
          <w:color w:val="92A185" w:themeColor="accent6"/>
          <w:sz w:val="24"/>
          <w:szCs w:val="24"/>
        </w:rPr>
      </w:pPr>
    </w:p>
    <w:p w:rsidR="00D478DC" w:rsidRDefault="00D478DC" w:rsidP="00FA2AF4">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t xml:space="preserve">Some people have found it useful to employ a piece of cotton wool held against the aspirating tube at the top of the bottle as the mosquitoes are being introduced into the bottles. As the aspirator is withdrawn after the mosquitoes are introduced, the cotton wool can be used to close the bottle top, until the bottle cap is put in place. In our experience, a swift decisive puff of air will introduce mosquitoes without loss. Attempting to introduce mosquitoes into a bottle more than once may allow some to escape. This sometimes happens if the user attempts to put exactly the same number of mosquitoes into each bottle, which is not necessary. </w:t>
      </w:r>
    </w:p>
    <w:p w:rsidR="00FA2AF4" w:rsidRPr="00FA2AF4" w:rsidRDefault="00FA2AF4" w:rsidP="00FA2AF4">
      <w:pPr>
        <w:autoSpaceDE w:val="0"/>
        <w:autoSpaceDN w:val="0"/>
        <w:adjustRightInd w:val="0"/>
        <w:spacing w:after="0" w:line="240" w:lineRule="auto"/>
        <w:jc w:val="both"/>
        <w:rPr>
          <w:rFonts w:ascii="Garamond" w:hAnsi="Garamond" w:cs="Garamond"/>
          <w:sz w:val="24"/>
          <w:szCs w:val="24"/>
        </w:rPr>
      </w:pPr>
    </w:p>
    <w:p w:rsidR="00D478DC" w:rsidRDefault="00D478DC" w:rsidP="00FA2AF4">
      <w:pPr>
        <w:autoSpaceDE w:val="0"/>
        <w:autoSpaceDN w:val="0"/>
        <w:adjustRightInd w:val="0"/>
        <w:spacing w:after="0" w:line="240" w:lineRule="auto"/>
        <w:jc w:val="both"/>
        <w:rPr>
          <w:rFonts w:ascii="Century Gothic" w:hAnsi="Century Gothic" w:cs="Century Gothic"/>
          <w:b/>
          <w:bCs/>
          <w:color w:val="92A185" w:themeColor="accent6"/>
          <w:sz w:val="24"/>
          <w:szCs w:val="24"/>
        </w:rPr>
      </w:pPr>
      <w:r w:rsidRPr="00FA2AF4">
        <w:rPr>
          <w:rFonts w:ascii="Century Gothic" w:hAnsi="Century Gothic" w:cs="Century Gothic"/>
          <w:b/>
          <w:bCs/>
          <w:color w:val="92A185" w:themeColor="accent6"/>
          <w:sz w:val="24"/>
          <w:szCs w:val="24"/>
        </w:rPr>
        <w:t>5. What happens if there are fed and unfed mosquitoes among the field-collected mosquitoes to be used in the bioassay?</w:t>
      </w:r>
    </w:p>
    <w:p w:rsidR="00FA2AF4" w:rsidRPr="00FA2AF4" w:rsidRDefault="00FA2AF4" w:rsidP="00FA2AF4">
      <w:pPr>
        <w:autoSpaceDE w:val="0"/>
        <w:autoSpaceDN w:val="0"/>
        <w:adjustRightInd w:val="0"/>
        <w:spacing w:after="0" w:line="240" w:lineRule="auto"/>
        <w:jc w:val="both"/>
        <w:rPr>
          <w:rFonts w:ascii="Century Gothic" w:hAnsi="Century Gothic" w:cs="Century Gothic"/>
          <w:color w:val="92A185" w:themeColor="accent6"/>
          <w:sz w:val="24"/>
          <w:szCs w:val="24"/>
        </w:rPr>
      </w:pPr>
    </w:p>
    <w:p w:rsidR="00D478DC" w:rsidRPr="00FA2AF4" w:rsidRDefault="00D478DC" w:rsidP="00FA2AF4">
      <w:pPr>
        <w:autoSpaceDE w:val="0"/>
        <w:autoSpaceDN w:val="0"/>
        <w:adjustRightInd w:val="0"/>
        <w:spacing w:after="0" w:line="240" w:lineRule="auto"/>
        <w:jc w:val="both"/>
        <w:rPr>
          <w:rFonts w:ascii="Garamond" w:hAnsi="Garamond" w:cs="Garamond"/>
          <w:sz w:val="24"/>
          <w:szCs w:val="24"/>
        </w:rPr>
      </w:pPr>
      <w:r w:rsidRPr="00FA2AF4">
        <w:rPr>
          <w:rFonts w:ascii="Garamond" w:hAnsi="Garamond" w:cs="Garamond"/>
          <w:sz w:val="24"/>
          <w:szCs w:val="24"/>
        </w:rPr>
        <w:lastRenderedPageBreak/>
        <w:t>A collection of mosquitoes from the field may contain female mosquitoes in various physiological states, e.g., fed and unfed mosquitoes. There are two ways that this can be dealt with. First, mosquitoes can be randomly selected. Alternatively, mosquitoes can be held for one or two days for the blood meal to be digested and then used for the bioassay.</w:t>
      </w:r>
    </w:p>
    <w:sectPr w:rsidR="00D478DC" w:rsidRPr="00FA2AF4" w:rsidSect="004C2D13">
      <w:footerReference w:type="default" r:id="rId21"/>
      <w:pgSz w:w="12240" w:h="15840" w:code="1"/>
      <w:pgMar w:top="1080" w:right="1080" w:bottom="1080" w:left="1080" w:header="720" w:footer="720" w:gutter="0"/>
      <w:pgBorders w:offsetFrom="page">
        <w:top w:val="thinThickThinMediumGap" w:sz="36" w:space="24" w:color="AECAC8" w:themeColor="accent2" w:themeTint="99"/>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2AA" w:rsidRDefault="00FD22AA" w:rsidP="008B5D54">
      <w:pPr>
        <w:spacing w:after="0" w:line="240" w:lineRule="auto"/>
      </w:pPr>
      <w:r>
        <w:separator/>
      </w:r>
    </w:p>
  </w:endnote>
  <w:endnote w:type="continuationSeparator" w:id="0">
    <w:p w:rsidR="00FD22AA" w:rsidRDefault="00FD22AA" w:rsidP="008B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999723"/>
      <w:docPartObj>
        <w:docPartGallery w:val="Page Numbers (Bottom of Page)"/>
        <w:docPartUnique/>
      </w:docPartObj>
    </w:sdtPr>
    <w:sdtEndPr/>
    <w:sdtContent>
      <w:p w:rsidR="00FD22AA" w:rsidRDefault="00FD22AA">
        <w:pPr>
          <w:pStyle w:val="Foote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D22AA" w:rsidRDefault="00FD22AA">
                              <w:pPr>
                                <w:jc w:val="center"/>
                              </w:pPr>
                              <w:r>
                                <w:fldChar w:fldCharType="begin"/>
                              </w:r>
                              <w:r>
                                <w:instrText xml:space="preserve"> PAGE    \* MERGEFORMAT </w:instrText>
                              </w:r>
                              <w:r>
                                <w:fldChar w:fldCharType="separate"/>
                              </w:r>
                              <w:r w:rsidR="00136A08">
                                <w:rPr>
                                  <w:noProof/>
                                </w:rPr>
                                <w:t>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nsNwIAAGo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C95GnsNwIAAGoEAAAOAAAAAAAAAAAA&#10;AAAAAC4CAABkcnMvZTJvRG9jLnhtbFBLAQItABQABgAIAAAAIQD/Lyrq3gAAAAMBAAAPAAAAAAAA&#10;AAAAAAAAAJEEAABkcnMvZG93bnJldi54bWxQSwUGAAAAAAQABADzAAAAnAUAAAAA&#10;" filled="t" strokecolor="gray" strokeweight="2.25pt">
                  <v:textbox inset=",0,,0">
                    <w:txbxContent>
                      <w:p w:rsidR="00FD22AA" w:rsidRDefault="00FD22AA">
                        <w:pPr>
                          <w:jc w:val="center"/>
                        </w:pPr>
                        <w:r>
                          <w:fldChar w:fldCharType="begin"/>
                        </w:r>
                        <w:r>
                          <w:instrText xml:space="preserve"> PAGE    \* MERGEFORMAT </w:instrText>
                        </w:r>
                        <w:r>
                          <w:fldChar w:fldCharType="separate"/>
                        </w:r>
                        <w:r w:rsidR="00136A08">
                          <w:rPr>
                            <w:noProof/>
                          </w:rPr>
                          <w:t>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E59274B"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ZpJgIAAEs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I0aZp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860612"/>
      <w:docPartObj>
        <w:docPartGallery w:val="Page Numbers (Bottom of Page)"/>
        <w:docPartUnique/>
      </w:docPartObj>
    </w:sdtPr>
    <w:sdtEndPr/>
    <w:sdtContent>
      <w:p w:rsidR="00FD22AA" w:rsidRDefault="00FD22AA">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FD22AA" w:rsidRDefault="00FD22AA">
                              <w:pPr>
                                <w:jc w:val="center"/>
                              </w:pPr>
                              <w:r>
                                <w:fldChar w:fldCharType="begin"/>
                              </w:r>
                              <w:r>
                                <w:instrText xml:space="preserve"> PAGE    \* MERGEFORMAT </w:instrText>
                              </w:r>
                              <w:r>
                                <w:fldChar w:fldCharType="separate"/>
                              </w:r>
                              <w:r w:rsidR="00136A08">
                                <w:rPr>
                                  <w:noProof/>
                                </w:rPr>
                                <w:t>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LJmThI8AgAAcQQAAA4AAAAA&#10;AAAAAAAAAAAALgIAAGRycy9lMm9Eb2MueG1sUEsBAi0AFAAGAAgAAAAhAP8vKureAAAAAwEAAA8A&#10;AAAAAAAAAAAAAAAAlgQAAGRycy9kb3ducmV2LnhtbFBLBQYAAAAABAAEAPMAAAChBQAAAAA=&#10;" filled="t" strokecolor="gray" strokeweight="2.25pt">
                  <v:textbox inset=",0,,0">
                    <w:txbxContent>
                      <w:p w:rsidR="00FD22AA" w:rsidRDefault="00FD22AA">
                        <w:pPr>
                          <w:jc w:val="center"/>
                        </w:pPr>
                        <w:r>
                          <w:fldChar w:fldCharType="begin"/>
                        </w:r>
                        <w:r>
                          <w:instrText xml:space="preserve"> PAGE    \* MERGEFORMAT </w:instrText>
                        </w:r>
                        <w:r>
                          <w:fldChar w:fldCharType="separate"/>
                        </w:r>
                        <w:r w:rsidR="00136A08">
                          <w:rPr>
                            <w:noProof/>
                          </w:rPr>
                          <w:t>13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C706902" id="_x0000_t32" coordsize="21600,21600" o:spt="32" o:oned="t" path="m,l21600,21600e" filled="f">
                  <v:path arrowok="t" fillok="f" o:connecttype="none"/>
                  <o:lock v:ext="edit" shapetype="t"/>
                </v:shapetype>
                <v:shape id="Straight Arrow Connector 2"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ZjtW5S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2AA" w:rsidRDefault="00FD22AA" w:rsidP="008B5D54">
      <w:pPr>
        <w:spacing w:after="0" w:line="240" w:lineRule="auto"/>
      </w:pPr>
      <w:r>
        <w:separator/>
      </w:r>
    </w:p>
  </w:footnote>
  <w:footnote w:type="continuationSeparator" w:id="0">
    <w:p w:rsidR="00FD22AA" w:rsidRDefault="00FD22AA" w:rsidP="008B5D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C8F546"/>
    <w:multiLevelType w:val="hybridMultilevel"/>
    <w:tmpl w:val="C26E846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00786A6"/>
    <w:multiLevelType w:val="hybridMultilevel"/>
    <w:tmpl w:val="CA3FEF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21284B"/>
    <w:multiLevelType w:val="hybridMultilevel"/>
    <w:tmpl w:val="7048F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EB46CF"/>
    <w:multiLevelType w:val="hybridMultilevel"/>
    <w:tmpl w:val="4968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5C9B97"/>
    <w:multiLevelType w:val="hybridMultilevel"/>
    <w:tmpl w:val="DA6AAA8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4B359D9"/>
    <w:multiLevelType w:val="hybridMultilevel"/>
    <w:tmpl w:val="AE5F311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4FF219F"/>
    <w:multiLevelType w:val="hybridMultilevel"/>
    <w:tmpl w:val="C16E3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9532BC"/>
    <w:multiLevelType w:val="hybridMultilevel"/>
    <w:tmpl w:val="C29C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D81A89"/>
    <w:multiLevelType w:val="hybridMultilevel"/>
    <w:tmpl w:val="EF9A7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644C84"/>
    <w:multiLevelType w:val="hybridMultilevel"/>
    <w:tmpl w:val="70EEC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BD5768"/>
    <w:multiLevelType w:val="hybridMultilevel"/>
    <w:tmpl w:val="B14E98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2E32A1"/>
    <w:multiLevelType w:val="hybridMultilevel"/>
    <w:tmpl w:val="DD3822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455F1DDB"/>
    <w:multiLevelType w:val="hybridMultilevel"/>
    <w:tmpl w:val="0EB21B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39703F"/>
    <w:multiLevelType w:val="hybridMultilevel"/>
    <w:tmpl w:val="59906B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816934"/>
    <w:multiLevelType w:val="hybridMultilevel"/>
    <w:tmpl w:val="9E944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36F6CE4"/>
    <w:multiLevelType w:val="hybridMultilevel"/>
    <w:tmpl w:val="BAC0F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64943BD"/>
    <w:multiLevelType w:val="hybridMultilevel"/>
    <w:tmpl w:val="2F9A6C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1D450F"/>
    <w:multiLevelType w:val="hybridMultilevel"/>
    <w:tmpl w:val="31A87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F40E43"/>
    <w:multiLevelType w:val="hybridMultilevel"/>
    <w:tmpl w:val="CDE0B8C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6"/>
  </w:num>
  <w:num w:numId="3">
    <w:abstractNumId w:val="18"/>
  </w:num>
  <w:num w:numId="4">
    <w:abstractNumId w:val="0"/>
  </w:num>
  <w:num w:numId="5">
    <w:abstractNumId w:val="5"/>
  </w:num>
  <w:num w:numId="6">
    <w:abstractNumId w:val="17"/>
  </w:num>
  <w:num w:numId="7">
    <w:abstractNumId w:val="7"/>
  </w:num>
  <w:num w:numId="8">
    <w:abstractNumId w:val="11"/>
  </w:num>
  <w:num w:numId="9">
    <w:abstractNumId w:val="1"/>
  </w:num>
  <w:num w:numId="10">
    <w:abstractNumId w:val="3"/>
  </w:num>
  <w:num w:numId="11">
    <w:abstractNumId w:val="9"/>
  </w:num>
  <w:num w:numId="12">
    <w:abstractNumId w:val="13"/>
  </w:num>
  <w:num w:numId="13">
    <w:abstractNumId w:val="12"/>
  </w:num>
  <w:num w:numId="14">
    <w:abstractNumId w:val="14"/>
  </w:num>
  <w:num w:numId="15">
    <w:abstractNumId w:val="8"/>
  </w:num>
  <w:num w:numId="16">
    <w:abstractNumId w:val="16"/>
  </w:num>
  <w:num w:numId="17">
    <w:abstractNumId w:val="10"/>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DateAndTim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C28"/>
    <w:rsid w:val="00043720"/>
    <w:rsid w:val="0008336D"/>
    <w:rsid w:val="00136A08"/>
    <w:rsid w:val="00177C40"/>
    <w:rsid w:val="00185EB4"/>
    <w:rsid w:val="001B1218"/>
    <w:rsid w:val="003953CC"/>
    <w:rsid w:val="004C2D13"/>
    <w:rsid w:val="004F3D92"/>
    <w:rsid w:val="00512C2B"/>
    <w:rsid w:val="00541604"/>
    <w:rsid w:val="005564F3"/>
    <w:rsid w:val="0056758B"/>
    <w:rsid w:val="0058140F"/>
    <w:rsid w:val="005B0E29"/>
    <w:rsid w:val="005B7333"/>
    <w:rsid w:val="0062024C"/>
    <w:rsid w:val="006C6578"/>
    <w:rsid w:val="00700F3A"/>
    <w:rsid w:val="00702231"/>
    <w:rsid w:val="00705767"/>
    <w:rsid w:val="007337F0"/>
    <w:rsid w:val="0073527E"/>
    <w:rsid w:val="0074538E"/>
    <w:rsid w:val="007535DF"/>
    <w:rsid w:val="0079274A"/>
    <w:rsid w:val="007F78A1"/>
    <w:rsid w:val="0083614F"/>
    <w:rsid w:val="00866765"/>
    <w:rsid w:val="008B5D54"/>
    <w:rsid w:val="0093198B"/>
    <w:rsid w:val="00961CE4"/>
    <w:rsid w:val="00985C28"/>
    <w:rsid w:val="00A875ED"/>
    <w:rsid w:val="00A91199"/>
    <w:rsid w:val="00A919DD"/>
    <w:rsid w:val="00A96E80"/>
    <w:rsid w:val="00B011F1"/>
    <w:rsid w:val="00B54B5B"/>
    <w:rsid w:val="00B55735"/>
    <w:rsid w:val="00B608AC"/>
    <w:rsid w:val="00C0332E"/>
    <w:rsid w:val="00C61C41"/>
    <w:rsid w:val="00CD3106"/>
    <w:rsid w:val="00D478DC"/>
    <w:rsid w:val="00DC57CC"/>
    <w:rsid w:val="00E7147B"/>
    <w:rsid w:val="00ED06C0"/>
    <w:rsid w:val="00F52ED8"/>
    <w:rsid w:val="00FA2AF4"/>
    <w:rsid w:val="00FD22AA"/>
    <w:rsid w:val="00FF0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paragraph" w:customStyle="1" w:styleId="Default">
    <w:name w:val="Default"/>
    <w:rsid w:val="00985C28"/>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1">
    <w:name w:val="A1"/>
    <w:uiPriority w:val="99"/>
    <w:rsid w:val="00985C28"/>
    <w:rPr>
      <w:rFonts w:cs="Century Gothic"/>
      <w:b/>
      <w:bCs/>
      <w:color w:val="000000"/>
      <w:sz w:val="48"/>
      <w:szCs w:val="48"/>
    </w:rPr>
  </w:style>
  <w:style w:type="paragraph" w:customStyle="1" w:styleId="Pa4">
    <w:name w:val="Pa4"/>
    <w:basedOn w:val="Default"/>
    <w:next w:val="Default"/>
    <w:uiPriority w:val="99"/>
    <w:rsid w:val="00985C28"/>
    <w:pPr>
      <w:spacing w:line="241" w:lineRule="atLeast"/>
    </w:pPr>
    <w:rPr>
      <w:rFonts w:ascii="Garamond" w:hAnsi="Garamond" w:cstheme="minorBidi"/>
      <w:color w:val="auto"/>
    </w:rPr>
  </w:style>
  <w:style w:type="paragraph" w:customStyle="1" w:styleId="Pa3">
    <w:name w:val="Pa3"/>
    <w:basedOn w:val="Default"/>
    <w:next w:val="Default"/>
    <w:uiPriority w:val="99"/>
    <w:rsid w:val="00985C28"/>
    <w:pPr>
      <w:spacing w:line="481" w:lineRule="atLeast"/>
    </w:pPr>
    <w:rPr>
      <w:rFonts w:cstheme="minorBidi"/>
      <w:color w:val="auto"/>
    </w:rPr>
  </w:style>
  <w:style w:type="paragraph" w:customStyle="1" w:styleId="Pa8">
    <w:name w:val="Pa8"/>
    <w:basedOn w:val="Default"/>
    <w:next w:val="Default"/>
    <w:uiPriority w:val="99"/>
    <w:rsid w:val="00985C28"/>
    <w:pPr>
      <w:spacing w:line="281" w:lineRule="atLeast"/>
    </w:pPr>
    <w:rPr>
      <w:rFonts w:cstheme="minorBidi"/>
      <w:color w:val="auto"/>
    </w:rPr>
  </w:style>
  <w:style w:type="paragraph" w:customStyle="1" w:styleId="Pa9">
    <w:name w:val="Pa9"/>
    <w:basedOn w:val="Default"/>
    <w:next w:val="Default"/>
    <w:uiPriority w:val="99"/>
    <w:rsid w:val="00985C28"/>
    <w:pPr>
      <w:spacing w:line="241" w:lineRule="atLeast"/>
    </w:pPr>
    <w:rPr>
      <w:rFonts w:cstheme="minorBidi"/>
      <w:color w:val="auto"/>
    </w:rPr>
  </w:style>
  <w:style w:type="paragraph" w:styleId="ListParagraph">
    <w:name w:val="List Paragraph"/>
    <w:basedOn w:val="Normal"/>
    <w:uiPriority w:val="34"/>
    <w:qFormat/>
    <w:rsid w:val="00985C28"/>
    <w:pPr>
      <w:ind w:left="720"/>
      <w:contextualSpacing/>
    </w:pPr>
  </w:style>
  <w:style w:type="paragraph" w:customStyle="1" w:styleId="Pa11">
    <w:name w:val="Pa11"/>
    <w:basedOn w:val="Default"/>
    <w:next w:val="Default"/>
    <w:uiPriority w:val="99"/>
    <w:rsid w:val="00985C28"/>
    <w:pPr>
      <w:spacing w:line="241" w:lineRule="atLeast"/>
    </w:pPr>
    <w:rPr>
      <w:rFonts w:ascii="Garamond" w:hAnsi="Garamond" w:cstheme="minorBidi"/>
      <w:color w:val="auto"/>
    </w:rPr>
  </w:style>
  <w:style w:type="table" w:styleId="TableGrid">
    <w:name w:val="Table Grid"/>
    <w:basedOn w:val="TableNormal"/>
    <w:uiPriority w:val="59"/>
    <w:rsid w:val="00541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A919DD"/>
    <w:pPr>
      <w:spacing w:line="241" w:lineRule="atLeast"/>
    </w:pPr>
    <w:rPr>
      <w:rFonts w:cstheme="minorBidi"/>
      <w:color w:val="auto"/>
    </w:rPr>
  </w:style>
  <w:style w:type="paragraph" w:customStyle="1" w:styleId="Pa2">
    <w:name w:val="Pa2"/>
    <w:basedOn w:val="Default"/>
    <w:next w:val="Default"/>
    <w:uiPriority w:val="99"/>
    <w:rsid w:val="00A919DD"/>
    <w:pPr>
      <w:spacing w:line="281" w:lineRule="atLeast"/>
    </w:pPr>
    <w:rPr>
      <w:rFonts w:cstheme="minorBidi"/>
      <w:color w:val="auto"/>
    </w:rPr>
  </w:style>
  <w:style w:type="character" w:customStyle="1" w:styleId="A2">
    <w:name w:val="A2"/>
    <w:uiPriority w:val="99"/>
    <w:rsid w:val="00A919DD"/>
    <w:rPr>
      <w:rFonts w:cs="Century Gothic"/>
      <w:b/>
      <w:bCs/>
      <w:color w:val="000000"/>
      <w:sz w:val="26"/>
      <w:szCs w:val="26"/>
    </w:rPr>
  </w:style>
  <w:style w:type="character" w:styleId="Hyperlink">
    <w:name w:val="Hyperlink"/>
    <w:basedOn w:val="DefaultParagraphFont"/>
    <w:uiPriority w:val="99"/>
    <w:unhideWhenUsed/>
    <w:rsid w:val="00866765"/>
    <w:rPr>
      <w:color w:val="85C4D2" w:themeColor="hyperlink"/>
      <w:u w:val="single"/>
    </w:rPr>
  </w:style>
  <w:style w:type="paragraph" w:customStyle="1" w:styleId="Pa5">
    <w:name w:val="Pa5"/>
    <w:basedOn w:val="Default"/>
    <w:next w:val="Default"/>
    <w:uiPriority w:val="99"/>
    <w:rsid w:val="00866765"/>
    <w:pPr>
      <w:spacing w:line="241" w:lineRule="atLeast"/>
    </w:pPr>
    <w:rPr>
      <w:rFonts w:ascii="Garamond" w:hAnsi="Garamond" w:cstheme="minorBidi"/>
      <w:color w:val="auto"/>
    </w:rPr>
  </w:style>
  <w:style w:type="character" w:customStyle="1" w:styleId="A3">
    <w:name w:val="A3"/>
    <w:uiPriority w:val="99"/>
    <w:rsid w:val="00702231"/>
    <w:rPr>
      <w:rFonts w:cs="Century Gothic"/>
      <w:b/>
      <w:bCs/>
      <w:color w:val="000000"/>
      <w:sz w:val="28"/>
      <w:szCs w:val="28"/>
    </w:rPr>
  </w:style>
  <w:style w:type="character" w:customStyle="1" w:styleId="A7">
    <w:name w:val="A7"/>
    <w:uiPriority w:val="99"/>
    <w:rsid w:val="00702231"/>
    <w:rPr>
      <w:rFonts w:ascii="Garamond" w:hAnsi="Garamond" w:cs="Garamond"/>
      <w:color w:val="000000"/>
      <w:u w:val="single"/>
    </w:rPr>
  </w:style>
  <w:style w:type="paragraph" w:styleId="BalloonText">
    <w:name w:val="Balloon Text"/>
    <w:basedOn w:val="Normal"/>
    <w:link w:val="BalloonTextChar"/>
    <w:uiPriority w:val="99"/>
    <w:semiHidden/>
    <w:unhideWhenUsed/>
    <w:rsid w:val="00136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A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 w:type="paragraph" w:customStyle="1" w:styleId="Default">
    <w:name w:val="Default"/>
    <w:rsid w:val="00985C28"/>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1">
    <w:name w:val="A1"/>
    <w:uiPriority w:val="99"/>
    <w:rsid w:val="00985C28"/>
    <w:rPr>
      <w:rFonts w:cs="Century Gothic"/>
      <w:b/>
      <w:bCs/>
      <w:color w:val="000000"/>
      <w:sz w:val="48"/>
      <w:szCs w:val="48"/>
    </w:rPr>
  </w:style>
  <w:style w:type="paragraph" w:customStyle="1" w:styleId="Pa4">
    <w:name w:val="Pa4"/>
    <w:basedOn w:val="Default"/>
    <w:next w:val="Default"/>
    <w:uiPriority w:val="99"/>
    <w:rsid w:val="00985C28"/>
    <w:pPr>
      <w:spacing w:line="241" w:lineRule="atLeast"/>
    </w:pPr>
    <w:rPr>
      <w:rFonts w:ascii="Garamond" w:hAnsi="Garamond" w:cstheme="minorBidi"/>
      <w:color w:val="auto"/>
    </w:rPr>
  </w:style>
  <w:style w:type="paragraph" w:customStyle="1" w:styleId="Pa3">
    <w:name w:val="Pa3"/>
    <w:basedOn w:val="Default"/>
    <w:next w:val="Default"/>
    <w:uiPriority w:val="99"/>
    <w:rsid w:val="00985C28"/>
    <w:pPr>
      <w:spacing w:line="481" w:lineRule="atLeast"/>
    </w:pPr>
    <w:rPr>
      <w:rFonts w:cstheme="minorBidi"/>
      <w:color w:val="auto"/>
    </w:rPr>
  </w:style>
  <w:style w:type="paragraph" w:customStyle="1" w:styleId="Pa8">
    <w:name w:val="Pa8"/>
    <w:basedOn w:val="Default"/>
    <w:next w:val="Default"/>
    <w:uiPriority w:val="99"/>
    <w:rsid w:val="00985C28"/>
    <w:pPr>
      <w:spacing w:line="281" w:lineRule="atLeast"/>
    </w:pPr>
    <w:rPr>
      <w:rFonts w:cstheme="minorBidi"/>
      <w:color w:val="auto"/>
    </w:rPr>
  </w:style>
  <w:style w:type="paragraph" w:customStyle="1" w:styleId="Pa9">
    <w:name w:val="Pa9"/>
    <w:basedOn w:val="Default"/>
    <w:next w:val="Default"/>
    <w:uiPriority w:val="99"/>
    <w:rsid w:val="00985C28"/>
    <w:pPr>
      <w:spacing w:line="241" w:lineRule="atLeast"/>
    </w:pPr>
    <w:rPr>
      <w:rFonts w:cstheme="minorBidi"/>
      <w:color w:val="auto"/>
    </w:rPr>
  </w:style>
  <w:style w:type="paragraph" w:styleId="ListParagraph">
    <w:name w:val="List Paragraph"/>
    <w:basedOn w:val="Normal"/>
    <w:uiPriority w:val="34"/>
    <w:qFormat/>
    <w:rsid w:val="00985C28"/>
    <w:pPr>
      <w:ind w:left="720"/>
      <w:contextualSpacing/>
    </w:pPr>
  </w:style>
  <w:style w:type="paragraph" w:customStyle="1" w:styleId="Pa11">
    <w:name w:val="Pa11"/>
    <w:basedOn w:val="Default"/>
    <w:next w:val="Default"/>
    <w:uiPriority w:val="99"/>
    <w:rsid w:val="00985C28"/>
    <w:pPr>
      <w:spacing w:line="241" w:lineRule="atLeast"/>
    </w:pPr>
    <w:rPr>
      <w:rFonts w:ascii="Garamond" w:hAnsi="Garamond" w:cstheme="minorBidi"/>
      <w:color w:val="auto"/>
    </w:rPr>
  </w:style>
  <w:style w:type="table" w:styleId="TableGrid">
    <w:name w:val="Table Grid"/>
    <w:basedOn w:val="TableNormal"/>
    <w:uiPriority w:val="59"/>
    <w:rsid w:val="005416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A919DD"/>
    <w:pPr>
      <w:spacing w:line="241" w:lineRule="atLeast"/>
    </w:pPr>
    <w:rPr>
      <w:rFonts w:cstheme="minorBidi"/>
      <w:color w:val="auto"/>
    </w:rPr>
  </w:style>
  <w:style w:type="paragraph" w:customStyle="1" w:styleId="Pa2">
    <w:name w:val="Pa2"/>
    <w:basedOn w:val="Default"/>
    <w:next w:val="Default"/>
    <w:uiPriority w:val="99"/>
    <w:rsid w:val="00A919DD"/>
    <w:pPr>
      <w:spacing w:line="281" w:lineRule="atLeast"/>
    </w:pPr>
    <w:rPr>
      <w:rFonts w:cstheme="minorBidi"/>
      <w:color w:val="auto"/>
    </w:rPr>
  </w:style>
  <w:style w:type="character" w:customStyle="1" w:styleId="A2">
    <w:name w:val="A2"/>
    <w:uiPriority w:val="99"/>
    <w:rsid w:val="00A919DD"/>
    <w:rPr>
      <w:rFonts w:cs="Century Gothic"/>
      <w:b/>
      <w:bCs/>
      <w:color w:val="000000"/>
      <w:sz w:val="26"/>
      <w:szCs w:val="26"/>
    </w:rPr>
  </w:style>
  <w:style w:type="character" w:styleId="Hyperlink">
    <w:name w:val="Hyperlink"/>
    <w:basedOn w:val="DefaultParagraphFont"/>
    <w:uiPriority w:val="99"/>
    <w:unhideWhenUsed/>
    <w:rsid w:val="00866765"/>
    <w:rPr>
      <w:color w:val="85C4D2" w:themeColor="hyperlink"/>
      <w:u w:val="single"/>
    </w:rPr>
  </w:style>
  <w:style w:type="paragraph" w:customStyle="1" w:styleId="Pa5">
    <w:name w:val="Pa5"/>
    <w:basedOn w:val="Default"/>
    <w:next w:val="Default"/>
    <w:uiPriority w:val="99"/>
    <w:rsid w:val="00866765"/>
    <w:pPr>
      <w:spacing w:line="241" w:lineRule="atLeast"/>
    </w:pPr>
    <w:rPr>
      <w:rFonts w:ascii="Garamond" w:hAnsi="Garamond" w:cstheme="minorBidi"/>
      <w:color w:val="auto"/>
    </w:rPr>
  </w:style>
  <w:style w:type="character" w:customStyle="1" w:styleId="A3">
    <w:name w:val="A3"/>
    <w:uiPriority w:val="99"/>
    <w:rsid w:val="00702231"/>
    <w:rPr>
      <w:rFonts w:cs="Century Gothic"/>
      <w:b/>
      <w:bCs/>
      <w:color w:val="000000"/>
      <w:sz w:val="28"/>
      <w:szCs w:val="28"/>
    </w:rPr>
  </w:style>
  <w:style w:type="character" w:customStyle="1" w:styleId="A7">
    <w:name w:val="A7"/>
    <w:uiPriority w:val="99"/>
    <w:rsid w:val="00702231"/>
    <w:rPr>
      <w:rFonts w:ascii="Garamond" w:hAnsi="Garamond" w:cs="Garamond"/>
      <w:color w:val="000000"/>
      <w:u w:val="single"/>
    </w:rPr>
  </w:style>
  <w:style w:type="paragraph" w:styleId="BalloonText">
    <w:name w:val="Balloon Text"/>
    <w:basedOn w:val="Normal"/>
    <w:link w:val="BalloonTextChar"/>
    <w:uiPriority w:val="99"/>
    <w:semiHidden/>
    <w:unhideWhenUsed/>
    <w:rsid w:val="00136A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A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gni6@cdc.gov"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vm6@cdc.gov"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http://www.cdc.gov/malaria"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Feathered">
  <a:themeElements>
    <a:clrScheme name="Feathered">
      <a:dk1>
        <a:sysClr val="windowText" lastClr="000000"/>
      </a:dk1>
      <a:lt1>
        <a:sysClr val="window" lastClr="FFFFFF"/>
      </a:lt1>
      <a:dk2>
        <a:srgbClr val="121316"/>
      </a:dk2>
      <a:lt2>
        <a:srgbClr val="FEFCF7"/>
      </a:lt2>
      <a:accent1>
        <a:srgbClr val="606372"/>
      </a:accent1>
      <a:accent2>
        <a:srgbClr val="79A8A4"/>
      </a:accent2>
      <a:accent3>
        <a:srgbClr val="B2AD8F"/>
      </a:accent3>
      <a:accent4>
        <a:srgbClr val="AD8082"/>
      </a:accent4>
      <a:accent5>
        <a:srgbClr val="DEC18C"/>
      </a:accent5>
      <a:accent6>
        <a:srgbClr val="92A185"/>
      </a:accent6>
      <a:hlink>
        <a:srgbClr val="85C4D2"/>
      </a:hlink>
      <a:folHlink>
        <a:srgbClr val="8E8CA7"/>
      </a:folHlink>
    </a:clrScheme>
    <a:fontScheme name="Feathered">
      <a:majorFont>
        <a:latin typeface="Century Schoolbook"/>
        <a:ea typeface=""/>
        <a:cs typeface=""/>
        <a:font script="Jpan" typeface="メイリオ"/>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メイリオ"/>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eathered">
      <a:fillStyleLst>
        <a:solidFill>
          <a:schemeClr val="phClr"/>
        </a:solidFill>
        <a:solidFill>
          <a:schemeClr val="phClr">
            <a:tint val="67000"/>
            <a:satMod val="105000"/>
          </a:schemeClr>
        </a:solidFill>
        <a:gradFill rotWithShape="1">
          <a:gsLst>
            <a:gs pos="0">
              <a:schemeClr val="phClr">
                <a:tint val="94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tint val="50000"/>
              <a:shade val="83000"/>
            </a:schemeClr>
          </a:solidFill>
          <a:prstDash val="solid"/>
        </a:ln>
      </a:lnStyleLst>
      <a:effectStyleLst>
        <a:effectStyle>
          <a:effectLst/>
        </a:effectStyle>
        <a:effectStyle>
          <a:effectLst/>
        </a:effectStyle>
        <a:effectStyle>
          <a:effectLst>
            <a:outerShdw blurRad="57150" dist="25400" dir="5400000" algn="ctr" rotWithShape="0">
              <a:srgbClr val="000000">
                <a:alpha val="2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Feathered" id="{EEC9B30E-2747-4D42-BCBE-A02BDEEEA114}" vid="{AACE42CE-5C67-4514-8A89-3472F564E14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7CA6D-08FD-4762-8C0B-BAA02C5ED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5202</Words>
  <Characters>29653</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34786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Mariah L. (CDC/OID/NCEZID)</dc:creator>
  <cp:lastModifiedBy>Karen I. Akaratovic</cp:lastModifiedBy>
  <cp:revision>2</cp:revision>
  <dcterms:created xsi:type="dcterms:W3CDTF">2018-03-21T14:49:00Z</dcterms:created>
  <dcterms:modified xsi:type="dcterms:W3CDTF">2018-03-21T14:49:00Z</dcterms:modified>
</cp:coreProperties>
</file>