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40"/>
      </w:pPr>
      <w:r>
        <w:rPr>
          <w:rFonts w:ascii="Arial" w:cs="Arial" w:eastAsia="Arial" w:hAnsi="Arial"/>
          <w:b/>
          <w:bCs/>
          <w:color w:val="8B0000"/>
          <w:sz w:val="28"/>
          <w:szCs w:val="28"/>
        </w:rPr>
        <w:t xml:space="preserve">MIQDASH BETHEL</w:t>
      </w:r>
    </w:p>
    <w:p>
      <w:pPr>
        <w:spacing w:before="0" w:after="60"/>
      </w:pPr>
      <w:r>
        <w:rPr>
          <w:rFonts w:ascii="Arial" w:cs="Arial" w:eastAsia="Arial" w:hAnsi="Arial"/>
          <w:color w:val="1A1A1A"/>
          <w:sz w:val="22"/>
          <w:szCs w:val="22"/>
        </w:rPr>
        <w:t xml:space="preserve">Elder Kepha Arcemont</w:t>
      </w:r>
    </w:p>
    <w:p>
      <w:pPr>
        <w:spacing w:before="0" w:after="80"/>
      </w:pPr>
      <w:r>
        <w:rPr>
          <w:rFonts w:ascii="Arial" w:cs="Arial" w:eastAsia="Arial" w:hAnsi="Arial"/>
          <w:color w:val="1A1A1A"/>
          <w:sz w:val="22"/>
          <w:szCs w:val="22"/>
        </w:rPr>
        <w:t xml:space="preserve">P.O. Box 762</w:t>
      </w:r>
    </w:p>
    <w:p>
      <w:pPr>
        <w:spacing w:before="0" w:after="80"/>
      </w:pPr>
      <w:r>
        <w:rPr>
          <w:rFonts w:ascii="Arial" w:cs="Arial" w:eastAsia="Arial" w:hAnsi="Arial"/>
          <w:color w:val="1A1A1A"/>
          <w:sz w:val="22"/>
          <w:szCs w:val="22"/>
        </w:rPr>
        <w:t xml:space="preserve">Pearl River, Louisiana 70452</w:t>
      </w:r>
    </w:p>
    <w:p>
      <w:pPr>
        <w:spacing w:before="0" w:after="80"/>
      </w:pPr>
      <w:r>
        <w:rPr>
          <w:rFonts w:ascii="Arial" w:cs="Arial" w:eastAsia="Arial" w:hAnsi="Arial"/>
          <w:color w:val="1A1A1A"/>
          <w:sz w:val="22"/>
          <w:szCs w:val="22"/>
        </w:rPr>
        <w:t xml:space="preserve">Telephone: 402-218-9530</w:t>
      </w:r>
    </w:p>
    <w:p>
      <w:pPr>
        <w:spacing w:before="0" w:after="80"/>
      </w:pPr>
      <w:r>
        <w:rPr>
          <w:rFonts w:ascii="Arial" w:cs="Arial" w:eastAsia="Arial" w:hAnsi="Arial"/>
          <w:color w:val="1A1A1A"/>
          <w:sz w:val="22"/>
          <w:szCs w:val="22"/>
        </w:rPr>
        <w:t xml:space="preserve">Email: kepha613@gmail.com</w:t>
      </w:r>
    </w:p>
    <w:p>
      <w:pPr>
        <w:spacing w:before="40" w:after="40"/>
      </w:pPr>
      <w:r>
        <w:rPr>
          <w:rFonts w:ascii="Arial" w:cs="Arial" w:eastAsia="Arial" w:hAnsi="Arial"/>
          <w:color w:val="1A1A1A"/>
          <w:sz w:val="22"/>
          <w:szCs w:val="22"/>
        </w:rPr>
        <w:t xml:space="preserve"/>
      </w:r>
    </w:p>
    <w:p>
      <w:pPr>
        <w:spacing w:before="0" w:after="80"/>
      </w:pPr>
      <w:r>
        <w:rPr>
          <w:rFonts w:ascii="Arial" w:cs="Arial" w:eastAsia="Arial" w:hAnsi="Arial"/>
          <w:color w:val="1A1A1A"/>
          <w:sz w:val="22"/>
          <w:szCs w:val="22"/>
        </w:rPr>
        <w:t xml:space="preserve">March 4, 2026</w:t>
      </w:r>
    </w:p>
    <w:p>
      <w:pPr>
        <w:pBdr>
          <w:bottom w:val="single" w:color="8B0000" w:sz="4" w:space="1"/>
        </w:pBdr>
        <w:spacing w:before="180" w:after="180"/>
      </w:pPr>
      <w:r>
        <w:rPr>
          <w:rFonts w:ascii="Arial" w:cs="Arial" w:eastAsia="Arial" w:hAnsi="Arial"/>
          <w:color w:val="1A1A1A"/>
          <w:sz w:val="22"/>
          <w:szCs w:val="22"/>
        </w:rPr>
        <w:t xml:space="preserve"/>
      </w:r>
    </w:p>
    <w:p>
      <w:pPr>
        <w:spacing w:before="0" w:after="120"/>
      </w:pPr>
      <w:r>
        <w:rPr>
          <w:rFonts w:ascii="Arial" w:cs="Arial" w:eastAsia="Arial" w:hAnsi="Arial"/>
          <w:color w:val="1A1A1A"/>
          <w:sz w:val="22"/>
          <w:szCs w:val="22"/>
        </w:rPr>
        <w:t xml:space="preserve">This petition is formally addressed to the following officials and bodies: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shd w:fill="FAF4F4" w:val="clear"/>
            <w:tcMar>
              <w:top w:type="dxa" w:w="120"/>
              <w:left w:type="dxa" w:w="200"/>
              <w:bottom w:type="dxa" w:w="120"/>
              <w:right w:type="dxa" w:w="200"/>
            </w:tcMar>
          </w:tcPr>
          <w:p>
            <w:pPr>
              <w:spacing w:before="0" w:after="40"/>
            </w:pPr>
            <w:r>
              <w:rPr>
                <w:rFonts w:ascii="Arial" w:cs="Arial" w:eastAsia="Arial" w:hAnsi="Arial"/>
                <w:b/>
                <w:bCs/>
                <w:color w:val="8B0000"/>
                <w:sz w:val="18"/>
                <w:szCs w:val="18"/>
              </w:rPr>
              <w:t xml:space="preserve">RECIPIENT 1 — SECRETARY-GENERAL, UNITED NATIONS</w:t>
            </w:r>
          </w:p>
          <w:p>
            <w:pPr>
              <w:spacing w:before="0" w:after="40"/>
            </w:pPr>
            <w:r>
              <w:rPr>
                <w:rFonts w:ascii="Arial" w:cs="Arial" w:eastAsia="Arial" w:hAnsi="Arial"/>
                <w:b/>
                <w:bCs/>
                <w:color w:val="1A1A1A"/>
                <w:sz w:val="22"/>
                <w:szCs w:val="22"/>
              </w:rPr>
              <w:t xml:space="preserve">H.E. António Guterres</w:t>
            </w:r>
          </w:p>
          <w:p>
            <w:pPr>
              <w:spacing w:before="0" w:after="30"/>
            </w:pPr>
            <w:r>
              <w:rPr>
                <w:rFonts w:ascii="Arial" w:cs="Arial" w:eastAsia="Arial" w:hAnsi="Arial"/>
                <w:color w:val="333333"/>
                <w:sz w:val="22"/>
                <w:szCs w:val="22"/>
              </w:rPr>
              <w:t xml:space="preserve">Office of the Secretary-General, United Nations Secretariat</w:t>
            </w:r>
          </w:p>
          <w:p>
            <w:pPr>
              <w:spacing w:before="0" w:after="0"/>
            </w:pPr>
            <w:r>
              <w:rPr>
                <w:rFonts w:ascii="Arial" w:cs="Arial" w:eastAsia="Arial" w:hAnsi="Arial"/>
                <w:color w:val="555555"/>
                <w:sz w:val="20"/>
                <w:szCs w:val="20"/>
              </w:rPr>
              <w:t xml:space="preserve">United Nations Plaza, New York, NY 10017 | sg@un.org</w:t>
            </w:r>
          </w:p>
        </w:tc>
      </w:tr>
    </w:tbl>
    <w:p>
      <w:pPr>
        <w:spacing w:before="40" w:after="4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shd w:fill="FAF4F4" w:val="clear"/>
            <w:tcMar>
              <w:top w:type="dxa" w:w="120"/>
              <w:left w:type="dxa" w:w="200"/>
              <w:bottom w:type="dxa" w:w="120"/>
              <w:right w:type="dxa" w:w="200"/>
            </w:tcMar>
          </w:tcPr>
          <w:p>
            <w:pPr>
              <w:spacing w:before="0" w:after="40"/>
            </w:pPr>
            <w:r>
              <w:rPr>
                <w:rFonts w:ascii="Arial" w:cs="Arial" w:eastAsia="Arial" w:hAnsi="Arial"/>
                <w:b/>
                <w:bCs/>
                <w:color w:val="8B0000"/>
                <w:sz w:val="18"/>
                <w:szCs w:val="18"/>
              </w:rPr>
              <w:t xml:space="preserve">RECIPIENT 2 — PRESIDENT, INTERNATIONAL COURT OF JUSTICE</w:t>
            </w:r>
          </w:p>
          <w:p>
            <w:pPr>
              <w:spacing w:before="0" w:after="40"/>
            </w:pPr>
            <w:r>
              <w:rPr>
                <w:rFonts w:ascii="Arial" w:cs="Arial" w:eastAsia="Arial" w:hAnsi="Arial"/>
                <w:b/>
                <w:bCs/>
                <w:color w:val="1A1A1A"/>
                <w:sz w:val="22"/>
                <w:szCs w:val="22"/>
              </w:rPr>
              <w:t xml:space="preserve">H.E. Judge Yuji Iwasawa</w:t>
            </w:r>
          </w:p>
          <w:p>
            <w:pPr>
              <w:spacing w:before="0" w:after="30"/>
            </w:pPr>
            <w:r>
              <w:rPr>
                <w:rFonts w:ascii="Arial" w:cs="Arial" w:eastAsia="Arial" w:hAnsi="Arial"/>
                <w:color w:val="333333"/>
                <w:sz w:val="22"/>
                <w:szCs w:val="22"/>
              </w:rPr>
              <w:t xml:space="preserve">International Court of Justice</w:t>
            </w:r>
          </w:p>
          <w:p>
            <w:pPr>
              <w:spacing w:before="0" w:after="0"/>
            </w:pPr>
            <w:r>
              <w:rPr>
                <w:rFonts w:ascii="Arial" w:cs="Arial" w:eastAsia="Arial" w:hAnsi="Arial"/>
                <w:color w:val="555555"/>
                <w:sz w:val="20"/>
                <w:szCs w:val="20"/>
              </w:rPr>
              <w:t xml:space="preserve">Peace Palace, Carnegieplein 2, 2517 KJ The Hague, Netherlands | information@icj-cij.org</w:t>
            </w:r>
          </w:p>
        </w:tc>
      </w:tr>
    </w:tbl>
    <w:p>
      <w:pPr>
        <w:spacing w:before="40" w:after="4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shd w:fill="FAF4F4" w:val="clear"/>
            <w:tcMar>
              <w:top w:type="dxa" w:w="120"/>
              <w:left w:type="dxa" w:w="200"/>
              <w:bottom w:type="dxa" w:w="120"/>
              <w:right w:type="dxa" w:w="200"/>
            </w:tcMar>
          </w:tcPr>
          <w:p>
            <w:pPr>
              <w:spacing w:before="0" w:after="40"/>
            </w:pPr>
            <w:r>
              <w:rPr>
                <w:rFonts w:ascii="Arial" w:cs="Arial" w:eastAsia="Arial" w:hAnsi="Arial"/>
                <w:b/>
                <w:bCs/>
                <w:color w:val="8B0000"/>
                <w:sz w:val="18"/>
                <w:szCs w:val="18"/>
              </w:rPr>
              <w:t xml:space="preserve">RECIPIENT 3 — OFFICE OF THE PROSECUTOR, INTERNATIONAL CRIMINAL COURT</w:t>
            </w:r>
          </w:p>
          <w:p>
            <w:pPr>
              <w:spacing w:before="0" w:after="40"/>
            </w:pPr>
            <w:r>
              <w:rPr>
                <w:rFonts w:ascii="Arial" w:cs="Arial" w:eastAsia="Arial" w:hAnsi="Arial"/>
                <w:b/>
                <w:bCs/>
                <w:color w:val="1A1A1A"/>
                <w:sz w:val="22"/>
                <w:szCs w:val="22"/>
              </w:rPr>
              <w:t xml:space="preserve">Office of the Prosecutor — International Criminal Court</w:t>
            </w:r>
          </w:p>
          <w:p>
            <w:pPr>
              <w:spacing w:before="0" w:after="30"/>
            </w:pPr>
            <w:r>
              <w:rPr>
                <w:rFonts w:ascii="Arial" w:cs="Arial" w:eastAsia="Arial" w:hAnsi="Arial"/>
                <w:color w:val="333333"/>
                <w:sz w:val="22"/>
                <w:szCs w:val="22"/>
              </w:rPr>
              <w:t xml:space="preserve">Attn: Acting Prosecutor / ICC Pre-Trial Chamber</w:t>
            </w:r>
          </w:p>
          <w:p>
            <w:pPr>
              <w:spacing w:before="0" w:after="0"/>
            </w:pPr>
            <w:r>
              <w:rPr>
                <w:rFonts w:ascii="Arial" w:cs="Arial" w:eastAsia="Arial" w:hAnsi="Arial"/>
                <w:color w:val="555555"/>
                <w:sz w:val="20"/>
                <w:szCs w:val="20"/>
              </w:rPr>
              <w:t xml:space="preserve">Oude Waalsdorperweg 10, 2597 AK The Hague, Netherlands | otp.informationdesk@icc-cpi.int</w:t>
            </w:r>
          </w:p>
        </w:tc>
      </w:tr>
    </w:tbl>
    <w:p>
      <w:pPr>
        <w:spacing w:before="40" w:after="4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shd w:fill="FAF4F4" w:val="clear"/>
            <w:tcMar>
              <w:top w:type="dxa" w:w="120"/>
              <w:left w:type="dxa" w:w="200"/>
              <w:bottom w:type="dxa" w:w="120"/>
              <w:right w:type="dxa" w:w="200"/>
            </w:tcMar>
          </w:tcPr>
          <w:p>
            <w:pPr>
              <w:spacing w:before="0" w:after="40"/>
            </w:pPr>
            <w:r>
              <w:rPr>
                <w:rFonts w:ascii="Arial" w:cs="Arial" w:eastAsia="Arial" w:hAnsi="Arial"/>
                <w:b/>
                <w:bCs/>
                <w:color w:val="8B0000"/>
                <w:sz w:val="18"/>
                <w:szCs w:val="18"/>
              </w:rPr>
              <w:t xml:space="preserve">RECIPIENT 4 — UN SPECIAL RAPPORTEUR, OCCUPIED PALESTINIAN TERRITORY</w:t>
            </w:r>
          </w:p>
          <w:p>
            <w:pPr>
              <w:spacing w:before="0" w:after="40"/>
            </w:pPr>
            <w:r>
              <w:rPr>
                <w:rFonts w:ascii="Arial" w:cs="Arial" w:eastAsia="Arial" w:hAnsi="Arial"/>
                <w:b/>
                <w:bCs/>
                <w:color w:val="1A1A1A"/>
                <w:sz w:val="22"/>
                <w:szCs w:val="22"/>
              </w:rPr>
              <w:t xml:space="preserve">Office of the UN High Commissioner for Human Rights</w:t>
            </w:r>
          </w:p>
          <w:p>
            <w:pPr>
              <w:spacing w:before="0" w:after="30"/>
            </w:pPr>
            <w:r>
              <w:rPr>
                <w:rFonts w:ascii="Arial" w:cs="Arial" w:eastAsia="Arial" w:hAnsi="Arial"/>
                <w:color w:val="333333"/>
                <w:sz w:val="22"/>
                <w:szCs w:val="22"/>
              </w:rPr>
              <w:t xml:space="preserve">United Nations Human Rights Council — Special Procedures</w:t>
            </w:r>
          </w:p>
          <w:p>
            <w:pPr>
              <w:spacing w:before="0" w:after="0"/>
            </w:pPr>
            <w:r>
              <w:rPr>
                <w:rFonts w:ascii="Arial" w:cs="Arial" w:eastAsia="Arial" w:hAnsi="Arial"/>
                <w:color w:val="555555"/>
                <w:sz w:val="20"/>
                <w:szCs w:val="20"/>
              </w:rPr>
              <w:t xml:space="preserve">Palais des Nations, CH-1211 Geneva 10, Switzerland | ohchr-info@un.org</w:t>
            </w:r>
          </w:p>
        </w:tc>
      </w:tr>
    </w:tbl>
    <w:p>
      <w:pPr>
        <w:spacing w:before="40" w:after="4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shd w:fill="FAF4F4" w:val="clear"/>
            <w:tcMar>
              <w:top w:type="dxa" w:w="120"/>
              <w:left w:type="dxa" w:w="200"/>
              <w:bottom w:type="dxa" w:w="120"/>
              <w:right w:type="dxa" w:w="200"/>
            </w:tcMar>
          </w:tcPr>
          <w:p>
            <w:pPr>
              <w:spacing w:before="0" w:after="40"/>
            </w:pPr>
            <w:r>
              <w:rPr>
                <w:rFonts w:ascii="Arial" w:cs="Arial" w:eastAsia="Arial" w:hAnsi="Arial"/>
                <w:b/>
                <w:bCs/>
                <w:color w:val="8B0000"/>
                <w:sz w:val="18"/>
                <w:szCs w:val="18"/>
              </w:rPr>
              <w:t xml:space="preserve">RECIPIENT 5 — PRESIDENT, 79th SESSION, UN GENERAL ASSEMBLY</w:t>
            </w:r>
          </w:p>
          <w:p>
            <w:pPr>
              <w:spacing w:before="0" w:after="40"/>
            </w:pPr>
            <w:r>
              <w:rPr>
                <w:rFonts w:ascii="Arial" w:cs="Arial" w:eastAsia="Arial" w:hAnsi="Arial"/>
                <w:b/>
                <w:bCs/>
                <w:color w:val="1A1A1A"/>
                <w:sz w:val="22"/>
                <w:szCs w:val="22"/>
              </w:rPr>
              <w:t xml:space="preserve">H.E. Philémon Yang</w:t>
            </w:r>
          </w:p>
          <w:p>
            <w:pPr>
              <w:spacing w:before="0" w:after="30"/>
            </w:pPr>
            <w:r>
              <w:rPr>
                <w:rFonts w:ascii="Arial" w:cs="Arial" w:eastAsia="Arial" w:hAnsi="Arial"/>
                <w:color w:val="333333"/>
                <w:sz w:val="22"/>
                <w:szCs w:val="22"/>
              </w:rPr>
              <w:t xml:space="preserve">President, United Nations General Assembly — 79th Session</w:t>
            </w:r>
          </w:p>
          <w:p>
            <w:pPr>
              <w:spacing w:before="0" w:after="0"/>
            </w:pPr>
            <w:r>
              <w:rPr>
                <w:rFonts w:ascii="Arial" w:cs="Arial" w:eastAsia="Arial" w:hAnsi="Arial"/>
                <w:color w:val="555555"/>
                <w:sz w:val="20"/>
                <w:szCs w:val="20"/>
              </w:rPr>
              <w:t xml:space="preserve">United Nations Plaza, New York, NY 10017 | pga@un.org</w:t>
            </w:r>
          </w:p>
        </w:tc>
      </w:tr>
    </w:tbl>
    <w:p>
      <w:pPr>
        <w:pBdr>
          <w:bottom w:val="single" w:color="8B0000" w:sz="4" w:space="1"/>
        </w:pBdr>
        <w:spacing w:before="180" w:after="180"/>
      </w:pPr>
      <w:r>
        <w:rPr>
          <w:rFonts w:ascii="Arial" w:cs="Arial" w:eastAsia="Arial" w:hAnsi="Arial"/>
          <w:color w:val="1A1A1A"/>
          <w:sz w:val="22"/>
          <w:szCs w:val="22"/>
        </w:rPr>
        <w:t xml:space="preserve"/>
      </w:r>
    </w:p>
    <w:p>
      <w:pPr>
        <w:pBdr>
          <w:top w:val="single" w:color="8B0000" w:sz="4" w:space="6"/>
          <w:bottom w:val="single" w:color="8B0000" w:sz="4" w:space="6"/>
        </w:pBdr>
        <w:spacing w:before="100" w:after="120"/>
      </w:pPr>
      <w:r>
        <w:rPr>
          <w:rFonts w:ascii="Arial" w:cs="Arial" w:eastAsia="Arial" w:hAnsi="Arial"/>
          <w:b/>
          <w:bCs/>
          <w:color w:val="8B0000"/>
          <w:sz w:val="22"/>
          <w:szCs w:val="22"/>
        </w:rPr>
        <w:t xml:space="preserve">RE:  </w:t>
      </w:r>
      <w:r>
        <w:rPr>
          <w:rFonts w:ascii="Arial" w:cs="Arial" w:eastAsia="Arial" w:hAnsi="Arial"/>
          <w:b/>
          <w:bCs/>
          <w:color w:val="1A1A1A"/>
          <w:sz w:val="22"/>
          <w:szCs w:val="22"/>
        </w:rPr>
        <w:t xml:space="preserve">Urgent Petition Demanding Enforcement of Binding ICJ Orders, Immediate Cessation of Civilian Killing in Gaza, and Full International Recognition of the Historical, Genetic, and Covenantal Identity of the Palestinian People as Rightful Heirs of the Land</w:t>
      </w:r>
    </w:p>
    <w:p>
      <w:pPr>
        <w:spacing w:before="40" w:after="40"/>
      </w:pPr>
      <w:r>
        <w:rPr>
          <w:rFonts w:ascii="Arial" w:cs="Arial" w:eastAsia="Arial" w:hAnsi="Arial"/>
          <w:color w:val="1A1A1A"/>
          <w:sz w:val="22"/>
          <w:szCs w:val="22"/>
        </w:rPr>
        <w:t xml:space="preserve"/>
      </w:r>
    </w:p>
    <w:p>
      <w:pPr>
        <w:spacing w:before="80" w:after="140" w:line="320"/>
        <w:jc w:val="both"/>
      </w:pPr>
      <w:r>
        <w:rPr>
          <w:rFonts w:ascii="Arial" w:cs="Arial" w:eastAsia="Arial" w:hAnsi="Arial"/>
          <w:color w:val="1A1A1A"/>
          <w:sz w:val="22"/>
          <w:szCs w:val="22"/>
        </w:rPr>
        <w:t xml:space="preserve">Your Excellencies,</w:t>
      </w:r>
    </w:p>
    <w:p>
      <w:pPr>
        <w:spacing w:before="40" w:after="40"/>
      </w:pPr>
      <w:r>
        <w:rPr>
          <w:rFonts w:ascii="Arial" w:cs="Arial" w:eastAsia="Arial" w:hAnsi="Arial"/>
          <w:color w:val="1A1A1A"/>
          <w:sz w:val="22"/>
          <w:szCs w:val="22"/>
        </w:rPr>
        <w:t xml:space="preserve"/>
      </w:r>
    </w:p>
    <w:p>
      <w:pPr>
        <w:spacing w:before="80" w:after="140" w:line="320"/>
        <w:jc w:val="both"/>
      </w:pPr>
      <w:r>
        <w:rPr>
          <w:rFonts w:ascii="Arial" w:cs="Arial" w:eastAsia="Arial" w:hAnsi="Arial"/>
          <w:color w:val="1A1A1A"/>
          <w:sz w:val="22"/>
          <w:szCs w:val="22"/>
        </w:rPr>
        <w:t xml:space="preserve">I am Elder Kepha Arcemont, writing on behalf of Miqdash Bethel — a community of faith rooted in the study and practice of the original Hebrew covenant scriptures as given through Moshe (Moses) to Am Yisra'el at Sinai. I write to you not as a political partisan, not in hatred of any people, and not to advocate for the destruction of any nation. I write in the tradition of the ancient Hebrew prophets, who were commanded to stand before kings, rulers, and nations and speak the truth that justice required — regardless of the personal cost.</w:t>
      </w:r>
    </w:p>
    <w:p>
      <w:pPr>
        <w:spacing w:before="80" w:after="140" w:line="320"/>
        <w:jc w:val="both"/>
      </w:pPr>
      <w:r>
        <w:rPr>
          <w:rFonts w:ascii="Arial" w:cs="Arial" w:eastAsia="Arial" w:hAnsi="Arial"/>
          <w:color w:val="1A1A1A"/>
          <w:sz w:val="22"/>
          <w:szCs w:val="22"/>
        </w:rPr>
        <w:t xml:space="preserve">As of the date of this letter, more than 70,000 civilians have been killed in Gaza. Over 1.7 million people — essentially the entire population of a territory — have been displaced from their homes. The International Court of Justice has issued binding orders. The International Criminal Court has issued arrest warrants. And the killing continues.</w:t>
      </w:r>
    </w:p>
    <w:p>
      <w:pPr>
        <w:spacing w:before="80" w:after="140" w:line="320"/>
        <w:jc w:val="both"/>
      </w:pPr>
      <w:r>
        <w:rPr>
          <w:rFonts w:ascii="Arial" w:cs="Arial" w:eastAsia="Arial" w:hAnsi="Arial"/>
          <w:color w:val="1A1A1A"/>
          <w:sz w:val="22"/>
          <w:szCs w:val="22"/>
        </w:rPr>
        <w:t xml:space="preserve">Your offices exist for this moment. The question is not whether the law speaks — it does. The question is whether those entrusted to enforce it will act. This petition places before you three bodies of evidence — ancient covenant law, the science of genetics and archaeology, and your own institutions' rulings — and makes a formal demand for action grounded in all three.</w:t>
      </w:r>
    </w:p>
    <w:p>
      <w:pPr>
        <w:pBdr>
          <w:bottom w:val="single" w:color="CCCCCC" w:sz="2" w:space="1"/>
        </w:pBdr>
        <w:spacing w:before="180" w:after="180"/>
      </w:pPr>
      <w:r>
        <w:rPr>
          <w:rFonts w:ascii="Arial" w:cs="Arial" w:eastAsia="Arial" w:hAnsi="Arial"/>
          <w:color w:val="1A1A1A"/>
          <w:sz w:val="22"/>
          <w:szCs w:val="22"/>
        </w:rPr>
        <w:t xml:space="preserve"/>
      </w:r>
    </w:p>
    <w:p>
      <w:pPr>
        <w:pBdr>
          <w:bottom w:val="single" w:color="8B0000" w:sz="3" w:space="6"/>
        </w:pBdr>
        <w:spacing w:before="340" w:after="120"/>
        <w:ind w:left="300"/>
      </w:pPr>
      <w:r>
        <w:rPr>
          <w:rFonts w:ascii="Arial" w:cs="Arial" w:eastAsia="Arial" w:hAnsi="Arial"/>
          <w:b/>
          <w:bCs/>
          <w:caps/>
          <w:color w:val="8B0000"/>
          <w:sz w:val="25"/>
          <w:szCs w:val="25"/>
        </w:rPr>
        <w:t xml:space="preserve">Section I — The Question of Identity: Who Are the True People of This Land?</w:t>
      </w:r>
    </w:p>
    <w:p>
      <w:pPr>
        <w:spacing w:before="220" w:after="80"/>
      </w:pPr>
      <w:r>
        <w:rPr>
          <w:rFonts w:ascii="Arial" w:cs="Arial" w:eastAsia="Arial" w:hAnsi="Arial"/>
          <w:b/>
          <w:bCs/>
          <w:color w:val="333333"/>
          <w:sz w:val="23"/>
          <w:szCs w:val="23"/>
          <w:u w:val="single"/>
        </w:rPr>
        <w:t xml:space="preserve">The Word 'Jewish' Is an Anachronism in the Original Text</w:t>
      </w:r>
    </w:p>
    <w:p>
      <w:pPr>
        <w:spacing w:before="80" w:after="140" w:line="320"/>
        <w:jc w:val="both"/>
      </w:pPr>
      <w:r>
        <w:rPr>
          <w:rFonts w:ascii="Arial" w:cs="Arial" w:eastAsia="Arial" w:hAnsi="Arial"/>
          <w:color w:val="1A1A1A"/>
          <w:sz w:val="22"/>
          <w:szCs w:val="22"/>
        </w:rPr>
        <w:t xml:space="preserve">The modern state of Israel grounds its claim to the land in the covenant described in the ancient Hebrew Torah, given to a people called the Ivrim — the Hebrews — constituted as the twelve-tribe nation of Yisra'el. The word 'Jewish' — Yehudi in Hebrew — referred originally only to the tribe of Yehudah, and later to inhabitants of the Southern Kingdom. It became the dominant communal identity label only after the Babylonian exile of 586 BCE, centuries after the foundational covenant texts were composed.</w:t>
      </w:r>
    </w:p>
    <w:p>
      <w:pPr>
        <w:spacing w:before="80" w:after="140" w:line="320"/>
        <w:jc w:val="both"/>
      </w:pPr>
      <w:r>
        <w:rPr>
          <w:rFonts w:ascii="Arial" w:cs="Arial" w:eastAsia="Arial" w:hAnsi="Arial"/>
          <w:color w:val="1A1A1A"/>
          <w:sz w:val="22"/>
          <w:szCs w:val="22"/>
        </w:rPr>
        <w:t xml:space="preserve">The modern state of Israel employs a Rabbinic definition of Jewish identity — specifically the post-exilic ruling that identity passes through the mother — to establish its claim as the restored nation of the Hebrew scriptures. This matrilineal definition post-dates the Torah by over one thousand years. The Torah itself traced lineage patrilineally, tribe by tribe. By the original text's own standard, the question of who descends from the ancient Hebrews is a matter of genetics and continuous land habitation — not a medieval Rabbinic ruling.</w:t>
      </w:r>
    </w:p>
    <w:p>
      <w:pPr>
        <w:spacing w:before="220" w:after="80"/>
      </w:pPr>
      <w:r>
        <w:rPr>
          <w:rFonts w:ascii="Arial" w:cs="Arial" w:eastAsia="Arial" w:hAnsi="Arial"/>
          <w:b/>
          <w:bCs/>
          <w:color w:val="333333"/>
          <w:sz w:val="23"/>
          <w:szCs w:val="23"/>
          <w:u w:val="single"/>
        </w:rPr>
        <w:t xml:space="preserve">The Genetic and Archaeological Record</w:t>
      </w:r>
    </w:p>
    <w:p>
      <w:pPr>
        <w:spacing w:before="80" w:after="140" w:line="320"/>
        <w:jc w:val="both"/>
      </w:pPr>
      <w:r>
        <w:rPr>
          <w:rFonts w:ascii="Arial" w:cs="Arial" w:eastAsia="Arial" w:hAnsi="Arial"/>
          <w:b/>
          <w:bCs/>
          <w:color w:val="1A1A1A"/>
          <w:sz w:val="22"/>
          <w:szCs w:val="22"/>
        </w:rPr>
        <w:t xml:space="preserve">Canaanite Continuity: </w:t>
      </w:r>
      <w:r>
        <w:rPr>
          <w:rFonts w:ascii="Arial" w:cs="Arial" w:eastAsia="Arial" w:hAnsi="Arial"/>
          <w:color w:val="1A1A1A"/>
          <w:sz w:val="22"/>
          <w:szCs w:val="22"/>
        </w:rPr>
        <w:t xml:space="preserve">The ancient Canaanite people — the Semitic inhabitants of the land of Kena'an before, during, and after the ancient Hebrew period — never disappeared from the land. Multiple peer-reviewed genetic studies have established that Lebanese people today carry more than 90 percent of their ancestry from the Bronze Age Canaanite population. Palestinians carry 81 to 87 percent Bronze Age Levantine ancestry, specifically matching the Canaanite genetic profile. This is one of the strongest cases of ancient genetic continuity documented in modern science.</w:t>
      </w:r>
    </w:p>
    <w:p>
      <w:pPr>
        <w:spacing w:before="80" w:after="140" w:line="320"/>
        <w:jc w:val="both"/>
      </w:pPr>
      <w:r>
        <w:rPr>
          <w:rFonts w:ascii="Arial" w:cs="Arial" w:eastAsia="Arial" w:hAnsi="Arial"/>
          <w:b/>
          <w:bCs/>
          <w:color w:val="1A1A1A"/>
          <w:sz w:val="22"/>
          <w:szCs w:val="22"/>
        </w:rPr>
        <w:t xml:space="preserve">The Paternal Line: </w:t>
      </w:r>
      <w:r>
        <w:rPr>
          <w:rFonts w:ascii="Arial" w:cs="Arial" w:eastAsia="Arial" w:hAnsi="Arial"/>
          <w:color w:val="1A1A1A"/>
          <w:sz w:val="22"/>
          <w:szCs w:val="22"/>
        </w:rPr>
        <w:t xml:space="preserve">Studies of the Y-chromosome — the male lineage recognized as primary in the original Torah text — have found that approximately 70 percent of modern Israeli Jewish Y-chromosomes and 82 percent of Palestinian Muslim Arab Y-chromosomes belong to the same ancient Semitic Levantine pool. The Palestinian male line shows marginally higher continuity with the ancient inhabitants of the land than the Israeli Jewish male line does.</w:t>
      </w:r>
    </w:p>
    <w:p>
      <w:pPr>
        <w:spacing w:before="80" w:after="140" w:line="320"/>
        <w:jc w:val="both"/>
      </w:pPr>
      <w:r>
        <w:rPr>
          <w:rFonts w:ascii="Arial" w:cs="Arial" w:eastAsia="Arial" w:hAnsi="Arial"/>
          <w:b/>
          <w:bCs/>
          <w:color w:val="1A1A1A"/>
          <w:sz w:val="22"/>
          <w:szCs w:val="22"/>
        </w:rPr>
        <w:t xml:space="preserve">Ashkenazi European Ancestry: </w:t>
      </w:r>
      <w:r>
        <w:rPr>
          <w:rFonts w:ascii="Arial" w:cs="Arial" w:eastAsia="Arial" w:hAnsi="Arial"/>
          <w:color w:val="1A1A1A"/>
          <w:sz w:val="22"/>
          <w:szCs w:val="22"/>
        </w:rPr>
        <w:t xml:space="preserve">Approximately 80 percent of Ashkenazi Jewish mitochondrial DNA — the maternal line — traces to European origin. The Ashkenazi community constitutes roughly 38 percent of the modern Israeli Jewish population. Their genetic profile reflects over a thousand years of diaspora life in Europe. This is not a condemnation — it is a historical fact that directly bears on questions of ancestral claim to the land of Kena'an.</w:t>
      </w:r>
    </w:p>
    <w:p>
      <w:pPr>
        <w:spacing w:before="220" w:after="80"/>
      </w:pPr>
      <w:r>
        <w:rPr>
          <w:rFonts w:ascii="Arial" w:cs="Arial" w:eastAsia="Arial" w:hAnsi="Arial"/>
          <w:b/>
          <w:bCs/>
          <w:color w:val="333333"/>
          <w:sz w:val="23"/>
          <w:szCs w:val="23"/>
          <w:u w:val="single"/>
        </w:rPr>
        <w:t xml:space="preserve">The Testimony of Zionism's Own Founders</w:t>
      </w:r>
    </w:p>
    <w:p>
      <w:pPr>
        <w:spacing w:before="80" w:after="140" w:line="320"/>
        <w:jc w:val="both"/>
      </w:pPr>
      <w:r>
        <w:rPr>
          <w:rFonts w:ascii="Arial" w:cs="Arial" w:eastAsia="Arial" w:hAnsi="Arial"/>
          <w:color w:val="1A1A1A"/>
          <w:sz w:val="22"/>
          <w:szCs w:val="22"/>
        </w:rPr>
        <w:t xml:space="preserve">This next fact carries extraordinary weight because it does not come from critics of the modern state but from its architects. David Ben-Gurion and Yitzhak Ben Zvi — Israel's first Prime Minister and second President — wrote in 1918 that the Palestinian fellahin, the Arab peasant farmers working the land, were in all likelihood descended from ancient Hebrew and Samaritan farmers who remained after the Jewish-Roman Wars and converted to Islam over subsequent centuries. Ber Borochov, a founding theorist of Labor Zionism, published the same conclusion in 1905.</w:t>
      </w:r>
    </w:p>
    <w:p>
      <w:pPr>
        <w:spacing w:before="80" w:after="140" w:line="320"/>
        <w:jc w:val="both"/>
      </w:pPr>
      <w:r>
        <w:rPr>
          <w:rFonts w:ascii="Arial" w:cs="Arial" w:eastAsia="Arial" w:hAnsi="Arial"/>
          <w:color w:val="1A1A1A"/>
          <w:sz w:val="22"/>
          <w:szCs w:val="22"/>
        </w:rPr>
        <w:t xml:space="preserve">The founders of the modern state of Israel acknowledged in their own pre-state writings that the people they sought to displace were, in biological terms, their own distant kin — the descendants of those Hebrews who had never left the land. This is not revisionism. It is documented history.</w:t>
      </w:r>
    </w:p>
    <w:p>
      <w:pPr>
        <w:spacing w:before="80" w:after="140" w:line="320"/>
        <w:jc w:val="both"/>
      </w:pPr>
      <w:r>
        <w:rPr>
          <w:rFonts w:ascii="Arial" w:cs="Arial" w:eastAsia="Arial" w:hAnsi="Arial"/>
          <w:color w:val="1A1A1A"/>
          <w:sz w:val="22"/>
          <w:szCs w:val="22"/>
        </w:rPr>
        <w:t xml:space="preserve">The Samaritans — approximately 800 people living near Nablus in the West Bank under Palestinian Authority jurisdiction — are recognized by genetic and historical consensus as the most direct surviving remnant of the Northern Kingdom of Yisra'el. They were never exiled. They have preserved their ancient Torah scrolls, maintained their covenant practice on Mount Gerizim, and remained on the land without interruption for over three thousand years.</w:t>
      </w:r>
    </w:p>
    <w:p>
      <w:pPr>
        <w:pBdr>
          <w:bottom w:val="single" w:color="CCCCCC" w:sz="2" w:space="1"/>
        </w:pBdr>
        <w:spacing w:before="180" w:after="180"/>
      </w:pPr>
      <w:r>
        <w:rPr>
          <w:rFonts w:ascii="Arial" w:cs="Arial" w:eastAsia="Arial" w:hAnsi="Arial"/>
          <w:color w:val="1A1A1A"/>
          <w:sz w:val="22"/>
          <w:szCs w:val="22"/>
        </w:rPr>
        <w:t xml:space="preserve"/>
      </w:r>
    </w:p>
    <w:p>
      <w:pPr>
        <w:pBdr>
          <w:bottom w:val="single" w:color="8B0000" w:sz="3" w:space="6"/>
        </w:pBdr>
        <w:spacing w:before="340" w:after="120"/>
        <w:ind w:left="300"/>
      </w:pPr>
      <w:r>
        <w:rPr>
          <w:rFonts w:ascii="Arial" w:cs="Arial" w:eastAsia="Arial" w:hAnsi="Arial"/>
          <w:b/>
          <w:bCs/>
          <w:caps/>
          <w:color w:val="8B0000"/>
          <w:sz w:val="25"/>
          <w:szCs w:val="25"/>
        </w:rPr>
        <w:t xml:space="preserve">Section II — The Law of the Covenant: What the Ancient Hebrew Text Commands</w:t>
      </w:r>
    </w:p>
    <w:p>
      <w:pPr>
        <w:spacing w:before="80" w:after="140" w:line="320"/>
        <w:jc w:val="both"/>
      </w:pPr>
      <w:r>
        <w:rPr>
          <w:rFonts w:ascii="Arial" w:cs="Arial" w:eastAsia="Arial" w:hAnsi="Arial"/>
          <w:color w:val="1A1A1A"/>
          <w:sz w:val="22"/>
          <w:szCs w:val="22"/>
        </w:rPr>
        <w:t xml:space="preserve">The state of Israel derives the foundational moral legitimacy of its national claim from the covenant given to the Ivrim at Sinai. It is therefore not an imposition of a foreign standard but a demand of internal consistency to measure the conduct of that state by the law of that same covenant. What follows is a direct statement of what that law requires.</w:t>
      </w:r>
    </w:p>
    <w:p>
      <w:pPr>
        <w:spacing w:before="220" w:after="80"/>
      </w:pPr>
      <w:r>
        <w:rPr>
          <w:rFonts w:ascii="Arial" w:cs="Arial" w:eastAsia="Arial" w:hAnsi="Arial"/>
          <w:b/>
          <w:bCs/>
          <w:color w:val="333333"/>
          <w:sz w:val="23"/>
          <w:szCs w:val="23"/>
          <w:u w:val="single"/>
        </w:rPr>
        <w:t xml:space="preserve">On Innocent Blood</w:t>
      </w:r>
    </w:p>
    <w:p>
      <w:pPr>
        <w:pBdr>
          <w:left w:val="thick" w:color="8B0000" w:sz="8" w:space="12"/>
        </w:pBdr>
        <w:spacing w:before="160" w:after="160" w:line="300"/>
        <w:ind w:left="720" w:right="720"/>
        <w:jc w:val="both"/>
      </w:pPr>
      <w:r>
        <w:rPr>
          <w:rFonts w:ascii="Georgia" w:cs="Georgia" w:eastAsia="Georgia" w:hAnsi="Georgia"/>
          <w:i/>
          <w:iCs/>
          <w:color w:val="555555"/>
          <w:sz w:val="21"/>
          <w:szCs w:val="21"/>
        </w:rPr>
        <w:t xml:space="preserve">'You shall not kill the innocent and righteous, for I will not justify the wicked.' — Shemot / Exodus 23:7</w:t>
      </w:r>
    </w:p>
    <w:p>
      <w:pPr>
        <w:pBdr>
          <w:left w:val="thick" w:color="8B0000" w:sz="8" w:space="12"/>
        </w:pBdr>
        <w:spacing w:before="160" w:after="160" w:line="300"/>
        <w:ind w:left="720" w:right="720"/>
        <w:jc w:val="both"/>
      </w:pPr>
      <w:r>
        <w:rPr>
          <w:rFonts w:ascii="Georgia" w:cs="Georgia" w:eastAsia="Georgia" w:hAnsi="Georgia"/>
          <w:i/>
          <w:iCs/>
          <w:color w:val="555555"/>
          <w:sz w:val="21"/>
          <w:szCs w:val="21"/>
        </w:rPr>
        <w:t xml:space="preserve">'Cursed be he who takes a bribe to shed innocent blood. And all the people shall say, Amen.' — Devarim / Deuteronomy 27:25</w:t>
      </w:r>
    </w:p>
    <w:p>
      <w:pPr>
        <w:spacing w:before="80" w:after="140" w:line="320"/>
        <w:jc w:val="both"/>
      </w:pPr>
      <w:r>
        <w:rPr>
          <w:rFonts w:ascii="Arial" w:cs="Arial" w:eastAsia="Arial" w:hAnsi="Arial"/>
          <w:color w:val="1A1A1A"/>
          <w:sz w:val="22"/>
          <w:szCs w:val="22"/>
        </w:rPr>
        <w:t xml:space="preserve">The prophet Yirmeyahu (Jeremiah) warned Yerushalayim that her destruction by Babylon would come specifically because she had shed innocent blood in her midst. Yehezkel (Ezekiel) named the mass shedding of blood as the primary charge against the city before its fall. The Torah does not qualify this prohibition — it does not permit the killing of civilians in pursuit of military objectives. It commands that innocent blood not be shed in the land, and it attaches covenant consequences to the violation of that command.</w:t>
      </w:r>
    </w:p>
    <w:p>
      <w:pPr>
        <w:spacing w:before="220" w:after="80"/>
      </w:pPr>
      <w:r>
        <w:rPr>
          <w:rFonts w:ascii="Arial" w:cs="Arial" w:eastAsia="Arial" w:hAnsi="Arial"/>
          <w:b/>
          <w:bCs/>
          <w:color w:val="333333"/>
          <w:sz w:val="23"/>
          <w:szCs w:val="23"/>
          <w:u w:val="single"/>
        </w:rPr>
        <w:t xml:space="preserve">On the Treatment of the Stranger and the Sojourner</w:t>
      </w:r>
    </w:p>
    <w:p>
      <w:pPr>
        <w:pBdr>
          <w:left w:val="thick" w:color="8B0000" w:sz="8" w:space="12"/>
        </w:pBdr>
        <w:spacing w:before="160" w:after="160" w:line="300"/>
        <w:ind w:left="720" w:right="720"/>
        <w:jc w:val="both"/>
      </w:pPr>
      <w:r>
        <w:rPr>
          <w:rFonts w:ascii="Georgia" w:cs="Georgia" w:eastAsia="Georgia" w:hAnsi="Georgia"/>
          <w:i/>
          <w:iCs/>
          <w:color w:val="555555"/>
          <w:sz w:val="21"/>
          <w:szCs w:val="21"/>
        </w:rPr>
        <w:t xml:space="preserve">'You shall not wrong a stranger or oppress him, for you were strangers in the land of Mitsrayim.' — Shemot / Exodus 22:21</w:t>
      </w:r>
    </w:p>
    <w:p>
      <w:pPr>
        <w:pBdr>
          <w:left w:val="thick" w:color="8B0000" w:sz="8" w:space="12"/>
        </w:pBdr>
        <w:spacing w:before="160" w:after="160" w:line="300"/>
        <w:ind w:left="720" w:right="720"/>
        <w:jc w:val="both"/>
      </w:pPr>
      <w:r>
        <w:rPr>
          <w:rFonts w:ascii="Georgia" w:cs="Georgia" w:eastAsia="Georgia" w:hAnsi="Georgia"/>
          <w:i/>
          <w:iCs/>
          <w:color w:val="555555"/>
          <w:sz w:val="21"/>
          <w:szCs w:val="21"/>
        </w:rPr>
        <w:t xml:space="preserve">'The stranger who sojourns with you shall be to you as the native among you, and you shall love him as yourself, for you were strangers in the land of Mitsrayim.' — Vayikra / Leviticus 19:34</w:t>
      </w:r>
    </w:p>
    <w:p>
      <w:pPr>
        <w:spacing w:before="80" w:after="140" w:line="320"/>
        <w:jc w:val="both"/>
      </w:pPr>
      <w:r>
        <w:rPr>
          <w:rFonts w:ascii="Arial" w:cs="Arial" w:eastAsia="Arial" w:hAnsi="Arial"/>
          <w:color w:val="1A1A1A"/>
          <w:sz w:val="22"/>
          <w:szCs w:val="22"/>
        </w:rPr>
        <w:t xml:space="preserve">This commandment appears more times in the Torah than any other single ethical instruction. The reason given is always the same: because you know what it means to be a powerless people at the mercy of a stronger nation — you were slaves in Mitsrayim (Egypt). The memory of that bondage was to function as a permanent prohibition against becoming Pharaoh to another people. The Palestinian people living under military occupation, under blockade, without freedom of movement, without sovereignty over their own borders, their own air, their own sea — are in the position of the ger, the sojourner, the one without power. The Torah is explicit: this people must not be wronged or oppressed.</w:t>
      </w:r>
    </w:p>
    <w:p>
      <w:pPr>
        <w:spacing w:before="220" w:after="80"/>
      </w:pPr>
      <w:r>
        <w:rPr>
          <w:rFonts w:ascii="Arial" w:cs="Arial" w:eastAsia="Arial" w:hAnsi="Arial"/>
          <w:b/>
          <w:bCs/>
          <w:color w:val="333333"/>
          <w:sz w:val="23"/>
          <w:szCs w:val="23"/>
          <w:u w:val="single"/>
        </w:rPr>
        <w:t xml:space="preserve">On Moving Boundary Stones and Seizing the Land of Others</w:t>
      </w:r>
    </w:p>
    <w:p>
      <w:pPr>
        <w:pBdr>
          <w:left w:val="thick" w:color="8B0000" w:sz="8" w:space="12"/>
        </w:pBdr>
        <w:spacing w:before="160" w:after="160" w:line="300"/>
        <w:ind w:left="720" w:right="720"/>
        <w:jc w:val="both"/>
      </w:pPr>
      <w:r>
        <w:rPr>
          <w:rFonts w:ascii="Georgia" w:cs="Georgia" w:eastAsia="Georgia" w:hAnsi="Georgia"/>
          <w:i/>
          <w:iCs/>
          <w:color w:val="555555"/>
          <w:sz w:val="21"/>
          <w:szCs w:val="21"/>
        </w:rPr>
        <w:t xml:space="preserve">'You shall not move your neighbor's landmark, which the men of old have set, in the inheritance that you will hold in the land.' — Devarim / Deuteronomy 19:14</w:t>
      </w:r>
    </w:p>
    <w:p>
      <w:pPr>
        <w:pBdr>
          <w:left w:val="thick" w:color="8B0000" w:sz="8" w:space="12"/>
        </w:pBdr>
        <w:spacing w:before="160" w:after="160" w:line="300"/>
        <w:ind w:left="720" w:right="720"/>
        <w:jc w:val="both"/>
      </w:pPr>
      <w:r>
        <w:rPr>
          <w:rFonts w:ascii="Georgia" w:cs="Georgia" w:eastAsia="Georgia" w:hAnsi="Georgia"/>
          <w:i/>
          <w:iCs/>
          <w:color w:val="555555"/>
          <w:sz w:val="21"/>
          <w:szCs w:val="21"/>
        </w:rPr>
        <w:t xml:space="preserve">'Cursed be he who moves his neighbor's landmark.' — Devarim / Deuteronomy 27:17</w:t>
      </w:r>
    </w:p>
    <w:p>
      <w:pPr>
        <w:spacing w:before="80" w:after="140" w:line="320"/>
        <w:jc w:val="both"/>
      </w:pPr>
      <w:r>
        <w:rPr>
          <w:rFonts w:ascii="Arial" w:cs="Arial" w:eastAsia="Arial" w:hAnsi="Arial"/>
          <w:color w:val="1A1A1A"/>
          <w:sz w:val="22"/>
          <w:szCs w:val="22"/>
        </w:rPr>
        <w:t xml:space="preserve">The ongoing settlement expansion in the West Bank — ruled illegal under international law by the International Court of Justice in 2004 and reaffirmed in its 2024 advisory opinion — involves the physical displacement of Palestinian families from land they and their ancestors have farmed for generations and the construction of Israeli settlements in their place. By the Torah's own law — the law the modern state of Israel cites as the foundation of its covenant identity and its claim to the land — this is a cursed act, named and condemned in the most solemn register available to the ancient text.</w:t>
      </w:r>
    </w:p>
    <w:p>
      <w:pPr>
        <w:spacing w:before="220" w:after="80"/>
      </w:pPr>
      <w:r>
        <w:rPr>
          <w:rFonts w:ascii="Arial" w:cs="Arial" w:eastAsia="Arial" w:hAnsi="Arial"/>
          <w:b/>
          <w:bCs/>
          <w:color w:val="333333"/>
          <w:sz w:val="23"/>
          <w:szCs w:val="23"/>
          <w:u w:val="single"/>
        </w:rPr>
        <w:t xml:space="preserve">On Brother and Blood</w:t>
      </w:r>
    </w:p>
    <w:p>
      <w:pPr>
        <w:pBdr>
          <w:left w:val="thick" w:color="8B0000" w:sz="8" w:space="12"/>
        </w:pBdr>
        <w:spacing w:before="160" w:after="160" w:line="300"/>
        <w:ind w:left="720" w:right="720"/>
        <w:jc w:val="both"/>
      </w:pPr>
      <w:r>
        <w:rPr>
          <w:rFonts w:ascii="Georgia" w:cs="Georgia" w:eastAsia="Georgia" w:hAnsi="Georgia"/>
          <w:i/>
          <w:iCs/>
          <w:color w:val="555555"/>
          <w:sz w:val="21"/>
          <w:szCs w:val="21"/>
        </w:rPr>
        <w:t xml:space="preserve">'The voice of your brother's blood is crying to Me from the ground.' — Bereshit / Genesis 4:10</w:t>
      </w:r>
    </w:p>
    <w:p>
      <w:pPr>
        <w:pBdr>
          <w:left w:val="thick" w:color="8B0000" w:sz="8" w:space="12"/>
        </w:pBdr>
        <w:spacing w:before="160" w:after="160" w:line="300"/>
        <w:ind w:left="720" w:right="720"/>
        <w:jc w:val="both"/>
      </w:pPr>
      <w:r>
        <w:rPr>
          <w:rFonts w:ascii="Georgia" w:cs="Georgia" w:eastAsia="Georgia" w:hAnsi="Georgia"/>
          <w:i/>
          <w:iCs/>
          <w:color w:val="555555"/>
          <w:sz w:val="21"/>
          <w:szCs w:val="21"/>
        </w:rPr>
        <w:t xml:space="preserve">'You shall not hate your brother in your heart... you shall not stand idly by the blood of your neighbor... you shall love your neighbor as yourself.' — Vayikra / Leviticus 19:17-18</w:t>
      </w:r>
    </w:p>
    <w:p>
      <w:pPr>
        <w:spacing w:before="80" w:after="140" w:line="320"/>
        <w:jc w:val="both"/>
      </w:pPr>
      <w:r>
        <w:rPr>
          <w:rFonts w:ascii="Arial" w:cs="Arial" w:eastAsia="Arial" w:hAnsi="Arial"/>
          <w:color w:val="1A1A1A"/>
          <w:sz w:val="22"/>
          <w:szCs w:val="22"/>
        </w:rPr>
        <w:t xml:space="preserve">When Qayin (Cain) killed Hevel (Abel), Yahweh did not require a legal brief or a political justification. He heard the blood crying from the earth. The first murder in the Hebrew scriptures was one brother killing another, and Yahweh named it and pronounced its consequence without qualification.</w:t>
      </w:r>
    </w:p>
    <w:p>
      <w:pPr>
        <w:spacing w:before="80" w:after="140" w:line="320"/>
        <w:jc w:val="both"/>
      </w:pPr>
      <w:r>
        <w:rPr>
          <w:rFonts w:ascii="Arial" w:cs="Arial" w:eastAsia="Arial" w:hAnsi="Arial"/>
          <w:color w:val="1A1A1A"/>
          <w:sz w:val="22"/>
          <w:szCs w:val="22"/>
        </w:rPr>
        <w:t xml:space="preserve">Given that the genetic and historical record — including the testimony of Zionism's own founders — indicates that the Palestinian people carry the blood of the ancient Hebrews who never left the land, what is taking place in Gaza is, by the most ancient definition available, a kinsman raising his hand against his own flesh. The three commands of Leviticus 19:17-18 form a single unit: do not hate your brother in your heart; do not stand by while your neighbor bleeds; love your neighbor as yourself. These are not aspirations. They are the terms of the covenant.</w:t>
      </w:r>
    </w:p>
    <w:p>
      <w:pPr>
        <w:pBdr>
          <w:bottom w:val="single" w:color="CCCCCC" w:sz="2" w:space="1"/>
        </w:pBdr>
        <w:spacing w:before="180" w:after="180"/>
      </w:pPr>
      <w:r>
        <w:rPr>
          <w:rFonts w:ascii="Arial" w:cs="Arial" w:eastAsia="Arial" w:hAnsi="Arial"/>
          <w:color w:val="1A1A1A"/>
          <w:sz w:val="22"/>
          <w:szCs w:val="22"/>
        </w:rPr>
        <w:t xml:space="preserve"/>
      </w:r>
    </w:p>
    <w:p>
      <w:pPr>
        <w:pBdr>
          <w:bottom w:val="single" w:color="8B0000" w:sz="3" w:space="6"/>
        </w:pBdr>
        <w:spacing w:before="340" w:after="120"/>
        <w:ind w:left="300"/>
      </w:pPr>
      <w:r>
        <w:rPr>
          <w:rFonts w:ascii="Arial" w:cs="Arial" w:eastAsia="Arial" w:hAnsi="Arial"/>
          <w:b/>
          <w:bCs/>
          <w:caps/>
          <w:color w:val="8B0000"/>
          <w:sz w:val="25"/>
          <w:szCs w:val="25"/>
        </w:rPr>
        <w:t xml:space="preserve">Section III — The Judgment of Your Own Institutions: International Law Has Already Spoken</w:t>
      </w:r>
    </w:p>
    <w:p>
      <w:pPr>
        <w:spacing w:before="220" w:after="80"/>
      </w:pPr>
      <w:r>
        <w:rPr>
          <w:rFonts w:ascii="Arial" w:cs="Arial" w:eastAsia="Arial" w:hAnsi="Arial"/>
          <w:b/>
          <w:bCs/>
          <w:color w:val="333333"/>
          <w:sz w:val="23"/>
          <w:szCs w:val="23"/>
          <w:u w:val="single"/>
        </w:rPr>
        <w:t xml:space="preserve">International Court of Justice — Binding Orders</w:t>
      </w:r>
    </w:p>
    <w:p>
      <w:pPr>
        <w:spacing w:before="80" w:after="140" w:line="320"/>
        <w:jc w:val="both"/>
      </w:pPr>
      <w:r>
        <w:rPr>
          <w:rFonts w:ascii="Arial" w:cs="Arial" w:eastAsia="Arial" w:hAnsi="Arial"/>
          <w:b/>
          <w:bCs/>
          <w:color w:val="1A1A1A"/>
          <w:sz w:val="22"/>
          <w:szCs w:val="22"/>
        </w:rPr>
        <w:t xml:space="preserve">January 26, 2024 — ICJ Provisional Measures Order: </w:t>
      </w:r>
      <w:r>
        <w:rPr>
          <w:rFonts w:ascii="Arial" w:cs="Arial" w:eastAsia="Arial" w:hAnsi="Arial"/>
          <w:color w:val="1A1A1A"/>
          <w:sz w:val="22"/>
          <w:szCs w:val="22"/>
        </w:rPr>
        <w:t xml:space="preserve">The International Court of Justice found it 'plausible' that Israel's military operations in Gaza could constitute violations of the Convention on the Prevention and Punishment of the Crime of Genocide. The court voted 15 to 2, ordering Israel to immediately take all measures within its power to prevent acts that could fall under the Genocide Convention, to prevent and punish incitement to genocide, and to ensure the unimpeded provision of humanitarian assistance to civilians in Gaza. These orders are legally binding under international law.</w:t>
      </w:r>
    </w:p>
    <w:p>
      <w:pPr>
        <w:spacing w:before="80" w:after="140" w:line="320"/>
        <w:jc w:val="both"/>
      </w:pPr>
      <w:r>
        <w:rPr>
          <w:rFonts w:ascii="Arial" w:cs="Arial" w:eastAsia="Arial" w:hAnsi="Arial"/>
          <w:b/>
          <w:bCs/>
          <w:color w:val="1A1A1A"/>
          <w:sz w:val="22"/>
          <w:szCs w:val="22"/>
        </w:rPr>
        <w:t xml:space="preserve">March 28, 2024 — ICJ Additional Order: </w:t>
      </w:r>
      <w:r>
        <w:rPr>
          <w:rFonts w:ascii="Arial" w:cs="Arial" w:eastAsia="Arial" w:hAnsi="Arial"/>
          <w:color w:val="1A1A1A"/>
          <w:sz w:val="22"/>
          <w:szCs w:val="22"/>
        </w:rPr>
        <w:t xml:space="preserve">The court issued additional measures specifically ordering Israel to ensure the unobstructed delivery of food, water, medicine, and other humanitarian aid, establishing the legal precedent that deliberate obstruction of humanitarian relief can itself constitute a violation of the Genocide Convention.</w:t>
      </w:r>
    </w:p>
    <w:p>
      <w:pPr>
        <w:spacing w:before="80" w:after="140" w:line="320"/>
        <w:jc w:val="both"/>
      </w:pPr>
      <w:r>
        <w:rPr>
          <w:rFonts w:ascii="Arial" w:cs="Arial" w:eastAsia="Arial" w:hAnsi="Arial"/>
          <w:b/>
          <w:bCs/>
          <w:color w:val="1A1A1A"/>
          <w:sz w:val="22"/>
          <w:szCs w:val="22"/>
        </w:rPr>
        <w:t xml:space="preserve">July 19, 2024 — ICJ Advisory Opinion: </w:t>
      </w:r>
      <w:r>
        <w:rPr>
          <w:rFonts w:ascii="Arial" w:cs="Arial" w:eastAsia="Arial" w:hAnsi="Arial"/>
          <w:color w:val="1A1A1A"/>
          <w:sz w:val="22"/>
          <w:szCs w:val="22"/>
        </w:rPr>
        <w:t xml:space="preserve">The court delivered its opinion that Israel's occupation of Palestinian territory — including the West Bank, East Jerusalem, and Gaza — is illegal under international law, that Israel has an obligation to withdraw, and that all states are obligated not to render aid or assistance in maintaining this illegal occupation. This built upon the court's 2004 ruling that the separation wall in the West Bank constituted a violation of international law.</w:t>
      </w:r>
    </w:p>
    <w:p>
      <w:pPr>
        <w:spacing w:before="220" w:after="80"/>
      </w:pPr>
      <w:r>
        <w:rPr>
          <w:rFonts w:ascii="Arial" w:cs="Arial" w:eastAsia="Arial" w:hAnsi="Arial"/>
          <w:b/>
          <w:bCs/>
          <w:color w:val="333333"/>
          <w:sz w:val="23"/>
          <w:szCs w:val="23"/>
          <w:u w:val="single"/>
        </w:rPr>
        <w:t xml:space="preserve">International Criminal Court — Arrest Warrants</w:t>
      </w:r>
    </w:p>
    <w:p>
      <w:pPr>
        <w:spacing w:before="80" w:after="140" w:line="320"/>
        <w:jc w:val="both"/>
      </w:pPr>
      <w:r>
        <w:rPr>
          <w:rFonts w:ascii="Arial" w:cs="Arial" w:eastAsia="Arial" w:hAnsi="Arial"/>
          <w:color w:val="1A1A1A"/>
          <w:sz w:val="22"/>
          <w:szCs w:val="22"/>
        </w:rPr>
        <w:t xml:space="preserve">The International Criminal Court has issued arrest warrants in connection with events in Gaza. The legal process of the court has determined that there is sufficient evidence to proceed. These warrants carry binding obligations upon all ICC member states.</w:t>
      </w:r>
    </w:p>
    <w:p>
      <w:pPr>
        <w:spacing w:before="220" w:after="80"/>
      </w:pPr>
      <w:r>
        <w:rPr>
          <w:rFonts w:ascii="Arial" w:cs="Arial" w:eastAsia="Arial" w:hAnsi="Arial"/>
          <w:b/>
          <w:bCs/>
          <w:color w:val="333333"/>
          <w:sz w:val="23"/>
          <w:szCs w:val="23"/>
          <w:u w:val="single"/>
        </w:rPr>
        <w:t xml:space="preserve">The Scale of What Has Occurred</w:t>
      </w:r>
    </w:p>
    <w:p>
      <w:pPr>
        <w:spacing w:before="80" w:after="140" w:line="320"/>
        <w:jc w:val="both"/>
      </w:pPr>
      <w:r>
        <w:rPr>
          <w:rFonts w:ascii="Arial" w:cs="Arial" w:eastAsia="Arial" w:hAnsi="Arial"/>
          <w:color w:val="1A1A1A"/>
          <w:sz w:val="22"/>
          <w:szCs w:val="22"/>
        </w:rPr>
        <w:t xml:space="preserve">The following figures are drawn from documented international records available at the time of this writing. More than 70,000 civilians have been killed in Gaza since October 2023. More than 360,000 housing units have been destroyed or damaged. More than 1.7 million people — approximately 80 percent of the population of Gaza — have been internally displaced. Healthcare infrastructure, educational institutions, places of worship, UN-designated safe zones, and refugee facilities have been struck. The territory's population has been driven to the edge of famine through a sustained blockade on food, water, fuel, and medicine.</w:t>
      </w:r>
    </w:p>
    <w:p>
      <w:pPr>
        <w:spacing w:before="80" w:after="140" w:line="320"/>
        <w:jc w:val="both"/>
      </w:pPr>
      <w:r>
        <w:rPr>
          <w:rFonts w:ascii="Arial" w:cs="Arial" w:eastAsia="Arial" w:hAnsi="Arial"/>
          <w:color w:val="1A1A1A"/>
          <w:sz w:val="22"/>
          <w:szCs w:val="22"/>
        </w:rPr>
        <w:t xml:space="preserve">These are not disputed figures. They are the figures upon which your own institutions have acted.</w:t>
      </w:r>
    </w:p>
    <w:p>
      <w:pPr>
        <w:pBdr>
          <w:bottom w:val="single" w:color="CCCCCC" w:sz="2" w:space="1"/>
        </w:pBdr>
        <w:spacing w:before="180" w:after="180"/>
      </w:pPr>
      <w:r>
        <w:rPr>
          <w:rFonts w:ascii="Arial" w:cs="Arial" w:eastAsia="Arial" w:hAnsi="Arial"/>
          <w:color w:val="1A1A1A"/>
          <w:sz w:val="22"/>
          <w:szCs w:val="22"/>
        </w:rPr>
        <w:t xml:space="preserve"/>
      </w:r>
    </w:p>
    <w:p>
      <w:pPr>
        <w:pBdr>
          <w:bottom w:val="single" w:color="8B0000" w:sz="3" w:space="6"/>
        </w:pBdr>
        <w:spacing w:before="340" w:after="120"/>
        <w:ind w:left="300"/>
      </w:pPr>
      <w:r>
        <w:rPr>
          <w:rFonts w:ascii="Arial" w:cs="Arial" w:eastAsia="Arial" w:hAnsi="Arial"/>
          <w:b/>
          <w:bCs/>
          <w:caps/>
          <w:color w:val="8B0000"/>
          <w:sz w:val="25"/>
          <w:szCs w:val="25"/>
        </w:rPr>
        <w:t xml:space="preserve">Section IV — Formal Demands for Action</w:t>
      </w:r>
    </w:p>
    <w:p>
      <w:pPr>
        <w:spacing w:before="80" w:after="140" w:line="320"/>
        <w:jc w:val="both"/>
      </w:pPr>
      <w:r>
        <w:rPr>
          <w:rFonts w:ascii="Arial" w:cs="Arial" w:eastAsia="Arial" w:hAnsi="Arial"/>
          <w:color w:val="1A1A1A"/>
          <w:sz w:val="22"/>
          <w:szCs w:val="22"/>
        </w:rPr>
        <w:t xml:space="preserve">In the name of the ancient covenant law, in the name of the genetic and historical record, and in the name of the binding rulings of your own institutions, I, Elder Kepha Arcemont of Miqdash Bethel, formally demand the following actions be taken without further delay:</w:t>
      </w:r>
    </w:p>
    <w:p>
      <w:pPr>
        <w:spacing w:before="80" w:after="140" w:line="320"/>
        <w:jc w:val="both"/>
      </w:pPr>
      <w:r>
        <w:rPr>
          <w:rFonts w:ascii="Arial" w:cs="Arial" w:eastAsia="Arial" w:hAnsi="Arial"/>
          <w:b/>
          <w:bCs/>
          <w:color w:val="1A1A1A"/>
          <w:sz w:val="22"/>
          <w:szCs w:val="22"/>
        </w:rPr>
        <w:t xml:space="preserve">Demand 1 — Immediate Ceasefire and Cessation of Civilian Killing: </w:t>
      </w:r>
      <w:r>
        <w:rPr>
          <w:rFonts w:ascii="Arial" w:cs="Arial" w:eastAsia="Arial" w:hAnsi="Arial"/>
          <w:color w:val="1A1A1A"/>
          <w:sz w:val="22"/>
          <w:szCs w:val="22"/>
        </w:rPr>
        <w:t xml:space="preserve">The United Nations Secretary-General must use every mechanism available under the UN Charter to enforce an immediate and permanent ceasefire. The killing of civilians must stop. No military objective, no political argument, and no security claim justifies the continued mass death of people who cannot defend themselves. The Torah, the Genocide Convention, and the elementary principles of every legal tradition on earth agree on this point.</w:t>
      </w:r>
    </w:p>
    <w:p>
      <w:pPr>
        <w:spacing w:before="80" w:after="140" w:line="320"/>
        <w:jc w:val="both"/>
      </w:pPr>
      <w:r>
        <w:rPr>
          <w:rFonts w:ascii="Arial" w:cs="Arial" w:eastAsia="Arial" w:hAnsi="Arial"/>
          <w:b/>
          <w:bCs/>
          <w:color w:val="1A1A1A"/>
          <w:sz w:val="22"/>
          <w:szCs w:val="22"/>
        </w:rPr>
        <w:t xml:space="preserve">Demand 2 — Full Enforcement of Binding ICJ Orders: </w:t>
      </w:r>
      <w:r>
        <w:rPr>
          <w:rFonts w:ascii="Arial" w:cs="Arial" w:eastAsia="Arial" w:hAnsi="Arial"/>
          <w:color w:val="1A1A1A"/>
          <w:sz w:val="22"/>
          <w:szCs w:val="22"/>
        </w:rPr>
        <w:t xml:space="preserve">The ICJ orders of January and March 2024 are not suggestions. They are binding legal obligations. The Secretary-General, the UN General Assembly, and the Security Council must take all available measures to compel compliance, including formal referral, sanctions, and any other enforcement mechanism available under the UN Charter and the Genocide Convention.</w:t>
      </w:r>
    </w:p>
    <w:p>
      <w:pPr>
        <w:spacing w:before="80" w:after="140" w:line="320"/>
        <w:jc w:val="both"/>
      </w:pPr>
      <w:r>
        <w:rPr>
          <w:rFonts w:ascii="Arial" w:cs="Arial" w:eastAsia="Arial" w:hAnsi="Arial"/>
          <w:b/>
          <w:bCs/>
          <w:color w:val="1A1A1A"/>
          <w:sz w:val="22"/>
          <w:szCs w:val="22"/>
        </w:rPr>
        <w:t xml:space="preserve">Demand 3 — Execution of ICC Arrest Warrants: </w:t>
      </w:r>
      <w:r>
        <w:rPr>
          <w:rFonts w:ascii="Arial" w:cs="Arial" w:eastAsia="Arial" w:hAnsi="Arial"/>
          <w:color w:val="1A1A1A"/>
          <w:sz w:val="22"/>
          <w:szCs w:val="22"/>
        </w:rPr>
        <w:t xml:space="preserve">All member states of the International Criminal Court are legally obligated to cooperate with the court's arrest warrants. The Office of the Prosecutor must pursue these warrants with full institutional force. Failure to do so constitutes complicity in impunity and undermines the entire foundation of international criminal law.</w:t>
      </w:r>
    </w:p>
    <w:p>
      <w:pPr>
        <w:spacing w:before="80" w:after="140" w:line="320"/>
        <w:jc w:val="both"/>
      </w:pPr>
      <w:r>
        <w:rPr>
          <w:rFonts w:ascii="Arial" w:cs="Arial" w:eastAsia="Arial" w:hAnsi="Arial"/>
          <w:b/>
          <w:bCs/>
          <w:color w:val="1A1A1A"/>
          <w:sz w:val="22"/>
          <w:szCs w:val="22"/>
        </w:rPr>
        <w:t xml:space="preserve">Demand 4 — Immediate Lifting of the Blockade and Full Humanitarian Access: </w:t>
      </w:r>
      <w:r>
        <w:rPr>
          <w:rFonts w:ascii="Arial" w:cs="Arial" w:eastAsia="Arial" w:hAnsi="Arial"/>
          <w:color w:val="1A1A1A"/>
          <w:sz w:val="22"/>
          <w:szCs w:val="22"/>
        </w:rPr>
        <w:t xml:space="preserve">In accordance with the ICJ's March 2024 order, the blockade on food, water, medicine, and humanitarian supplies must be lifted immediately and unconditionally. The UN Special Rapporteur on the Occupied Palestinian Territory must be granted full and unimpeded access to document conditions on the ground and report to the Human Rights Council without obstruction.</w:t>
      </w:r>
    </w:p>
    <w:p>
      <w:pPr>
        <w:spacing w:before="80" w:after="140" w:line="320"/>
        <w:jc w:val="both"/>
      </w:pPr>
      <w:r>
        <w:rPr>
          <w:rFonts w:ascii="Arial" w:cs="Arial" w:eastAsia="Arial" w:hAnsi="Arial"/>
          <w:b/>
          <w:bCs/>
          <w:color w:val="1A1A1A"/>
          <w:sz w:val="22"/>
          <w:szCs w:val="22"/>
        </w:rPr>
        <w:t xml:space="preserve">Demand 5 — Formal International Recognition of Palestinian Historical and Genetic Identity: </w:t>
      </w:r>
      <w:r>
        <w:rPr>
          <w:rFonts w:ascii="Arial" w:cs="Arial" w:eastAsia="Arial" w:hAnsi="Arial"/>
          <w:color w:val="1A1A1A"/>
          <w:sz w:val="22"/>
          <w:szCs w:val="22"/>
        </w:rPr>
        <w:t xml:space="preserve">The United Nations General Assembly must formally recognize, in a resolution grounded in the genetic, archaeological, and historical record, that the Palestinian people — as the descendants of the ancient Canaanite and Semitic populations of the land, including the descendants of ancient Hebrews who remained on the soil — are the rightful indigenous heirs of the land of Kena'an and possess all rights that derive from that status under international indigenous peoples' law, including the UN Declaration on the Rights of Indigenous Peoples.</w:t>
      </w:r>
    </w:p>
    <w:p>
      <w:pPr>
        <w:spacing w:before="80" w:after="140" w:line="320"/>
        <w:jc w:val="both"/>
      </w:pPr>
      <w:r>
        <w:rPr>
          <w:rFonts w:ascii="Arial" w:cs="Arial" w:eastAsia="Arial" w:hAnsi="Arial"/>
          <w:b/>
          <w:bCs/>
          <w:color w:val="1A1A1A"/>
          <w:sz w:val="22"/>
          <w:szCs w:val="22"/>
        </w:rPr>
        <w:t xml:space="preserve">Demand 6 — Halt to All Settlement Expansion: </w:t>
      </w:r>
      <w:r>
        <w:rPr>
          <w:rFonts w:ascii="Arial" w:cs="Arial" w:eastAsia="Arial" w:hAnsi="Arial"/>
          <w:color w:val="1A1A1A"/>
          <w:sz w:val="22"/>
          <w:szCs w:val="22"/>
        </w:rPr>
        <w:t xml:space="preserve">In compliance with the ICJ's 2004 and 2024 rulings, all settlement construction in the West Bank and East Jerusalem must cease immediately. All states must immediately suspend any trade, financial, or diplomatic agreements that directly support or sustain the illegal settlement enterprise. The moving of a neighbor's landmark — the seizure of inherited land — is condemned by the oldest law of the people who claim this covenant. It must stop.</w:t>
      </w:r>
    </w:p>
    <w:p>
      <w:pPr>
        <w:pBdr>
          <w:bottom w:val="single" w:color="CCCCCC" w:sz="2" w:space="1"/>
        </w:pBdr>
        <w:spacing w:before="180" w:after="180"/>
      </w:pPr>
      <w:r>
        <w:rPr>
          <w:rFonts w:ascii="Arial" w:cs="Arial" w:eastAsia="Arial" w:hAnsi="Arial"/>
          <w:color w:val="1A1A1A"/>
          <w:sz w:val="22"/>
          <w:szCs w:val="22"/>
        </w:rPr>
        <w:t xml:space="preserve"/>
      </w:r>
    </w:p>
    <w:p>
      <w:pPr>
        <w:pBdr>
          <w:bottom w:val="single" w:color="8B0000" w:sz="3" w:space="6"/>
        </w:pBdr>
        <w:spacing w:before="340" w:after="120"/>
        <w:ind w:left="300"/>
      </w:pPr>
      <w:r>
        <w:rPr>
          <w:rFonts w:ascii="Arial" w:cs="Arial" w:eastAsia="Arial" w:hAnsi="Arial"/>
          <w:b/>
          <w:bCs/>
          <w:caps/>
          <w:color w:val="8B0000"/>
          <w:sz w:val="25"/>
          <w:szCs w:val="25"/>
        </w:rPr>
        <w:t xml:space="preserve">Closing Statement</w:t>
      </w:r>
    </w:p>
    <w:p>
      <w:pPr>
        <w:spacing w:before="80" w:after="140" w:line="320"/>
        <w:jc w:val="both"/>
      </w:pPr>
      <w:r>
        <w:rPr>
          <w:rFonts w:ascii="Arial" w:cs="Arial" w:eastAsia="Arial" w:hAnsi="Arial"/>
          <w:color w:val="1A1A1A"/>
          <w:sz w:val="22"/>
          <w:szCs w:val="22"/>
        </w:rPr>
        <w:t xml:space="preserve">Your Excellencies, I close with the words of the prophet Micah, spoken in the 8th century before the common era to a nation that had convinced itself that religious observance could substitute for justice:</w:t>
      </w:r>
    </w:p>
    <w:p>
      <w:pPr>
        <w:pBdr>
          <w:left w:val="thick" w:color="8B0000" w:sz="8" w:space="12"/>
        </w:pBdr>
        <w:spacing w:before="160" w:after="160" w:line="300"/>
        <w:ind w:left="720" w:right="720"/>
        <w:jc w:val="both"/>
      </w:pPr>
      <w:r>
        <w:rPr>
          <w:rFonts w:ascii="Georgia" w:cs="Georgia" w:eastAsia="Georgia" w:hAnsi="Georgia"/>
          <w:i/>
          <w:iCs/>
          <w:color w:val="555555"/>
          <w:sz w:val="21"/>
          <w:szCs w:val="21"/>
        </w:rPr>
        <w:t xml:space="preserve">'What does Yahweh require of you but to do justice, and to love kindness, and to walk humbly with your Elohim?' — Micah 6:8</w:t>
      </w:r>
    </w:p>
    <w:p>
      <w:pPr>
        <w:spacing w:before="80" w:after="140" w:line="320"/>
        <w:jc w:val="both"/>
      </w:pPr>
      <w:r>
        <w:rPr>
          <w:rFonts w:ascii="Arial" w:cs="Arial" w:eastAsia="Arial" w:hAnsi="Arial"/>
          <w:color w:val="1A1A1A"/>
          <w:sz w:val="22"/>
          <w:szCs w:val="22"/>
        </w:rPr>
        <w:t xml:space="preserve">The Hebrew word translated 'justice' is mishpat — a legal term meaning the rendering of a verdict according to what is right, regardless of who holds power. The prophets spoke it to kings. They spoke it to priests. They spoke it to the nation itself when the nation had become the oppressor. They did not soften it. They did not wait for a more politically convenient moment. They spoke it when it cost them everything to do so.</w:t>
      </w:r>
    </w:p>
    <w:p>
      <w:pPr>
        <w:spacing w:before="80" w:after="140" w:line="320"/>
        <w:jc w:val="both"/>
      </w:pPr>
      <w:r>
        <w:rPr>
          <w:rFonts w:ascii="Arial" w:cs="Arial" w:eastAsia="Arial" w:hAnsi="Arial"/>
          <w:color w:val="1A1A1A"/>
          <w:sz w:val="22"/>
          <w:szCs w:val="22"/>
        </w:rPr>
        <w:t xml:space="preserve">Your institutions were built so that the nations of the earth would not have to wait for a prophet. You were given the power, the mandate, and the tools of international law precisely for moments like this one — when the powerful kill the powerless, when brother raises his hand against brother, when the blood cries from the ground and no one in the immediate vicinity will hear it.</w:t>
      </w:r>
    </w:p>
    <w:p>
      <w:pPr>
        <w:spacing w:before="80" w:after="140" w:line="320"/>
        <w:jc w:val="both"/>
      </w:pPr>
      <w:r>
        <w:rPr>
          <w:rFonts w:ascii="Arial" w:cs="Arial" w:eastAsia="Arial" w:hAnsi="Arial"/>
          <w:color w:val="1A1A1A"/>
          <w:sz w:val="22"/>
          <w:szCs w:val="22"/>
        </w:rPr>
        <w:t xml:space="preserve">The blood is crying. The law has spoken. The evidence is before you.</w:t>
      </w:r>
    </w:p>
    <w:p>
      <w:pPr>
        <w:spacing w:before="80" w:after="140" w:line="320"/>
        <w:jc w:val="both"/>
      </w:pPr>
      <w:r>
        <w:rPr>
          <w:rFonts w:ascii="Arial" w:cs="Arial" w:eastAsia="Arial" w:hAnsi="Arial"/>
          <w:color w:val="1A1A1A"/>
          <w:sz w:val="22"/>
          <w:szCs w:val="22"/>
        </w:rPr>
        <w:t xml:space="preserve">The only question remaining is whether you will act.</w:t>
      </w:r>
    </w:p>
    <w:p>
      <w:pPr>
        <w:spacing w:before="40" w:after="40"/>
      </w:pPr>
      <w:r>
        <w:rPr>
          <w:rFonts w:ascii="Arial" w:cs="Arial" w:eastAsia="Arial" w:hAnsi="Arial"/>
          <w:color w:val="1A1A1A"/>
          <w:sz w:val="22"/>
          <w:szCs w:val="22"/>
        </w:rPr>
        <w:t xml:space="preserve"/>
      </w:r>
    </w:p>
    <w:p>
      <w:pPr>
        <w:spacing w:before="40" w:after="40"/>
      </w:pPr>
      <w:r>
        <w:rPr>
          <w:rFonts w:ascii="Arial" w:cs="Arial" w:eastAsia="Arial" w:hAnsi="Arial"/>
          <w:color w:val="1A1A1A"/>
          <w:sz w:val="22"/>
          <w:szCs w:val="22"/>
        </w:rPr>
        <w:t xml:space="preserve"/>
      </w:r>
    </w:p>
    <w:p>
      <w:pPr>
        <w:spacing w:before="80" w:after="140" w:line="320"/>
        <w:jc w:val="both"/>
      </w:pPr>
      <w:r>
        <w:rPr>
          <w:rFonts w:ascii="Arial" w:cs="Arial" w:eastAsia="Arial" w:hAnsi="Arial"/>
          <w:color w:val="1A1A1A"/>
          <w:sz w:val="22"/>
          <w:szCs w:val="22"/>
        </w:rPr>
        <w:t xml:space="preserve">Respectfully and urgently submitted,</w:t>
      </w:r>
    </w:p>
    <w:p>
      <w:pPr>
        <w:spacing w:before="40" w:after="40"/>
      </w:pPr>
      <w:r>
        <w:rPr>
          <w:rFonts w:ascii="Arial" w:cs="Arial" w:eastAsia="Arial" w:hAnsi="Arial"/>
          <w:color w:val="1A1A1A"/>
          <w:sz w:val="22"/>
          <w:szCs w:val="22"/>
        </w:rPr>
        <w:t xml:space="preserve"/>
      </w:r>
    </w:p>
    <w:p>
      <w:pPr>
        <w:spacing w:before="0" w:after="40"/>
      </w:pPr>
      <w:r>
        <w:rPr>
          <w:rFonts w:ascii="Arial" w:cs="Arial" w:eastAsia="Arial" w:hAnsi="Arial"/>
          <w:b/>
          <w:bCs/>
          <w:color w:val="8B0000"/>
          <w:sz w:val="24"/>
          <w:szCs w:val="24"/>
        </w:rPr>
        <w:t xml:space="preserve">Elder Kepha Arcemont</w:t>
      </w:r>
    </w:p>
    <w:p>
      <w:pPr>
        <w:spacing w:before="0" w:after="80"/>
      </w:pPr>
      <w:r>
        <w:rPr>
          <w:rFonts w:ascii="Arial" w:cs="Arial" w:eastAsia="Arial" w:hAnsi="Arial"/>
          <w:color w:val="1A1A1A"/>
          <w:sz w:val="22"/>
          <w:szCs w:val="22"/>
        </w:rPr>
        <w:t xml:space="preserve">Miqdash Bethel</w:t>
      </w:r>
    </w:p>
    <w:p>
      <w:pPr>
        <w:spacing w:before="0" w:after="80"/>
      </w:pPr>
      <w:r>
        <w:rPr>
          <w:rFonts w:ascii="Arial" w:cs="Arial" w:eastAsia="Arial" w:hAnsi="Arial"/>
          <w:color w:val="1A1A1A"/>
          <w:sz w:val="22"/>
          <w:szCs w:val="22"/>
        </w:rPr>
        <w:t xml:space="preserve">P.O. Box 762</w:t>
      </w:r>
    </w:p>
    <w:p>
      <w:pPr>
        <w:spacing w:before="0" w:after="80"/>
      </w:pPr>
      <w:r>
        <w:rPr>
          <w:rFonts w:ascii="Arial" w:cs="Arial" w:eastAsia="Arial" w:hAnsi="Arial"/>
          <w:color w:val="1A1A1A"/>
          <w:sz w:val="22"/>
          <w:szCs w:val="22"/>
        </w:rPr>
        <w:t xml:space="preserve">Pearl River, Louisiana 70452</w:t>
      </w:r>
    </w:p>
    <w:p>
      <w:pPr>
        <w:spacing w:before="0" w:after="80"/>
      </w:pPr>
      <w:r>
        <w:rPr>
          <w:rFonts w:ascii="Arial" w:cs="Arial" w:eastAsia="Arial" w:hAnsi="Arial"/>
          <w:color w:val="1A1A1A"/>
          <w:sz w:val="22"/>
          <w:szCs w:val="22"/>
        </w:rPr>
        <w:t xml:space="preserve">Telephone: 402-218-9530</w:t>
      </w:r>
    </w:p>
    <w:p>
      <w:pPr>
        <w:spacing w:before="0" w:after="80"/>
      </w:pPr>
      <w:r>
        <w:rPr>
          <w:rFonts w:ascii="Arial" w:cs="Arial" w:eastAsia="Arial" w:hAnsi="Arial"/>
          <w:color w:val="1A1A1A"/>
          <w:sz w:val="22"/>
          <w:szCs w:val="22"/>
        </w:rPr>
        <w:t xml:space="preserve">Email: kepha613@gmail.com</w:t>
      </w:r>
    </w:p>
    <w:p>
      <w:pPr>
        <w:spacing w:before="0" w:after="80"/>
      </w:pPr>
      <w:r>
        <w:rPr>
          <w:rFonts w:ascii="Arial" w:cs="Arial" w:eastAsia="Arial" w:hAnsi="Arial"/>
          <w:color w:val="1A1A1A"/>
          <w:sz w:val="22"/>
          <w:szCs w:val="22"/>
        </w:rPr>
        <w:t xml:space="preserve">Date: March 4, 2026</w:t>
      </w:r>
    </w:p>
    <w:p>
      <w:pPr>
        <w:pBdr>
          <w:bottom w:val="single" w:color="8B0000" w:sz="4" w:space="1"/>
        </w:pBdr>
        <w:spacing w:before="180" w:after="180"/>
      </w:pPr>
      <w:r>
        <w:rPr>
          <w:rFonts w:ascii="Arial" w:cs="Arial" w:eastAsia="Arial" w:hAnsi="Arial"/>
          <w:color w:val="1A1A1A"/>
          <w:sz w:val="22"/>
          <w:szCs w:val="22"/>
        </w:rPr>
        <w:t xml:space="preserve"/>
      </w:r>
    </w:p>
    <w:p>
      <w:pPr>
        <w:spacing w:before="100" w:after="60"/>
        <w:jc w:val="center"/>
      </w:pPr>
      <w:r>
        <w:rPr>
          <w:rFonts w:ascii="Georgia" w:cs="Georgia" w:eastAsia="Georgia" w:hAnsi="Georgia"/>
          <w:i/>
          <w:iCs/>
          <w:color w:val="555555"/>
          <w:sz w:val="20"/>
          <w:szCs w:val="20"/>
        </w:rPr>
        <w:t xml:space="preserve">Written in the tradition of the Nevi'im — the Prophets —</w:t>
      </w:r>
    </w:p>
    <w:p>
      <w:pPr>
        <w:spacing w:before="0" w:after="100"/>
        <w:jc w:val="center"/>
      </w:pPr>
      <w:r>
        <w:rPr>
          <w:rFonts w:ascii="Georgia" w:cs="Georgia" w:eastAsia="Georgia" w:hAnsi="Georgia"/>
          <w:i/>
          <w:iCs/>
          <w:color w:val="555555"/>
          <w:sz w:val="20"/>
          <w:szCs w:val="20"/>
        </w:rPr>
        <w:t xml:space="preserve">who spoke truth to power when it cost them everything to do so.</w:t>
      </w:r>
    </w:p>
    <w:sectPr>
      <w:headerReference w:type="default" r:id="rId6"/>
      <w:footerReference w:type="default" r:id="rId7"/>
      <w:pgSz w:w="12240" w:h="15840" w:orient="portrait"/>
      <w:pgMar w:top="1260" w:right="1440" w:bottom="126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4"/>
      </w:pBdr>
      <w:spacing w:before="80"/>
    </w:pPr>
    <w:r>
      <w:rPr>
        <w:rFonts w:ascii="Arial" w:cs="Arial" w:eastAsia="Arial" w:hAnsi="Arial"/>
        <w:color w:val="555555"/>
        <w:sz w:val="16"/>
        <w:szCs w:val="16"/>
      </w:rPr>
      <w:t xml:space="preserve">Miqdash Bethel  |  Elder Kepha Arcemont  |  P.O. Box 762, Pearl River, LA 70452  |  Page </w:t>
    </w:r>
    <w:r>
      <w:rPr>
        <w:rFonts w:ascii="Arial" w:cs="Arial" w:eastAsia="Arial" w:hAnsi="Arial"/>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8B0000" w:sz="6" w:space="6"/>
      </w:pBdr>
      <w:spacing w:after="80"/>
    </w:pPr>
    <w:r>
      <w:rPr>
        <w:rFonts w:ascii="Arial" w:cs="Arial" w:eastAsia="Arial" w:hAnsi="Arial"/>
        <w:b/>
        <w:bCs/>
        <w:color w:val="555555"/>
        <w:sz w:val="16"/>
        <w:szCs w:val="16"/>
      </w:rPr>
      <w:t xml:space="preserve">MIQDASH BETHEL  |  FORMAL PETITION FOR JUSTICE  |  MARCH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pPr>
      <w:spacing w:before="340" w:after="120"/>
      <w:outlineLvl w:val="0"/>
    </w:pPr>
    <w:rPr>
      <w:rFonts w:ascii="Arial" w:cs="Arial" w:eastAsia="Arial" w:hAnsi="Arial"/>
      <w:b/>
      <w:bCs/>
      <w:color w:val="8B000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2026-03-04T08:53:16.362Z</dcterms:created>
  <dcterms:modified xsi:type="dcterms:W3CDTF">2026-03-04T08:53:16.363Z</dcterms:modified>
</cp:coreProperties>
</file>

<file path=docProps/custom.xml><?xml version="1.0" encoding="utf-8"?>
<Properties xmlns="http://schemas.openxmlformats.org/officeDocument/2006/custom-properties" xmlns:vt="http://schemas.openxmlformats.org/officeDocument/2006/docPropsVTypes"/>
</file>