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A06B" w14:textId="732D2936" w:rsidR="00256E01" w:rsidRPr="00256E01" w:rsidRDefault="0088529B" w:rsidP="00256E01">
      <w:pPr>
        <w:pStyle w:val="Default"/>
        <w:jc w:val="center"/>
        <w:rPr>
          <w:rFonts w:cs="Times New Roman (Body CS)"/>
          <w:color w:val="auto"/>
          <w:sz w:val="20"/>
          <w:szCs w:val="20"/>
        </w:rPr>
      </w:pPr>
      <w:r>
        <w:rPr>
          <w:rFonts w:eastAsia="Century Gothic"/>
          <w:b/>
          <w:noProof/>
        </w:rPr>
        <w:drawing>
          <wp:inline distT="0" distB="0" distL="0" distR="0" wp14:anchorId="2692EBBD" wp14:editId="6D6A7385">
            <wp:extent cx="3924300" cy="1073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27" cy="10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D893A" w14:textId="77777777" w:rsidR="00256E01" w:rsidRPr="00256E01" w:rsidRDefault="00256E01" w:rsidP="00256E01">
      <w:pPr>
        <w:pStyle w:val="Default"/>
        <w:jc w:val="center"/>
        <w:rPr>
          <w:rFonts w:cs="Times New Roman (Body CS)"/>
          <w:color w:val="auto"/>
          <w:sz w:val="20"/>
          <w:szCs w:val="20"/>
        </w:rPr>
      </w:pPr>
    </w:p>
    <w:p w14:paraId="39E904CF" w14:textId="128EF3B7" w:rsidR="00256E01" w:rsidRPr="00256E01" w:rsidRDefault="00256E01" w:rsidP="00256E01">
      <w:pPr>
        <w:pStyle w:val="Default"/>
        <w:jc w:val="center"/>
        <w:rPr>
          <w:color w:val="auto"/>
          <w:sz w:val="20"/>
          <w:szCs w:val="20"/>
        </w:rPr>
      </w:pPr>
      <w:r w:rsidRPr="00256E01">
        <w:rPr>
          <w:b/>
          <w:bCs/>
          <w:color w:val="auto"/>
          <w:sz w:val="20"/>
          <w:szCs w:val="20"/>
        </w:rPr>
        <w:t>RECORD RETENTION AND DESTRUCTION POLICY</w:t>
      </w:r>
    </w:p>
    <w:p w14:paraId="3B6A4E2B" w14:textId="0FEEDBF4" w:rsidR="00256E01" w:rsidRDefault="00256E01" w:rsidP="00256E01">
      <w:pPr>
        <w:pStyle w:val="Default"/>
        <w:rPr>
          <w:b/>
          <w:bCs/>
          <w:color w:val="auto"/>
          <w:sz w:val="20"/>
          <w:szCs w:val="20"/>
        </w:rPr>
      </w:pPr>
      <w:r w:rsidRPr="00256E01">
        <w:rPr>
          <w:b/>
          <w:bCs/>
          <w:color w:val="auto"/>
          <w:sz w:val="20"/>
          <w:szCs w:val="20"/>
        </w:rPr>
        <w:t xml:space="preserve">STATEMENT OF POLICY </w:t>
      </w:r>
    </w:p>
    <w:p w14:paraId="5978C9AD" w14:textId="77777777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</w:p>
    <w:p w14:paraId="7845A0B5" w14:textId="1D7B1A11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>This policy covers all records and documents, regardless of physical form. It contains guidelines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for how long certain documents should be kept and how records should be destroyed. The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 xml:space="preserve">policy is designed to ensure compliance with federal and state laws </w:t>
      </w:r>
      <w:r>
        <w:rPr>
          <w:color w:val="auto"/>
          <w:sz w:val="20"/>
          <w:szCs w:val="20"/>
        </w:rPr>
        <w:t>[PREPARED IN COLORADO]</w:t>
      </w:r>
      <w:r w:rsidRPr="00256E01">
        <w:rPr>
          <w:color w:val="auto"/>
          <w:sz w:val="20"/>
          <w:szCs w:val="20"/>
        </w:rPr>
        <w:t>and regulations, to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eliminate accidental or innocent destruction of records and to facilitate the operation of</w:t>
      </w:r>
      <w:r>
        <w:rPr>
          <w:color w:val="auto"/>
          <w:sz w:val="20"/>
          <w:szCs w:val="20"/>
        </w:rPr>
        <w:t xml:space="preserve"> [ORGANIZATION NAME]</w:t>
      </w:r>
      <w:r w:rsidRPr="00256E01">
        <w:rPr>
          <w:color w:val="auto"/>
          <w:sz w:val="20"/>
          <w:szCs w:val="20"/>
        </w:rPr>
        <w:t xml:space="preserve"> (“Association”) by promoting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 xml:space="preserve">efficiency and freeing up valuable storage space. </w:t>
      </w:r>
    </w:p>
    <w:p w14:paraId="6626161B" w14:textId="77777777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</w:p>
    <w:p w14:paraId="22333ED6" w14:textId="77777777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b/>
          <w:bCs/>
          <w:color w:val="auto"/>
          <w:sz w:val="20"/>
          <w:szCs w:val="20"/>
        </w:rPr>
        <w:t xml:space="preserve">RETENTION SCHEDULE AND ADMINISTRATION </w:t>
      </w:r>
    </w:p>
    <w:p w14:paraId="1C495735" w14:textId="77777777" w:rsidR="00256E01" w:rsidRDefault="00256E01" w:rsidP="00256E01">
      <w:pPr>
        <w:pStyle w:val="Default"/>
        <w:rPr>
          <w:color w:val="auto"/>
          <w:sz w:val="20"/>
          <w:szCs w:val="20"/>
        </w:rPr>
      </w:pPr>
    </w:p>
    <w:p w14:paraId="22FE4D9E" w14:textId="09DDC7DE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>The Association's Record Retention Schedule is set forth in Appendix A, which is incorporated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herein by reference. The CEO (“Administrator") shall administer this Policy. The Administrator is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also authorized to make modifications to the Record Retention Schedule from time to time as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the Administrator deems appropriate, including any modification to ensure that it is in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compliance with local. state and federal laws and includes the appropriate document and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record categories for the Association; monitor local, state and federal laws affecting record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retention annually, review the record retention and disposal program; and monitor compliance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 xml:space="preserve">with this policy. </w:t>
      </w:r>
    </w:p>
    <w:p w14:paraId="41CA57C4" w14:textId="77777777" w:rsidR="00256E01" w:rsidRDefault="00256E01" w:rsidP="00256E01">
      <w:pPr>
        <w:pStyle w:val="Default"/>
        <w:rPr>
          <w:b/>
          <w:bCs/>
          <w:color w:val="auto"/>
          <w:sz w:val="20"/>
          <w:szCs w:val="20"/>
        </w:rPr>
      </w:pPr>
    </w:p>
    <w:p w14:paraId="10F470E1" w14:textId="6B3094D3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b/>
          <w:bCs/>
          <w:color w:val="auto"/>
          <w:sz w:val="20"/>
          <w:szCs w:val="20"/>
        </w:rPr>
        <w:t xml:space="preserve">ELECTRONIC DOCUMENTS AND RECORDS </w:t>
      </w:r>
    </w:p>
    <w:p w14:paraId="487FBBB2" w14:textId="77777777" w:rsidR="00256E01" w:rsidRDefault="00256E01" w:rsidP="00256E01">
      <w:pPr>
        <w:pStyle w:val="Default"/>
        <w:rPr>
          <w:color w:val="auto"/>
          <w:sz w:val="20"/>
          <w:szCs w:val="20"/>
        </w:rPr>
      </w:pPr>
    </w:p>
    <w:p w14:paraId="0C9B3059" w14:textId="44A351A3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>Electronic documents will be retained as if they were paper documents. Therefore, any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electronic files that fall into one of the document types in Appendix A will be maintained for the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appropriate amount of time. If an employee has sufficient reason to keep an email message,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the message should be printed in hard copy and kept in the appropriate file or moved to an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"archive" computer file folder. All other electronic documents will be deleted from all individual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computers, data bases, networks, and back-up storage at least annually, subject to the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provisions of this Policy entitled “Suspension of Record Disposal in the Event of Litigation or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 xml:space="preserve">Claims”. </w:t>
      </w:r>
    </w:p>
    <w:p w14:paraId="09E804E4" w14:textId="77777777" w:rsidR="00256E01" w:rsidRDefault="00256E01" w:rsidP="00256E01">
      <w:pPr>
        <w:pStyle w:val="Default"/>
        <w:rPr>
          <w:b/>
          <w:bCs/>
          <w:color w:val="auto"/>
          <w:sz w:val="20"/>
          <w:szCs w:val="20"/>
        </w:rPr>
      </w:pPr>
    </w:p>
    <w:p w14:paraId="389A7A2F" w14:textId="6EF36148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b/>
          <w:bCs/>
          <w:color w:val="auto"/>
          <w:sz w:val="20"/>
          <w:szCs w:val="20"/>
        </w:rPr>
        <w:t xml:space="preserve">VOICEMAIL </w:t>
      </w:r>
    </w:p>
    <w:p w14:paraId="168772B7" w14:textId="77777777" w:rsidR="00256E01" w:rsidRDefault="00256E01" w:rsidP="00256E01">
      <w:pPr>
        <w:pStyle w:val="Default"/>
        <w:rPr>
          <w:color w:val="auto"/>
          <w:sz w:val="20"/>
          <w:szCs w:val="20"/>
        </w:rPr>
      </w:pPr>
    </w:p>
    <w:p w14:paraId="1DFFBD7D" w14:textId="67508191" w:rsid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>Voicemail recordings shall be retained as if they were paper documents and, therefore, shall be</w:t>
      </w:r>
    </w:p>
    <w:p w14:paraId="194E2B3A" w14:textId="77FC97A7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>transcribed if an employee has sufficient reason to believe that the message would fall into one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of the document types in Appendix A. A voicemail which could be acceptable as the sole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record supporting a business decision or operations shall be deemed to fall into one of the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 xml:space="preserve">document types in Appendix A. </w:t>
      </w:r>
    </w:p>
    <w:p w14:paraId="730F8374" w14:textId="77777777" w:rsidR="00256E01" w:rsidRDefault="00256E01" w:rsidP="00256E01">
      <w:pPr>
        <w:pStyle w:val="Default"/>
        <w:rPr>
          <w:b/>
          <w:bCs/>
          <w:color w:val="auto"/>
          <w:sz w:val="20"/>
          <w:szCs w:val="20"/>
        </w:rPr>
      </w:pPr>
    </w:p>
    <w:p w14:paraId="66DD14DA" w14:textId="3052C9AB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b/>
          <w:bCs/>
          <w:color w:val="auto"/>
          <w:sz w:val="20"/>
          <w:szCs w:val="20"/>
        </w:rPr>
        <w:t xml:space="preserve">DOCUMENT DESTRUCTION </w:t>
      </w:r>
    </w:p>
    <w:p w14:paraId="2EDDBFC4" w14:textId="77777777" w:rsidR="00256E01" w:rsidRDefault="00256E01" w:rsidP="00256E01">
      <w:pPr>
        <w:pStyle w:val="Default"/>
        <w:rPr>
          <w:color w:val="auto"/>
          <w:sz w:val="20"/>
          <w:szCs w:val="20"/>
        </w:rPr>
      </w:pPr>
    </w:p>
    <w:p w14:paraId="4A75E5A8" w14:textId="6548A48E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>The Administrator is responsible for the ongoing process of identifying its records, which have met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the required retention period, and overseeing their destruction. Destruction of financial and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lastRenderedPageBreak/>
        <w:t>personnel-related documents will be accomplished by shredding. Document destruction will be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suspended immediately, upon any indication of an official investigation or when a lawsuit is filed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 xml:space="preserve">or appears imminent. Destruction will be reinstated upon conclusion of the investigation. </w:t>
      </w:r>
    </w:p>
    <w:p w14:paraId="567E0802" w14:textId="77777777" w:rsidR="00256E01" w:rsidRDefault="00256E01" w:rsidP="00256E01">
      <w:pPr>
        <w:pStyle w:val="Default"/>
        <w:rPr>
          <w:b/>
          <w:bCs/>
          <w:color w:val="auto"/>
          <w:sz w:val="20"/>
          <w:szCs w:val="20"/>
        </w:rPr>
      </w:pPr>
    </w:p>
    <w:p w14:paraId="27F83E8A" w14:textId="11932EFB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b/>
          <w:bCs/>
          <w:color w:val="auto"/>
          <w:sz w:val="20"/>
          <w:szCs w:val="20"/>
        </w:rPr>
        <w:t xml:space="preserve">SUSPENSION OF RECORD DISPOSAL IN THE EVENT OF LITIGATION OR CLAIMS </w:t>
      </w:r>
    </w:p>
    <w:p w14:paraId="40218D5E" w14:textId="77777777" w:rsidR="00256E01" w:rsidRDefault="00256E01" w:rsidP="00256E01">
      <w:pPr>
        <w:pStyle w:val="Default"/>
        <w:rPr>
          <w:color w:val="auto"/>
          <w:sz w:val="20"/>
          <w:szCs w:val="20"/>
        </w:rPr>
      </w:pPr>
    </w:p>
    <w:p w14:paraId="79840C2C" w14:textId="0C12966D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>No director, officer, employee, or agent of the Association shall destroy, dispose of, conceal or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alter any record or document while knowing that it is or may be relevant to an anticipated or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ongoing investigation or legal proceeding conducted by or before a federal, state or local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government agency, including tax and regulatory agencies, law enforcement agencies, and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civil and criminal courts, or an anticipated or ongoing internal investigation, audit or review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 xml:space="preserve">conducted by the Association. </w:t>
      </w:r>
    </w:p>
    <w:p w14:paraId="59D3DE3B" w14:textId="4C954A69" w:rsidR="00256E01" w:rsidRPr="00256E01" w:rsidRDefault="00256E01" w:rsidP="00256E01">
      <w:pPr>
        <w:pStyle w:val="Default"/>
        <w:ind w:left="360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>During the occurrence of an anticipated or ongoing investigation or legal proceeding as set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forth above, the Administrator shall suspend any further disposal of documents until such time as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the Administrator, with the advice of counsel, determines otherwise. The Administrator shall take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>such steps as necessary to promptly inform all staff of any suspension in the further disposal of</w:t>
      </w:r>
      <w:r>
        <w:rPr>
          <w:color w:val="auto"/>
          <w:sz w:val="20"/>
          <w:szCs w:val="20"/>
        </w:rPr>
        <w:t xml:space="preserve"> </w:t>
      </w:r>
      <w:r w:rsidRPr="00256E01">
        <w:rPr>
          <w:color w:val="auto"/>
          <w:sz w:val="20"/>
          <w:szCs w:val="20"/>
        </w:rPr>
        <w:t xml:space="preserve">documents. </w:t>
      </w:r>
    </w:p>
    <w:p w14:paraId="41F34B90" w14:textId="77777777" w:rsidR="00256E01" w:rsidRDefault="00256E01" w:rsidP="00256E01">
      <w:pPr>
        <w:pStyle w:val="Default"/>
        <w:rPr>
          <w:b/>
          <w:bCs/>
          <w:color w:val="auto"/>
          <w:sz w:val="20"/>
          <w:szCs w:val="20"/>
        </w:rPr>
      </w:pPr>
    </w:p>
    <w:p w14:paraId="30016D27" w14:textId="16547AAF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b/>
          <w:bCs/>
          <w:color w:val="auto"/>
          <w:sz w:val="20"/>
          <w:szCs w:val="20"/>
        </w:rPr>
        <w:t xml:space="preserve">APPROVAL </w:t>
      </w:r>
    </w:p>
    <w:p w14:paraId="41C54457" w14:textId="4789EA60" w:rsidR="00256E01" w:rsidRPr="00256E01" w:rsidRDefault="00256E01" w:rsidP="00256E01">
      <w:pPr>
        <w:pStyle w:val="Default"/>
        <w:ind w:left="360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This Policy was approved by the Board of Directors </w:t>
      </w:r>
      <w:r>
        <w:rPr>
          <w:color w:val="auto"/>
          <w:sz w:val="20"/>
          <w:szCs w:val="20"/>
        </w:rPr>
        <w:t>[ORGANIZATION NAME]</w:t>
      </w:r>
      <w:r w:rsidRPr="00256E01">
        <w:rPr>
          <w:color w:val="auto"/>
          <w:sz w:val="20"/>
          <w:szCs w:val="20"/>
        </w:rPr>
        <w:t xml:space="preserve"> on _________________________. </w:t>
      </w:r>
    </w:p>
    <w:p w14:paraId="76E9797D" w14:textId="3C8FDCAB" w:rsidR="00256E01" w:rsidRPr="00256E01" w:rsidRDefault="00256E01" w:rsidP="00256E01">
      <w:pPr>
        <w:pStyle w:val="Default"/>
        <w:pageBreakBefore/>
        <w:jc w:val="center"/>
        <w:rPr>
          <w:color w:val="auto"/>
          <w:sz w:val="20"/>
          <w:szCs w:val="20"/>
        </w:rPr>
      </w:pPr>
      <w:r w:rsidRPr="00256E01">
        <w:rPr>
          <w:b/>
          <w:bCs/>
          <w:color w:val="auto"/>
          <w:sz w:val="20"/>
          <w:szCs w:val="20"/>
        </w:rPr>
        <w:lastRenderedPageBreak/>
        <w:t>RECORD RETENTION AND DESTRUCTION POLICY | APPENDIX A</w:t>
      </w:r>
    </w:p>
    <w:p w14:paraId="3970D6D5" w14:textId="77777777" w:rsidR="00256E01" w:rsidRDefault="00256E01" w:rsidP="00256E01">
      <w:pPr>
        <w:pStyle w:val="Default"/>
        <w:rPr>
          <w:b/>
          <w:bCs/>
          <w:color w:val="auto"/>
          <w:sz w:val="20"/>
          <w:szCs w:val="20"/>
        </w:rPr>
      </w:pPr>
    </w:p>
    <w:p w14:paraId="75E69B2E" w14:textId="5D0F926A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b/>
          <w:bCs/>
          <w:color w:val="auto"/>
          <w:sz w:val="20"/>
          <w:szCs w:val="20"/>
        </w:rPr>
        <w:t xml:space="preserve">Accounting and Finance </w:t>
      </w:r>
    </w:p>
    <w:p w14:paraId="2ADC2DC5" w14:textId="59B2E534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Accounts payable ledgers and schedules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7 years </w:t>
      </w:r>
    </w:p>
    <w:p w14:paraId="5BD4B45C" w14:textId="52AF1B59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Accounts receivable ledgers and schedules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7 years </w:t>
      </w:r>
    </w:p>
    <w:p w14:paraId="0A180671" w14:textId="1CDEF54B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Annual audit report and financial statement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Permanent </w:t>
      </w:r>
    </w:p>
    <w:p w14:paraId="7D052AAE" w14:textId="440F5F17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- Related work papers and documents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7 years after completion </w:t>
      </w:r>
    </w:p>
    <w:p w14:paraId="4A4345AE" w14:textId="5628475B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Bank statements and cancelled checks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7 years </w:t>
      </w:r>
    </w:p>
    <w:p w14:paraId="11D4F06B" w14:textId="3C9FEBDB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Expense records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7 years </w:t>
      </w:r>
    </w:p>
    <w:p w14:paraId="3117E1EF" w14:textId="3844E435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General ledgers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Permanent </w:t>
      </w:r>
    </w:p>
    <w:p w14:paraId="7C4355FA" w14:textId="252C80BC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Electronic payment records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7 years </w:t>
      </w:r>
    </w:p>
    <w:p w14:paraId="3E4654F3" w14:textId="4AD489BB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Notes receivable ledgers and schedules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7 years </w:t>
      </w:r>
    </w:p>
    <w:p w14:paraId="2B35D54E" w14:textId="632F4F2A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Investment records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7 years after investment sale </w:t>
      </w:r>
    </w:p>
    <w:p w14:paraId="4B44E1CF" w14:textId="63FB24F6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IRS 990 and 990T tax returns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Permanent </w:t>
      </w:r>
    </w:p>
    <w:p w14:paraId="2C979F30" w14:textId="1F726C52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Tax bills, receipts, statements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Permanent </w:t>
      </w:r>
    </w:p>
    <w:p w14:paraId="4FC2B7DF" w14:textId="4E9B0E7A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Tax work paper packages (originals)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7 years </w:t>
      </w:r>
    </w:p>
    <w:p w14:paraId="7C14D221" w14:textId="48388D41" w:rsidR="00256E01" w:rsidRPr="00256E01" w:rsidRDefault="00256E01" w:rsidP="00256E01">
      <w:pPr>
        <w:pStyle w:val="Default"/>
        <w:ind w:left="6480" w:hanging="6480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Sales/use tax records </w:t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4 years after tax is due or paid, whichever is later </w:t>
      </w:r>
    </w:p>
    <w:p w14:paraId="45CE4050" w14:textId="77777777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b/>
          <w:bCs/>
          <w:color w:val="auto"/>
          <w:sz w:val="20"/>
          <w:szCs w:val="20"/>
        </w:rPr>
        <w:t xml:space="preserve">Corporate Records </w:t>
      </w:r>
    </w:p>
    <w:p w14:paraId="14860E83" w14:textId="2710D8EB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Articles of Incorporation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Permanent </w:t>
      </w:r>
    </w:p>
    <w:p w14:paraId="75E77C12" w14:textId="1306BA20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Bylaws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Permanent </w:t>
      </w:r>
    </w:p>
    <w:p w14:paraId="4C8FBF7D" w14:textId="54064262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IRS application for tax-exempt status (Form 1023)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Permanent </w:t>
      </w:r>
    </w:p>
    <w:p w14:paraId="41B20F7A" w14:textId="7D03BE7F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IRS determination letter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Permanent </w:t>
      </w:r>
    </w:p>
    <w:p w14:paraId="670898D4" w14:textId="61E4EA40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State sales tax exemption letter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Permanent </w:t>
      </w:r>
    </w:p>
    <w:p w14:paraId="4FDBF13B" w14:textId="476C7663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Contracts (after expiration)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7 years after expiration </w:t>
      </w:r>
    </w:p>
    <w:p w14:paraId="43C233B5" w14:textId="67763B2F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Licenses and permits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Permanent </w:t>
      </w:r>
    </w:p>
    <w:p w14:paraId="0C468757" w14:textId="61B9C72C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Annual reports to Attorney General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Permanent </w:t>
      </w:r>
    </w:p>
    <w:p w14:paraId="08C2CD41" w14:textId="03368FF7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Periodic reports to the Secretary of State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Permanent </w:t>
      </w:r>
    </w:p>
    <w:p w14:paraId="6E20B0D1" w14:textId="5F3DAEB3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- Only required to keep the most recently filed report </w:t>
      </w:r>
    </w:p>
    <w:p w14:paraId="772C2A00" w14:textId="566B0D8B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Minutes of board meetings and committee meetings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Permanent </w:t>
      </w:r>
    </w:p>
    <w:p w14:paraId="74542760" w14:textId="3A55517F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Board and committee policies/resolutions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Permanent </w:t>
      </w:r>
    </w:p>
    <w:p w14:paraId="5B7784EF" w14:textId="6FABA485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Minutes of member meetings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Permanent </w:t>
      </w:r>
    </w:p>
    <w:p w14:paraId="1333B6CB" w14:textId="6C3FDD97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Member resolutions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Permanent </w:t>
      </w:r>
    </w:p>
    <w:p w14:paraId="41F847C9" w14:textId="6924E39D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Written communications to members generally as members </w:t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3 years </w:t>
      </w:r>
    </w:p>
    <w:p w14:paraId="6CE6D324" w14:textId="1082AA68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19"/>
          <w:szCs w:val="19"/>
        </w:rPr>
        <w:t>Waivers of notices of meetings of the members, board or committee</w:t>
      </w:r>
      <w:r w:rsidRPr="00256E01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Permanent </w:t>
      </w:r>
    </w:p>
    <w:p w14:paraId="6E3F0635" w14:textId="6BD2C955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Tax-Exemption documents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Permanent </w:t>
      </w:r>
    </w:p>
    <w:p w14:paraId="6D8B9AC8" w14:textId="77777777" w:rsidR="00256E01" w:rsidRDefault="00256E01" w:rsidP="00256E01">
      <w:pPr>
        <w:pStyle w:val="Default"/>
        <w:rPr>
          <w:b/>
          <w:bCs/>
          <w:color w:val="auto"/>
          <w:sz w:val="20"/>
          <w:szCs w:val="20"/>
        </w:rPr>
      </w:pPr>
    </w:p>
    <w:p w14:paraId="02DE2275" w14:textId="7FD01A3D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b/>
          <w:bCs/>
          <w:color w:val="auto"/>
          <w:sz w:val="20"/>
          <w:szCs w:val="20"/>
        </w:rPr>
        <w:t xml:space="preserve">Employee Documents </w:t>
      </w:r>
    </w:p>
    <w:p w14:paraId="1EDC9814" w14:textId="5A57DF99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Benefits plan – retirement and medical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Permanent </w:t>
      </w:r>
    </w:p>
    <w:p w14:paraId="48B949E4" w14:textId="1FBDD7FB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- Could discard 6 years after discontinuation of the plan in most cases </w:t>
      </w:r>
    </w:p>
    <w:p w14:paraId="07547F7B" w14:textId="715EE863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Employee files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7 years after termination </w:t>
      </w:r>
    </w:p>
    <w:p w14:paraId="4FAB4861" w14:textId="6106031E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Employment applications, resumes and other forms of job inquiries </w:t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3 years </w:t>
      </w:r>
    </w:p>
    <w:p w14:paraId="7904A201" w14:textId="484E9300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Employment ads or notices for jobs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3 years </w:t>
      </w:r>
    </w:p>
    <w:p w14:paraId="41C7E85D" w14:textId="4F9BDE43" w:rsidR="00256E01" w:rsidRPr="00256E01" w:rsidRDefault="00256E01" w:rsidP="00256E01">
      <w:pPr>
        <w:pStyle w:val="Default"/>
        <w:ind w:left="6480" w:hanging="6480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>Form I-90</w:t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3 years after hire or 1 year after separation </w:t>
      </w:r>
    </w:p>
    <w:p w14:paraId="2D2A161F" w14:textId="77777777" w:rsidR="00256E01" w:rsidRPr="00256E01" w:rsidRDefault="00256E01" w:rsidP="00256E01">
      <w:pPr>
        <w:pStyle w:val="Default"/>
        <w:ind w:left="5760" w:firstLine="720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(whichever is later) </w:t>
      </w:r>
    </w:p>
    <w:p w14:paraId="429F710A" w14:textId="5B414751" w:rsidR="00256E01" w:rsidRPr="00256E01" w:rsidRDefault="00256E01" w:rsidP="00256E01">
      <w:pPr>
        <w:pStyle w:val="Default"/>
        <w:ind w:left="6480" w:hanging="6480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Colorado Affirmation of Legal Work Status Form </w:t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3 years after hire or 1 year after separation </w:t>
      </w:r>
    </w:p>
    <w:p w14:paraId="79C054EF" w14:textId="77777777" w:rsidR="00256E01" w:rsidRPr="00256E01" w:rsidRDefault="00256E01" w:rsidP="00256E01">
      <w:pPr>
        <w:pStyle w:val="Default"/>
        <w:ind w:left="5760" w:firstLine="720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(whichever is later) </w:t>
      </w:r>
    </w:p>
    <w:p w14:paraId="62875FE4" w14:textId="76EF635F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Employment taxes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7 years </w:t>
      </w:r>
    </w:p>
    <w:p w14:paraId="7E768C76" w14:textId="77777777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- Could discard 4 years from when tax is due or paid in some cases </w:t>
      </w:r>
    </w:p>
    <w:p w14:paraId="24F77485" w14:textId="77777777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</w:p>
    <w:p w14:paraId="443DCA4A" w14:textId="5D753E7B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lastRenderedPageBreak/>
        <w:t xml:space="preserve">Payroll registers (gross and net)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7 years </w:t>
      </w:r>
    </w:p>
    <w:p w14:paraId="675189B3" w14:textId="39952299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- Could discard 4 years from when tax is due or paid in some cases </w:t>
      </w:r>
    </w:p>
    <w:p w14:paraId="3E1C7CBB" w14:textId="510EA322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Time cards/time sheets </w:t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5 years </w:t>
      </w:r>
    </w:p>
    <w:p w14:paraId="5ABED453" w14:textId="295D19DB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- Could discard 4 years from when tax is due or paid in some cases </w:t>
      </w:r>
    </w:p>
    <w:p w14:paraId="65E45256" w14:textId="3EFF3C31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Unclaimed wage records </w:t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6 years </w:t>
      </w:r>
    </w:p>
    <w:p w14:paraId="03379373" w14:textId="330296EB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Retirement and pension records </w:t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Permanent </w:t>
      </w:r>
    </w:p>
    <w:p w14:paraId="06204CF7" w14:textId="288931EC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Unemployment compensation records </w:t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5 years </w:t>
      </w:r>
    </w:p>
    <w:p w14:paraId="20355D53" w14:textId="61279636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Healthcare continuation (COBRA) records </w:t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6 years </w:t>
      </w:r>
    </w:p>
    <w:p w14:paraId="3A4A0F76" w14:textId="7C8E87ED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>FMLA records (only applies to public agencies and employers with a least 50 employees</w:t>
      </w:r>
      <w:r w:rsidR="008B1C00">
        <w:rPr>
          <w:color w:val="auto"/>
          <w:sz w:val="20"/>
          <w:szCs w:val="20"/>
        </w:rPr>
        <w:t>)</w:t>
      </w:r>
      <w:r w:rsidRPr="00256E01">
        <w:rPr>
          <w:color w:val="auto"/>
          <w:sz w:val="20"/>
          <w:szCs w:val="20"/>
        </w:rPr>
        <w:t xml:space="preserve"> </w:t>
      </w:r>
    </w:p>
    <w:p w14:paraId="463FF60D" w14:textId="3079CF9A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Job related illnesses and injuries </w:t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5 years </w:t>
      </w:r>
    </w:p>
    <w:p w14:paraId="1ECF1A28" w14:textId="7F68A7CA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8B1C00">
        <w:rPr>
          <w:color w:val="auto"/>
          <w:sz w:val="16"/>
          <w:szCs w:val="16"/>
        </w:rPr>
        <w:t xml:space="preserve">Employee medical records from medical professionals contracted by </w:t>
      </w:r>
      <w:r w:rsidR="008B1C00" w:rsidRPr="008B1C00">
        <w:rPr>
          <w:color w:val="auto"/>
          <w:sz w:val="16"/>
          <w:szCs w:val="16"/>
        </w:rPr>
        <w:t>Association</w:t>
      </w:r>
      <w:r w:rsidRPr="00256E01">
        <w:rPr>
          <w:color w:val="auto"/>
          <w:sz w:val="20"/>
          <w:szCs w:val="20"/>
        </w:rPr>
        <w:t xml:space="preserve"> </w:t>
      </w:r>
      <w:r w:rsidR="008B1C00"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30 years after termination </w:t>
      </w:r>
    </w:p>
    <w:p w14:paraId="0A2B244F" w14:textId="63FCF9DE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Requests for accommodation for disability </w:t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1 year </w:t>
      </w:r>
    </w:p>
    <w:p w14:paraId="4BE0F402" w14:textId="35899705" w:rsidR="00256E01" w:rsidRPr="00256E01" w:rsidRDefault="00256E01" w:rsidP="008B1C00">
      <w:pPr>
        <w:pStyle w:val="Default"/>
        <w:ind w:left="6480" w:hanging="6480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Records relating to a Fair Employment complaint </w:t>
      </w:r>
      <w:r w:rsidR="008B1C00"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Upon final decision of complaint and Expiration of appeals period </w:t>
      </w:r>
    </w:p>
    <w:p w14:paraId="0FFDC074" w14:textId="77777777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b/>
          <w:bCs/>
          <w:color w:val="auto"/>
          <w:sz w:val="20"/>
          <w:szCs w:val="20"/>
        </w:rPr>
        <w:t xml:space="preserve">Insurance Documents </w:t>
      </w:r>
    </w:p>
    <w:p w14:paraId="3AC4FD67" w14:textId="77777777" w:rsidR="008B1C00" w:rsidRDefault="008B1C00" w:rsidP="00256E01">
      <w:pPr>
        <w:pStyle w:val="Default"/>
        <w:rPr>
          <w:color w:val="auto"/>
          <w:sz w:val="20"/>
          <w:szCs w:val="20"/>
        </w:rPr>
      </w:pPr>
    </w:p>
    <w:p w14:paraId="14CCDFCF" w14:textId="7EDE4EA3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Applications </w:t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5 years after expiration </w:t>
      </w:r>
    </w:p>
    <w:p w14:paraId="12B2CE7C" w14:textId="3673FD2A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Declaration pages and client info </w:t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5 years after expiration </w:t>
      </w:r>
    </w:p>
    <w:p w14:paraId="70A82D0E" w14:textId="15F4C294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Sub-producer contracts </w:t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5 years after termination </w:t>
      </w:r>
    </w:p>
    <w:p w14:paraId="7ED57342" w14:textId="69BFFD3F" w:rsidR="00256E01" w:rsidRPr="00256E01" w:rsidRDefault="00256E01" w:rsidP="00256E01">
      <w:pPr>
        <w:pStyle w:val="Default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Occurrence-based policies </w:t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="008B1C00"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Permanent </w:t>
      </w:r>
    </w:p>
    <w:p w14:paraId="5DB3B0DF" w14:textId="0150E15F" w:rsidR="00256E01" w:rsidRPr="00256E01" w:rsidRDefault="00256E01" w:rsidP="008B1C00">
      <w:pPr>
        <w:pStyle w:val="Default"/>
        <w:ind w:left="6480" w:hanging="6480"/>
        <w:rPr>
          <w:color w:val="auto"/>
          <w:sz w:val="20"/>
          <w:szCs w:val="20"/>
        </w:rPr>
      </w:pPr>
      <w:r w:rsidRPr="00256E01">
        <w:rPr>
          <w:color w:val="auto"/>
          <w:sz w:val="20"/>
          <w:szCs w:val="20"/>
        </w:rPr>
        <w:t xml:space="preserve">Claims-Made policies </w:t>
      </w:r>
      <w:r w:rsidR="008B1C00">
        <w:rPr>
          <w:color w:val="auto"/>
          <w:sz w:val="20"/>
          <w:szCs w:val="20"/>
        </w:rPr>
        <w:tab/>
      </w:r>
      <w:r w:rsidRPr="00256E01">
        <w:rPr>
          <w:color w:val="auto"/>
          <w:sz w:val="20"/>
          <w:szCs w:val="20"/>
        </w:rPr>
        <w:t xml:space="preserve">6 years after expiration, includes expiration of tail </w:t>
      </w:r>
    </w:p>
    <w:p w14:paraId="5C1133AC" w14:textId="034DCE1F" w:rsidR="001D7127" w:rsidRPr="00256E01" w:rsidRDefault="00256E01" w:rsidP="00256E01">
      <w:pPr>
        <w:rPr>
          <w:szCs w:val="20"/>
        </w:rPr>
      </w:pPr>
      <w:r w:rsidRPr="00256E01">
        <w:rPr>
          <w:szCs w:val="20"/>
        </w:rPr>
        <w:t xml:space="preserve">Workers’ compensation policy </w:t>
      </w:r>
      <w:r w:rsidR="008B1C00">
        <w:rPr>
          <w:szCs w:val="20"/>
        </w:rPr>
        <w:tab/>
      </w:r>
      <w:r w:rsidR="008B1C00">
        <w:rPr>
          <w:szCs w:val="20"/>
        </w:rPr>
        <w:tab/>
      </w:r>
      <w:r w:rsidR="008B1C00">
        <w:rPr>
          <w:szCs w:val="20"/>
        </w:rPr>
        <w:tab/>
      </w:r>
      <w:r w:rsidR="008B1C00">
        <w:rPr>
          <w:szCs w:val="20"/>
        </w:rPr>
        <w:tab/>
      </w:r>
      <w:r w:rsidR="008B1C00">
        <w:rPr>
          <w:szCs w:val="20"/>
        </w:rPr>
        <w:tab/>
      </w:r>
      <w:r w:rsidRPr="00256E01">
        <w:rPr>
          <w:szCs w:val="20"/>
        </w:rPr>
        <w:t>Permanent</w:t>
      </w:r>
    </w:p>
    <w:sectPr w:rsidR="001D7127" w:rsidRPr="00256E01" w:rsidSect="004E3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01"/>
    <w:rsid w:val="001D7127"/>
    <w:rsid w:val="00256E01"/>
    <w:rsid w:val="004E3384"/>
    <w:rsid w:val="0088529B"/>
    <w:rsid w:val="008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C3C1E3"/>
  <w15:chartTrackingRefBased/>
  <w15:docId w15:val="{59F2316E-3E9D-5541-A967-FE7046CB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6E01"/>
    <w:pPr>
      <w:autoSpaceDE w:val="0"/>
      <w:autoSpaceDN w:val="0"/>
      <w:adjustRightInd w:val="0"/>
    </w:pPr>
    <w:rPr>
      <w:rFonts w:cs="Century Gothic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Solution</dc:creator>
  <cp:keywords/>
  <dc:description/>
  <cp:lastModifiedBy>The Solution</cp:lastModifiedBy>
  <cp:revision>2</cp:revision>
  <dcterms:created xsi:type="dcterms:W3CDTF">2022-09-26T03:42:00Z</dcterms:created>
  <dcterms:modified xsi:type="dcterms:W3CDTF">2022-09-26T03:42:00Z</dcterms:modified>
</cp:coreProperties>
</file>