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E65B" w14:textId="77777777" w:rsidR="00283A4D" w:rsidRPr="00763498" w:rsidRDefault="00283A4D" w:rsidP="00283A4D">
      <w:pPr>
        <w:jc w:val="center"/>
        <w:rPr>
          <w:rFonts w:ascii="Arial" w:hAnsi="Arial" w:cs="Arial"/>
          <w:sz w:val="32"/>
        </w:rPr>
      </w:pPr>
      <w:r w:rsidRPr="00763498">
        <w:rPr>
          <w:rFonts w:ascii="Arial" w:hAnsi="Arial" w:cs="Arial"/>
          <w:sz w:val="56"/>
        </w:rPr>
        <w:t>2021 ACE Annual Conference</w:t>
      </w:r>
    </w:p>
    <w:p w14:paraId="04033443" w14:textId="77777777" w:rsidR="00283A4D" w:rsidRPr="00763498" w:rsidRDefault="00283A4D" w:rsidP="00283A4D">
      <w:pPr>
        <w:jc w:val="center"/>
        <w:rPr>
          <w:rFonts w:ascii="Arial" w:hAnsi="Arial" w:cs="Arial"/>
          <w:sz w:val="36"/>
        </w:rPr>
      </w:pPr>
      <w:r w:rsidRPr="00763498">
        <w:rPr>
          <w:rFonts w:ascii="Arial" w:hAnsi="Arial" w:cs="Arial"/>
          <w:sz w:val="36"/>
        </w:rPr>
        <w:t xml:space="preserve">Pre-Conference </w:t>
      </w:r>
      <w:r>
        <w:rPr>
          <w:rFonts w:ascii="Arial" w:hAnsi="Arial" w:cs="Arial"/>
          <w:sz w:val="36"/>
        </w:rPr>
        <w:t>Session</w:t>
      </w:r>
    </w:p>
    <w:p w14:paraId="22B51CFB" w14:textId="77777777" w:rsidR="00283A4D" w:rsidRPr="00763498" w:rsidRDefault="00283A4D" w:rsidP="00283A4D">
      <w:pPr>
        <w:rPr>
          <w:rFonts w:ascii="Arial" w:hAnsi="Arial" w:cs="Arial"/>
          <w:b/>
          <w:sz w:val="24"/>
          <w:szCs w:val="24"/>
        </w:rPr>
      </w:pPr>
      <w:r>
        <w:rPr>
          <w:rFonts w:ascii="Arial" w:hAnsi="Arial" w:cs="Arial"/>
          <w:b/>
          <w:sz w:val="24"/>
          <w:szCs w:val="24"/>
        </w:rPr>
        <w:t xml:space="preserve">Title: </w:t>
      </w:r>
      <w:r w:rsidRPr="00763498">
        <w:rPr>
          <w:rFonts w:ascii="Arial" w:hAnsi="Arial" w:cs="Arial"/>
          <w:b/>
          <w:sz w:val="24"/>
          <w:szCs w:val="24"/>
        </w:rPr>
        <w:t>Integrated Education and Training (IET) Boot Camp (Full-Day)</w:t>
      </w:r>
    </w:p>
    <w:p w14:paraId="19257BEA" w14:textId="77777777" w:rsidR="00283A4D" w:rsidRDefault="00283A4D" w:rsidP="00283A4D">
      <w:pPr>
        <w:rPr>
          <w:rFonts w:ascii="Arial" w:hAnsi="Arial" w:cs="Arial"/>
          <w:sz w:val="24"/>
          <w:szCs w:val="24"/>
        </w:rPr>
      </w:pPr>
      <w:r>
        <w:rPr>
          <w:rFonts w:ascii="Arial" w:hAnsi="Arial" w:cs="Arial"/>
          <w:sz w:val="24"/>
          <w:szCs w:val="24"/>
        </w:rPr>
        <w:t xml:space="preserve">Description: </w:t>
      </w:r>
    </w:p>
    <w:p w14:paraId="5B160760" w14:textId="41A30FA9" w:rsidR="00283A4D" w:rsidRDefault="00283A4D" w:rsidP="00283A4D">
      <w:pPr>
        <w:rPr>
          <w:rFonts w:ascii="Arial" w:hAnsi="Arial" w:cs="Arial"/>
          <w:sz w:val="24"/>
          <w:szCs w:val="24"/>
        </w:rPr>
      </w:pPr>
      <w:r w:rsidRPr="00763498">
        <w:rPr>
          <w:rFonts w:ascii="Arial" w:hAnsi="Arial" w:cs="Arial"/>
          <w:sz w:val="24"/>
          <w:szCs w:val="24"/>
        </w:rPr>
        <w:t>Join Team IPDAE for a full-day pre-conference session that will guide participating teams in the process of developing, implementing, and/or expanding your IET Program(s). Participants will have the opportunity to use IPDAE tools and resources to design and/or improve their respective IET Program(s) which include(s): IET Brainstorming Tool, IET Team Formation, Program Development Timeline, Course Structuring, Coordination of Instruction, Curriculum Development Timeline, Single Set of Learning Objectives Template, Marketing and Recruitment Plan, Lesson Planning Template and IET Program Evaluation Tool. Participants are encouraged bring their own laptop computer to the session to take full advantage of available digital tools and explore IPDAE’s Adult Education Career Pathways Channel. Bring your team to this session, take part in making Florida #1 in workforce education by 2030 and ensure our students are prepared for the jobs of the future.</w:t>
      </w:r>
    </w:p>
    <w:tbl>
      <w:tblPr>
        <w:tblStyle w:val="TableGrid"/>
        <w:tblW w:w="9625" w:type="dxa"/>
        <w:tblLook w:val="04A0" w:firstRow="1" w:lastRow="0" w:firstColumn="1" w:lastColumn="0" w:noHBand="0" w:noVBand="1"/>
      </w:tblPr>
      <w:tblGrid>
        <w:gridCol w:w="5845"/>
        <w:gridCol w:w="3780"/>
      </w:tblGrid>
      <w:tr w:rsidR="007B4461" w14:paraId="33727E96" w14:textId="77777777" w:rsidTr="00475EB9">
        <w:tc>
          <w:tcPr>
            <w:tcW w:w="5845" w:type="dxa"/>
            <w:shd w:val="clear" w:color="auto" w:fill="FFF2CC" w:themeFill="accent4" w:themeFillTint="33"/>
          </w:tcPr>
          <w:p w14:paraId="42DA7245" w14:textId="796941F9" w:rsidR="007B4461" w:rsidRPr="00D415DF" w:rsidRDefault="007B4461">
            <w:pPr>
              <w:rPr>
                <w:rFonts w:ascii="Arial" w:hAnsi="Arial" w:cs="Arial"/>
                <w:sz w:val="24"/>
                <w:szCs w:val="24"/>
              </w:rPr>
            </w:pPr>
            <w:r w:rsidRPr="00D415DF">
              <w:rPr>
                <w:rFonts w:ascii="Arial" w:hAnsi="Arial" w:cs="Arial"/>
                <w:sz w:val="24"/>
                <w:szCs w:val="24"/>
              </w:rPr>
              <w:t>Beginner Track</w:t>
            </w:r>
          </w:p>
        </w:tc>
        <w:tc>
          <w:tcPr>
            <w:tcW w:w="3780" w:type="dxa"/>
            <w:shd w:val="clear" w:color="auto" w:fill="E2EFD9" w:themeFill="accent6" w:themeFillTint="33"/>
          </w:tcPr>
          <w:p w14:paraId="515E8DCB" w14:textId="35937005" w:rsidR="007B4461" w:rsidRPr="00D415DF" w:rsidRDefault="007B4461">
            <w:pPr>
              <w:rPr>
                <w:rFonts w:ascii="Arial" w:hAnsi="Arial" w:cs="Arial"/>
                <w:sz w:val="24"/>
                <w:szCs w:val="24"/>
              </w:rPr>
            </w:pPr>
            <w:r w:rsidRPr="00D415DF">
              <w:rPr>
                <w:rFonts w:ascii="Arial" w:hAnsi="Arial" w:cs="Arial"/>
                <w:sz w:val="24"/>
                <w:szCs w:val="24"/>
              </w:rPr>
              <w:t>Advanced Track</w:t>
            </w:r>
          </w:p>
        </w:tc>
      </w:tr>
      <w:tr w:rsidR="00D415DF" w14:paraId="18DFD433" w14:textId="77777777" w:rsidTr="005A2009">
        <w:tc>
          <w:tcPr>
            <w:tcW w:w="9625" w:type="dxa"/>
            <w:gridSpan w:val="2"/>
          </w:tcPr>
          <w:p w14:paraId="6DED9777" w14:textId="77777777" w:rsidR="00D415DF" w:rsidRPr="00C2725D" w:rsidRDefault="00D415DF" w:rsidP="005E0E51">
            <w:pPr>
              <w:numPr>
                <w:ilvl w:val="0"/>
                <w:numId w:val="3"/>
              </w:numPr>
              <w:spacing w:line="360" w:lineRule="auto"/>
              <w:ind w:left="420" w:hanging="420"/>
              <w:contextualSpacing/>
              <w:rPr>
                <w:rFonts w:ascii="Arial" w:eastAsia="Calibri" w:hAnsi="Arial" w:cs="Arial"/>
                <w:sz w:val="24"/>
                <w:szCs w:val="24"/>
              </w:rPr>
            </w:pPr>
            <w:r w:rsidRPr="00C2725D">
              <w:rPr>
                <w:rFonts w:ascii="Arial" w:eastAsia="Calibri" w:hAnsi="Arial" w:cs="Arial"/>
                <w:sz w:val="24"/>
                <w:szCs w:val="24"/>
              </w:rPr>
              <w:t>Welcome and Introductions</w:t>
            </w:r>
          </w:p>
          <w:p w14:paraId="2336DCA1" w14:textId="21688A86" w:rsidR="00D415DF" w:rsidRPr="00BE55B8" w:rsidRDefault="00D415DF" w:rsidP="005E0E51">
            <w:pPr>
              <w:pStyle w:val="ListParagraph"/>
              <w:numPr>
                <w:ilvl w:val="0"/>
                <w:numId w:val="3"/>
              </w:numPr>
              <w:spacing w:line="360" w:lineRule="auto"/>
              <w:ind w:left="420" w:hanging="420"/>
              <w:rPr>
                <w:rFonts w:ascii="Arial" w:eastAsia="Calibri" w:hAnsi="Arial" w:cs="Arial"/>
                <w:b/>
                <w:bCs/>
                <w:sz w:val="24"/>
                <w:szCs w:val="24"/>
              </w:rPr>
            </w:pPr>
            <w:bookmarkStart w:id="0" w:name="_Hlk80690459"/>
            <w:r w:rsidRPr="00BE55B8">
              <w:rPr>
                <w:rFonts w:ascii="Arial" w:eastAsia="Calibri" w:hAnsi="Arial" w:cs="Arial"/>
                <w:b/>
                <w:bCs/>
                <w:sz w:val="24"/>
                <w:szCs w:val="24"/>
              </w:rPr>
              <w:t xml:space="preserve">Words from the </w:t>
            </w:r>
            <w:bookmarkEnd w:id="0"/>
            <w:r w:rsidRPr="00BE55B8">
              <w:rPr>
                <w:rFonts w:ascii="Arial" w:eastAsia="Calibri" w:hAnsi="Arial" w:cs="Arial"/>
                <w:b/>
                <w:bCs/>
                <w:sz w:val="24"/>
                <w:szCs w:val="24"/>
              </w:rPr>
              <w:t xml:space="preserve">Department of Education (Ashley </w:t>
            </w:r>
            <w:proofErr w:type="spellStart"/>
            <w:r w:rsidRPr="00BE55B8">
              <w:rPr>
                <w:rFonts w:ascii="Arial" w:eastAsia="Calibri" w:hAnsi="Arial" w:cs="Arial"/>
                <w:b/>
                <w:bCs/>
                <w:sz w:val="24"/>
                <w:szCs w:val="24"/>
              </w:rPr>
              <w:t>Yopp</w:t>
            </w:r>
            <w:proofErr w:type="spellEnd"/>
            <w:r w:rsidRPr="00BE55B8">
              <w:rPr>
                <w:rFonts w:ascii="Arial" w:eastAsia="Calibri" w:hAnsi="Arial" w:cs="Arial"/>
                <w:b/>
                <w:bCs/>
                <w:sz w:val="24"/>
                <w:szCs w:val="24"/>
              </w:rPr>
              <w:t xml:space="preserve"> and </w:t>
            </w:r>
            <w:r w:rsidRPr="00BE55B8">
              <w:rPr>
                <w:rFonts w:ascii="Arial" w:eastAsia="Calibri" w:hAnsi="Arial" w:cs="Arial"/>
                <w:b/>
                <w:bCs/>
                <w:sz w:val="24"/>
                <w:szCs w:val="24"/>
              </w:rPr>
              <w:t>Rachel Ludwig</w:t>
            </w:r>
            <w:r w:rsidRPr="00BE55B8">
              <w:rPr>
                <w:rFonts w:ascii="Arial" w:eastAsia="Calibri" w:hAnsi="Arial" w:cs="Arial"/>
                <w:b/>
                <w:bCs/>
                <w:sz w:val="24"/>
                <w:szCs w:val="24"/>
              </w:rPr>
              <w:t>)</w:t>
            </w:r>
          </w:p>
          <w:p w14:paraId="64BED8F4" w14:textId="77777777" w:rsidR="00D415DF" w:rsidRPr="00C2725D" w:rsidRDefault="00D415DF" w:rsidP="005E0E51">
            <w:pPr>
              <w:numPr>
                <w:ilvl w:val="0"/>
                <w:numId w:val="3"/>
              </w:numPr>
              <w:spacing w:line="360" w:lineRule="auto"/>
              <w:ind w:left="424" w:hanging="424"/>
              <w:contextualSpacing/>
              <w:rPr>
                <w:rFonts w:ascii="Arial" w:eastAsia="Calibri" w:hAnsi="Arial" w:cs="Arial"/>
                <w:sz w:val="24"/>
                <w:szCs w:val="24"/>
              </w:rPr>
            </w:pPr>
            <w:r w:rsidRPr="00C2725D">
              <w:rPr>
                <w:rFonts w:ascii="Arial" w:eastAsia="Calibri" w:hAnsi="Arial" w:cs="Arial"/>
                <w:sz w:val="24"/>
                <w:szCs w:val="24"/>
              </w:rPr>
              <w:t>Warm-Up Activity</w:t>
            </w:r>
          </w:p>
          <w:p w14:paraId="5C894318" w14:textId="671F89D0" w:rsidR="00D415DF" w:rsidRPr="005E0E51" w:rsidRDefault="00D415DF" w:rsidP="005E0E51">
            <w:pPr>
              <w:numPr>
                <w:ilvl w:val="0"/>
                <w:numId w:val="3"/>
              </w:numPr>
              <w:spacing w:line="360" w:lineRule="auto"/>
              <w:ind w:left="424" w:hanging="424"/>
              <w:contextualSpacing/>
              <w:rPr>
                <w:rFonts w:ascii="Arial" w:eastAsia="Calibri" w:hAnsi="Arial" w:cs="Arial"/>
                <w:sz w:val="24"/>
                <w:szCs w:val="24"/>
              </w:rPr>
            </w:pPr>
            <w:r w:rsidRPr="00C2725D">
              <w:rPr>
                <w:rFonts w:ascii="Arial" w:eastAsia="Calibri" w:hAnsi="Arial" w:cs="Arial"/>
                <w:sz w:val="24"/>
                <w:szCs w:val="24"/>
              </w:rPr>
              <w:t>MythBusters</w:t>
            </w:r>
          </w:p>
        </w:tc>
      </w:tr>
      <w:tr w:rsidR="007B4461" w14:paraId="27F0E488" w14:textId="77777777" w:rsidTr="00475EB9">
        <w:tc>
          <w:tcPr>
            <w:tcW w:w="5845" w:type="dxa"/>
            <w:shd w:val="clear" w:color="auto" w:fill="FFF2CC" w:themeFill="accent4" w:themeFillTint="33"/>
          </w:tcPr>
          <w:p w14:paraId="782DA04E" w14:textId="77777777" w:rsidR="007B4461" w:rsidRPr="00C2725D" w:rsidRDefault="007B4461" w:rsidP="005E0E51">
            <w:pPr>
              <w:numPr>
                <w:ilvl w:val="0"/>
                <w:numId w:val="3"/>
              </w:numPr>
              <w:spacing w:line="276" w:lineRule="auto"/>
              <w:ind w:left="424" w:hanging="424"/>
              <w:contextualSpacing/>
              <w:rPr>
                <w:rFonts w:ascii="Arial" w:eastAsia="Calibri" w:hAnsi="Arial" w:cs="Arial"/>
                <w:sz w:val="24"/>
                <w:szCs w:val="24"/>
              </w:rPr>
            </w:pPr>
            <w:r w:rsidRPr="00C2725D">
              <w:rPr>
                <w:rFonts w:ascii="Arial" w:eastAsia="Calibri" w:hAnsi="Arial" w:cs="Arial"/>
                <w:sz w:val="24"/>
                <w:szCs w:val="24"/>
              </w:rPr>
              <w:t>IET Brainstorming and Selection</w:t>
            </w:r>
          </w:p>
          <w:p w14:paraId="096BCAFF" w14:textId="77777777"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Guiding Questions</w:t>
            </w:r>
          </w:p>
          <w:p w14:paraId="07575974" w14:textId="5527C7F3"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 xml:space="preserve">Video: </w:t>
            </w:r>
            <w:hyperlink r:id="rId7" w:history="1">
              <w:r w:rsidRPr="005E0E51">
                <w:rPr>
                  <w:rStyle w:val="Hyperlink"/>
                  <w:rFonts w:ascii="Arial" w:eastAsia="Calibri" w:hAnsi="Arial" w:cs="Arial"/>
                  <w:sz w:val="24"/>
                  <w:szCs w:val="24"/>
                </w:rPr>
                <w:t>Shifting to IET Models</w:t>
              </w:r>
            </w:hyperlink>
          </w:p>
          <w:p w14:paraId="3D0F6F30" w14:textId="77777777"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Evaluating Institutional Resources</w:t>
            </w:r>
          </w:p>
          <w:p w14:paraId="1429592F" w14:textId="77777777"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Examining the Local Workforce Development Plan</w:t>
            </w:r>
          </w:p>
          <w:p w14:paraId="21430DC9" w14:textId="77777777" w:rsidR="00D415DF" w:rsidRPr="00C2725D" w:rsidRDefault="00D415DF"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What is a credential of value?</w:t>
            </w:r>
          </w:p>
          <w:p w14:paraId="3379A33C" w14:textId="529B8242" w:rsidR="004E14E0" w:rsidRPr="00BE55B8" w:rsidRDefault="004E14E0" w:rsidP="005E0E51">
            <w:pPr>
              <w:numPr>
                <w:ilvl w:val="1"/>
                <w:numId w:val="3"/>
              </w:numPr>
              <w:spacing w:line="276" w:lineRule="auto"/>
              <w:ind w:left="784"/>
              <w:contextualSpacing/>
              <w:rPr>
                <w:rFonts w:ascii="Arial" w:eastAsia="Calibri" w:hAnsi="Arial" w:cs="Arial"/>
                <w:b/>
                <w:bCs/>
                <w:sz w:val="24"/>
                <w:szCs w:val="24"/>
              </w:rPr>
            </w:pPr>
            <w:r w:rsidRPr="00BE55B8">
              <w:rPr>
                <w:rFonts w:ascii="Arial" w:eastAsia="Calibri" w:hAnsi="Arial" w:cs="Arial"/>
                <w:b/>
                <w:bCs/>
                <w:sz w:val="24"/>
                <w:szCs w:val="24"/>
              </w:rPr>
              <w:t>Open Door Grant</w:t>
            </w:r>
            <w:r w:rsidR="00393994" w:rsidRPr="00BE55B8">
              <w:rPr>
                <w:rFonts w:ascii="Arial" w:eastAsia="Calibri" w:hAnsi="Arial" w:cs="Arial"/>
                <w:b/>
                <w:bCs/>
                <w:sz w:val="24"/>
                <w:szCs w:val="24"/>
              </w:rPr>
              <w:t xml:space="preserve"> </w:t>
            </w:r>
            <w:r w:rsidR="00D415DF" w:rsidRPr="00BE55B8">
              <w:rPr>
                <w:rFonts w:ascii="Arial" w:eastAsia="Calibri" w:hAnsi="Arial" w:cs="Arial"/>
                <w:b/>
                <w:bCs/>
                <w:sz w:val="24"/>
                <w:szCs w:val="24"/>
              </w:rPr>
              <w:t xml:space="preserve">Overview </w:t>
            </w:r>
            <w:r w:rsidR="00393994" w:rsidRPr="00BE55B8">
              <w:rPr>
                <w:rFonts w:ascii="Arial" w:eastAsia="Calibri" w:hAnsi="Arial" w:cs="Arial"/>
                <w:b/>
                <w:bCs/>
                <w:sz w:val="24"/>
                <w:szCs w:val="24"/>
              </w:rPr>
              <w:t>(Rachel)</w:t>
            </w:r>
          </w:p>
          <w:p w14:paraId="114F2443" w14:textId="5BB1E3CE"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 xml:space="preserve">Tool: IET Brainstorming </w:t>
            </w:r>
          </w:p>
          <w:p w14:paraId="242EDD0F" w14:textId="77777777"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 xml:space="preserve">IPDAE </w:t>
            </w:r>
            <w:hyperlink r:id="rId8" w:history="1">
              <w:r w:rsidRPr="00C2725D">
                <w:rPr>
                  <w:rFonts w:ascii="Arial" w:eastAsia="Calibri" w:hAnsi="Arial" w:cs="Arial"/>
                  <w:color w:val="0563C1"/>
                  <w:sz w:val="24"/>
                  <w:szCs w:val="24"/>
                  <w:u w:val="single"/>
                </w:rPr>
                <w:t>AECP Action Guide</w:t>
              </w:r>
            </w:hyperlink>
          </w:p>
          <w:p w14:paraId="34E33D33" w14:textId="77777777" w:rsidR="007B4461" w:rsidRPr="00C2725D" w:rsidRDefault="007B4461" w:rsidP="005E0E51">
            <w:pPr>
              <w:numPr>
                <w:ilvl w:val="1"/>
                <w:numId w:val="3"/>
              </w:numPr>
              <w:spacing w:line="276" w:lineRule="auto"/>
              <w:ind w:left="784"/>
              <w:contextualSpacing/>
              <w:rPr>
                <w:rFonts w:ascii="Arial" w:eastAsia="Calibri" w:hAnsi="Arial" w:cs="Arial"/>
                <w:sz w:val="24"/>
                <w:szCs w:val="24"/>
              </w:rPr>
            </w:pPr>
            <w:r w:rsidRPr="00C2725D">
              <w:rPr>
                <w:rFonts w:ascii="Arial" w:eastAsia="Calibri" w:hAnsi="Arial" w:cs="Arial"/>
                <w:sz w:val="24"/>
                <w:szCs w:val="24"/>
              </w:rPr>
              <w:t xml:space="preserve">FLDOE Website: </w:t>
            </w:r>
            <w:hyperlink r:id="rId9" w:history="1">
              <w:r w:rsidRPr="00C2725D">
                <w:rPr>
                  <w:rFonts w:ascii="Arial" w:eastAsia="Calibri" w:hAnsi="Arial" w:cs="Arial"/>
                  <w:color w:val="0563C1"/>
                  <w:sz w:val="24"/>
                  <w:szCs w:val="24"/>
                  <w:u w:val="single"/>
                </w:rPr>
                <w:t>2021-22 CTE Curriculum Frameworks</w:t>
              </w:r>
            </w:hyperlink>
          </w:p>
          <w:p w14:paraId="0CAFA293" w14:textId="0793988D" w:rsidR="007B4461" w:rsidRPr="00475EB9" w:rsidRDefault="007B4461" w:rsidP="00475EB9">
            <w:pPr>
              <w:numPr>
                <w:ilvl w:val="1"/>
                <w:numId w:val="3"/>
              </w:numPr>
              <w:spacing w:line="276" w:lineRule="auto"/>
              <w:ind w:left="780"/>
              <w:contextualSpacing/>
              <w:rPr>
                <w:rFonts w:ascii="Arial" w:eastAsia="Calibri" w:hAnsi="Arial" w:cs="Arial"/>
                <w:sz w:val="24"/>
                <w:szCs w:val="24"/>
              </w:rPr>
            </w:pPr>
            <w:r w:rsidRPr="00C2725D">
              <w:rPr>
                <w:rFonts w:ascii="Arial" w:eastAsia="Calibri" w:hAnsi="Arial" w:cs="Arial"/>
                <w:sz w:val="24"/>
                <w:szCs w:val="24"/>
              </w:rPr>
              <w:t xml:space="preserve">FLDOE Website: </w:t>
            </w:r>
            <w:hyperlink r:id="rId10" w:history="1">
              <w:r w:rsidRPr="00C2725D">
                <w:rPr>
                  <w:rFonts w:ascii="Arial" w:eastAsia="Calibri" w:hAnsi="Arial" w:cs="Arial"/>
                  <w:color w:val="0563C1"/>
                  <w:sz w:val="24"/>
                  <w:szCs w:val="24"/>
                  <w:u w:val="single"/>
                </w:rPr>
                <w:t>2021-2022 Adult Education Curriculum Frameworks</w:t>
              </w:r>
            </w:hyperlink>
          </w:p>
          <w:p w14:paraId="44500AD3" w14:textId="77777777" w:rsidR="00475EB9" w:rsidRPr="00D415DF" w:rsidRDefault="00475EB9" w:rsidP="00475EB9">
            <w:pPr>
              <w:spacing w:line="276" w:lineRule="auto"/>
              <w:ind w:left="780"/>
              <w:contextualSpacing/>
              <w:rPr>
                <w:rFonts w:ascii="Arial" w:eastAsia="Calibri" w:hAnsi="Arial" w:cs="Arial"/>
                <w:sz w:val="24"/>
                <w:szCs w:val="24"/>
              </w:rPr>
            </w:pPr>
          </w:p>
          <w:p w14:paraId="48FC9B19" w14:textId="77777777" w:rsidR="007B4461" w:rsidRPr="00C2725D" w:rsidRDefault="007B4461" w:rsidP="00BE55B8">
            <w:pPr>
              <w:numPr>
                <w:ilvl w:val="0"/>
                <w:numId w:val="3"/>
              </w:numPr>
              <w:spacing w:line="276" w:lineRule="auto"/>
              <w:ind w:left="690" w:hanging="716"/>
              <w:contextualSpacing/>
              <w:rPr>
                <w:rFonts w:ascii="Arial" w:eastAsia="Calibri" w:hAnsi="Arial" w:cs="Arial"/>
                <w:sz w:val="24"/>
                <w:szCs w:val="24"/>
              </w:rPr>
            </w:pPr>
            <w:r w:rsidRPr="00C2725D">
              <w:rPr>
                <w:rFonts w:ascii="Arial" w:eastAsia="Calibri" w:hAnsi="Arial" w:cs="Arial"/>
                <w:sz w:val="24"/>
                <w:szCs w:val="24"/>
              </w:rPr>
              <w:lastRenderedPageBreak/>
              <w:t>IET Team Formation</w:t>
            </w:r>
          </w:p>
          <w:p w14:paraId="1DD6E2AE" w14:textId="77777777" w:rsidR="007B4461" w:rsidRPr="00C2725D" w:rsidRDefault="007B4461" w:rsidP="00BE55B8">
            <w:pPr>
              <w:numPr>
                <w:ilvl w:val="1"/>
                <w:numId w:val="3"/>
              </w:numPr>
              <w:spacing w:line="276" w:lineRule="auto"/>
              <w:ind w:left="1050" w:hanging="356"/>
              <w:contextualSpacing/>
              <w:rPr>
                <w:rFonts w:ascii="Arial" w:eastAsia="Calibri" w:hAnsi="Arial" w:cs="Arial"/>
                <w:sz w:val="24"/>
                <w:szCs w:val="24"/>
              </w:rPr>
            </w:pPr>
            <w:r w:rsidRPr="00C2725D">
              <w:rPr>
                <w:rFonts w:ascii="Arial" w:eastAsia="Calibri" w:hAnsi="Arial" w:cs="Arial"/>
                <w:sz w:val="24"/>
                <w:szCs w:val="24"/>
              </w:rPr>
              <w:t>Stages of Team Formation</w:t>
            </w:r>
          </w:p>
          <w:p w14:paraId="57C2E375" w14:textId="77777777" w:rsidR="007B4461" w:rsidRPr="00C2725D" w:rsidRDefault="007B4461" w:rsidP="00BE55B8">
            <w:pPr>
              <w:numPr>
                <w:ilvl w:val="1"/>
                <w:numId w:val="3"/>
              </w:numPr>
              <w:spacing w:line="276" w:lineRule="auto"/>
              <w:ind w:left="1050" w:hanging="356"/>
              <w:contextualSpacing/>
              <w:rPr>
                <w:rFonts w:ascii="Arial" w:eastAsia="Calibri" w:hAnsi="Arial" w:cs="Arial"/>
                <w:sz w:val="24"/>
                <w:szCs w:val="24"/>
              </w:rPr>
            </w:pPr>
            <w:r w:rsidRPr="00C2725D">
              <w:rPr>
                <w:rFonts w:ascii="Arial" w:eastAsia="Calibri" w:hAnsi="Arial" w:cs="Arial"/>
                <w:sz w:val="24"/>
                <w:szCs w:val="24"/>
              </w:rPr>
              <w:t>Team Building Activity</w:t>
            </w:r>
          </w:p>
          <w:p w14:paraId="6A9CECD2" w14:textId="77777777" w:rsidR="007B4461" w:rsidRPr="00C2725D" w:rsidRDefault="007B4461" w:rsidP="00BE55B8">
            <w:pPr>
              <w:numPr>
                <w:ilvl w:val="1"/>
                <w:numId w:val="3"/>
              </w:numPr>
              <w:spacing w:line="276" w:lineRule="auto"/>
              <w:ind w:left="1050" w:hanging="356"/>
              <w:contextualSpacing/>
              <w:rPr>
                <w:rFonts w:ascii="Arial" w:eastAsia="Calibri" w:hAnsi="Arial" w:cs="Arial"/>
                <w:sz w:val="24"/>
                <w:szCs w:val="24"/>
              </w:rPr>
            </w:pPr>
            <w:r w:rsidRPr="00C2725D">
              <w:rPr>
                <w:rFonts w:ascii="Arial" w:eastAsia="Calibri" w:hAnsi="Arial" w:cs="Arial"/>
                <w:sz w:val="24"/>
                <w:szCs w:val="24"/>
              </w:rPr>
              <w:t>IPDAE e-Training: IET Overview Module</w:t>
            </w:r>
          </w:p>
          <w:p w14:paraId="379CB68A" w14:textId="77777777" w:rsidR="007B4461" w:rsidRPr="00C2725D" w:rsidRDefault="007B4461" w:rsidP="00BE55B8">
            <w:pPr>
              <w:numPr>
                <w:ilvl w:val="0"/>
                <w:numId w:val="3"/>
              </w:numPr>
              <w:spacing w:line="276" w:lineRule="auto"/>
              <w:ind w:left="690" w:hanging="690"/>
              <w:contextualSpacing/>
              <w:rPr>
                <w:rFonts w:ascii="Arial" w:eastAsia="Calibri" w:hAnsi="Arial" w:cs="Arial"/>
                <w:sz w:val="24"/>
                <w:szCs w:val="24"/>
              </w:rPr>
            </w:pPr>
            <w:r w:rsidRPr="00C2725D">
              <w:rPr>
                <w:rFonts w:ascii="Arial" w:eastAsia="Calibri" w:hAnsi="Arial" w:cs="Arial"/>
                <w:sz w:val="24"/>
                <w:szCs w:val="24"/>
              </w:rPr>
              <w:t>Program Development Timeline</w:t>
            </w:r>
          </w:p>
          <w:p w14:paraId="1213AF0B" w14:textId="77777777" w:rsidR="007B4461" w:rsidRPr="00C2725D" w:rsidRDefault="007B4461" w:rsidP="00BE55B8">
            <w:pPr>
              <w:numPr>
                <w:ilvl w:val="1"/>
                <w:numId w:val="3"/>
              </w:numPr>
              <w:spacing w:line="276" w:lineRule="auto"/>
              <w:ind w:left="1050"/>
              <w:contextualSpacing/>
              <w:rPr>
                <w:rFonts w:ascii="Arial" w:eastAsia="Calibri" w:hAnsi="Arial" w:cs="Arial"/>
                <w:sz w:val="24"/>
                <w:szCs w:val="24"/>
              </w:rPr>
            </w:pPr>
            <w:r w:rsidRPr="00C2725D">
              <w:rPr>
                <w:rFonts w:ascii="Arial" w:eastAsia="Calibri" w:hAnsi="Arial" w:cs="Arial"/>
                <w:sz w:val="24"/>
                <w:szCs w:val="24"/>
              </w:rPr>
              <w:t>Considerations</w:t>
            </w:r>
          </w:p>
          <w:p w14:paraId="4A6F122A" w14:textId="4F31392D" w:rsidR="007B4461" w:rsidRPr="00EB38F6" w:rsidRDefault="007B4461" w:rsidP="00BE55B8">
            <w:pPr>
              <w:numPr>
                <w:ilvl w:val="1"/>
                <w:numId w:val="3"/>
              </w:numPr>
              <w:spacing w:line="276" w:lineRule="auto"/>
              <w:ind w:left="1050"/>
              <w:contextualSpacing/>
              <w:rPr>
                <w:rFonts w:ascii="Arial" w:eastAsia="Calibri" w:hAnsi="Arial" w:cs="Arial"/>
                <w:sz w:val="24"/>
                <w:szCs w:val="24"/>
              </w:rPr>
            </w:pPr>
            <w:r w:rsidRPr="00C2725D">
              <w:rPr>
                <w:rFonts w:ascii="Arial" w:eastAsia="Calibri" w:hAnsi="Arial" w:cs="Arial"/>
                <w:sz w:val="24"/>
                <w:szCs w:val="24"/>
              </w:rPr>
              <w:t>Tool: Program Development</w:t>
            </w:r>
          </w:p>
        </w:tc>
        <w:tc>
          <w:tcPr>
            <w:tcW w:w="3780" w:type="dxa"/>
            <w:shd w:val="clear" w:color="auto" w:fill="E2EFD9" w:themeFill="accent6" w:themeFillTint="33"/>
          </w:tcPr>
          <w:p w14:paraId="7DB20606" w14:textId="78C34866" w:rsidR="00BE55B8" w:rsidRPr="00475EB9" w:rsidRDefault="00BE55B8">
            <w:pPr>
              <w:rPr>
                <w:rFonts w:ascii="Arial" w:hAnsi="Arial" w:cs="Arial"/>
                <w:color w:val="4472C4" w:themeColor="accent1"/>
                <w:sz w:val="24"/>
                <w:szCs w:val="24"/>
              </w:rPr>
            </w:pPr>
            <w:r w:rsidRPr="00475EB9">
              <w:rPr>
                <w:rFonts w:ascii="Arial" w:hAnsi="Arial" w:cs="Arial"/>
                <w:color w:val="4472C4" w:themeColor="accent1"/>
                <w:sz w:val="24"/>
                <w:szCs w:val="24"/>
              </w:rPr>
              <w:lastRenderedPageBreak/>
              <w:t>(Facilitated by June and Ashley)</w:t>
            </w:r>
          </w:p>
          <w:p w14:paraId="081A4863" w14:textId="32E1060E" w:rsidR="007B4461" w:rsidRDefault="00D415DF">
            <w:pPr>
              <w:rPr>
                <w:rFonts w:ascii="Arial" w:hAnsi="Arial" w:cs="Arial"/>
                <w:sz w:val="24"/>
                <w:szCs w:val="24"/>
              </w:rPr>
            </w:pPr>
            <w:r w:rsidRPr="00D415DF">
              <w:rPr>
                <w:rFonts w:ascii="Arial" w:hAnsi="Arial" w:cs="Arial"/>
                <w:sz w:val="24"/>
                <w:szCs w:val="24"/>
              </w:rPr>
              <w:t>IET Intensive Technical Assistance Project Participant Presentations</w:t>
            </w:r>
          </w:p>
          <w:p w14:paraId="26ABA6A2" w14:textId="2FDB81D9" w:rsidR="00D415DF" w:rsidRDefault="00D415DF">
            <w:pPr>
              <w:rPr>
                <w:rFonts w:ascii="Arial" w:hAnsi="Arial" w:cs="Arial"/>
                <w:sz w:val="24"/>
                <w:szCs w:val="24"/>
              </w:rPr>
            </w:pPr>
          </w:p>
          <w:p w14:paraId="1DDC84B3" w14:textId="77777777" w:rsidR="00D415DF" w:rsidRDefault="00D415DF">
            <w:pPr>
              <w:rPr>
                <w:rFonts w:ascii="Arial" w:hAnsi="Arial" w:cs="Arial"/>
                <w:sz w:val="24"/>
                <w:szCs w:val="24"/>
              </w:rPr>
            </w:pPr>
          </w:p>
          <w:p w14:paraId="65594BCA" w14:textId="403F4149" w:rsidR="00D415DF" w:rsidRPr="00D415DF" w:rsidRDefault="00D415DF">
            <w:pPr>
              <w:rPr>
                <w:rFonts w:ascii="Arial" w:hAnsi="Arial" w:cs="Arial"/>
                <w:sz w:val="24"/>
                <w:szCs w:val="24"/>
              </w:rPr>
            </w:pPr>
            <w:r>
              <w:rPr>
                <w:rFonts w:ascii="Arial" w:hAnsi="Arial" w:cs="Arial"/>
                <w:sz w:val="24"/>
                <w:szCs w:val="24"/>
              </w:rPr>
              <w:t>Feedback from Department</w:t>
            </w:r>
            <w:r w:rsidR="00475EB9">
              <w:rPr>
                <w:rFonts w:ascii="Arial" w:hAnsi="Arial" w:cs="Arial"/>
                <w:sz w:val="24"/>
                <w:szCs w:val="24"/>
              </w:rPr>
              <w:t xml:space="preserve"> Regarding High Marks and Quality of SSLO</w:t>
            </w:r>
          </w:p>
          <w:p w14:paraId="47AF0A2D" w14:textId="4A25C944" w:rsidR="004E14E0" w:rsidRPr="00D415DF" w:rsidRDefault="004E14E0" w:rsidP="00D415DF">
            <w:pPr>
              <w:rPr>
                <w:rFonts w:ascii="Arial" w:hAnsi="Arial" w:cs="Arial"/>
                <w:sz w:val="24"/>
                <w:szCs w:val="24"/>
              </w:rPr>
            </w:pPr>
          </w:p>
          <w:p w14:paraId="053699A0" w14:textId="77777777" w:rsidR="007B4461" w:rsidRPr="00D415DF" w:rsidRDefault="007B4461">
            <w:pPr>
              <w:rPr>
                <w:rFonts w:ascii="Arial" w:hAnsi="Arial" w:cs="Arial"/>
                <w:sz w:val="24"/>
                <w:szCs w:val="24"/>
              </w:rPr>
            </w:pPr>
          </w:p>
          <w:p w14:paraId="763FE7E4" w14:textId="77777777" w:rsidR="007B4461" w:rsidRPr="00D415DF" w:rsidRDefault="007B4461">
            <w:pPr>
              <w:rPr>
                <w:rFonts w:ascii="Arial" w:hAnsi="Arial" w:cs="Arial"/>
                <w:sz w:val="24"/>
                <w:szCs w:val="24"/>
              </w:rPr>
            </w:pPr>
          </w:p>
          <w:p w14:paraId="5980CBB4" w14:textId="77777777" w:rsidR="007B4461" w:rsidRPr="00D415DF" w:rsidRDefault="007B4461">
            <w:pPr>
              <w:rPr>
                <w:rFonts w:ascii="Arial" w:hAnsi="Arial" w:cs="Arial"/>
                <w:sz w:val="24"/>
                <w:szCs w:val="24"/>
              </w:rPr>
            </w:pPr>
          </w:p>
          <w:p w14:paraId="36D46574" w14:textId="77777777" w:rsidR="007B4461" w:rsidRPr="00D415DF" w:rsidRDefault="007B4461">
            <w:pPr>
              <w:rPr>
                <w:rFonts w:ascii="Arial" w:hAnsi="Arial" w:cs="Arial"/>
                <w:sz w:val="24"/>
                <w:szCs w:val="24"/>
              </w:rPr>
            </w:pPr>
          </w:p>
          <w:p w14:paraId="28A8C655" w14:textId="77777777" w:rsidR="007B4461" w:rsidRPr="00D415DF" w:rsidRDefault="007B4461">
            <w:pPr>
              <w:rPr>
                <w:rFonts w:ascii="Arial" w:hAnsi="Arial" w:cs="Arial"/>
                <w:sz w:val="24"/>
                <w:szCs w:val="24"/>
              </w:rPr>
            </w:pPr>
          </w:p>
          <w:p w14:paraId="7BF9EB99" w14:textId="77777777" w:rsidR="007B4461" w:rsidRPr="00D415DF" w:rsidRDefault="007B4461">
            <w:pPr>
              <w:rPr>
                <w:rFonts w:ascii="Arial" w:hAnsi="Arial" w:cs="Arial"/>
                <w:sz w:val="24"/>
                <w:szCs w:val="24"/>
              </w:rPr>
            </w:pPr>
          </w:p>
          <w:p w14:paraId="77CBB30B" w14:textId="77777777" w:rsidR="007B4461" w:rsidRPr="00D415DF" w:rsidRDefault="007B4461">
            <w:pPr>
              <w:rPr>
                <w:rFonts w:ascii="Arial" w:hAnsi="Arial" w:cs="Arial"/>
                <w:sz w:val="24"/>
                <w:szCs w:val="24"/>
              </w:rPr>
            </w:pPr>
          </w:p>
          <w:p w14:paraId="6F033BA3" w14:textId="77777777" w:rsidR="00EB38F6" w:rsidRDefault="00EB38F6">
            <w:pPr>
              <w:rPr>
                <w:rFonts w:ascii="Arial" w:hAnsi="Arial" w:cs="Arial"/>
                <w:sz w:val="24"/>
                <w:szCs w:val="24"/>
              </w:rPr>
            </w:pPr>
          </w:p>
          <w:p w14:paraId="1421A778" w14:textId="77777777" w:rsidR="00EB38F6" w:rsidRDefault="00EB38F6">
            <w:pPr>
              <w:rPr>
                <w:rFonts w:ascii="Arial" w:hAnsi="Arial" w:cs="Arial"/>
                <w:sz w:val="24"/>
                <w:szCs w:val="24"/>
              </w:rPr>
            </w:pPr>
          </w:p>
          <w:p w14:paraId="40185D24" w14:textId="77777777" w:rsidR="00EB38F6" w:rsidRDefault="00EB38F6">
            <w:pPr>
              <w:rPr>
                <w:rFonts w:ascii="Arial" w:hAnsi="Arial" w:cs="Arial"/>
                <w:sz w:val="24"/>
                <w:szCs w:val="24"/>
              </w:rPr>
            </w:pPr>
          </w:p>
          <w:p w14:paraId="5ABCFDCC" w14:textId="77777777" w:rsidR="00EB38F6" w:rsidRDefault="00EB38F6">
            <w:pPr>
              <w:rPr>
                <w:rFonts w:ascii="Arial" w:hAnsi="Arial" w:cs="Arial"/>
                <w:sz w:val="24"/>
                <w:szCs w:val="24"/>
              </w:rPr>
            </w:pPr>
          </w:p>
          <w:p w14:paraId="76F5F511" w14:textId="77777777" w:rsidR="00EB38F6" w:rsidRDefault="00EB38F6">
            <w:pPr>
              <w:rPr>
                <w:rFonts w:ascii="Arial" w:hAnsi="Arial" w:cs="Arial"/>
                <w:sz w:val="24"/>
                <w:szCs w:val="24"/>
              </w:rPr>
            </w:pPr>
          </w:p>
          <w:p w14:paraId="0445CE0F" w14:textId="538B754E" w:rsidR="00EB38F6" w:rsidRDefault="00475EB9">
            <w:pPr>
              <w:rPr>
                <w:rFonts w:ascii="Arial" w:hAnsi="Arial" w:cs="Arial"/>
                <w:sz w:val="24"/>
                <w:szCs w:val="24"/>
              </w:rPr>
            </w:pPr>
            <w:r>
              <w:rPr>
                <w:rFonts w:ascii="Arial" w:hAnsi="Arial" w:cs="Arial"/>
                <w:sz w:val="24"/>
                <w:szCs w:val="24"/>
              </w:rPr>
              <w:t>Return to Main Session</w:t>
            </w:r>
          </w:p>
          <w:p w14:paraId="2218AEA6" w14:textId="6BE91341" w:rsidR="007B4461" w:rsidRPr="00D415DF" w:rsidRDefault="007B4461" w:rsidP="00EB38F6">
            <w:pPr>
              <w:rPr>
                <w:rFonts w:ascii="Arial" w:hAnsi="Arial" w:cs="Arial"/>
                <w:sz w:val="24"/>
                <w:szCs w:val="24"/>
              </w:rPr>
            </w:pPr>
          </w:p>
        </w:tc>
      </w:tr>
      <w:tr w:rsidR="00D415DF" w14:paraId="3F8DA713" w14:textId="77777777" w:rsidTr="00475EB9">
        <w:tc>
          <w:tcPr>
            <w:tcW w:w="9625" w:type="dxa"/>
            <w:gridSpan w:val="2"/>
            <w:shd w:val="clear" w:color="auto" w:fill="F4B083" w:themeFill="accent2" w:themeFillTint="99"/>
          </w:tcPr>
          <w:p w14:paraId="2B6AE987" w14:textId="6D26F41E" w:rsidR="00D415DF" w:rsidRPr="00D415DF" w:rsidRDefault="00D415DF" w:rsidP="00D415DF">
            <w:pPr>
              <w:jc w:val="center"/>
              <w:rPr>
                <w:rFonts w:ascii="Arial" w:hAnsi="Arial" w:cs="Arial"/>
                <w:sz w:val="24"/>
                <w:szCs w:val="24"/>
              </w:rPr>
            </w:pPr>
            <w:r w:rsidRPr="00D415DF">
              <w:rPr>
                <w:rFonts w:ascii="Arial" w:eastAsia="Calibri" w:hAnsi="Arial" w:cs="Arial"/>
                <w:sz w:val="24"/>
                <w:szCs w:val="24"/>
              </w:rPr>
              <w:lastRenderedPageBreak/>
              <w:t>Morning Break</w:t>
            </w:r>
            <w:r w:rsidR="00475EB9">
              <w:rPr>
                <w:rFonts w:ascii="Arial" w:eastAsia="Calibri" w:hAnsi="Arial" w:cs="Arial"/>
                <w:sz w:val="24"/>
                <w:szCs w:val="24"/>
              </w:rPr>
              <w:t xml:space="preserve"> (15 mins.)</w:t>
            </w:r>
          </w:p>
        </w:tc>
      </w:tr>
      <w:tr w:rsidR="00D415DF" w14:paraId="5A922E76" w14:textId="77777777" w:rsidTr="00475EB9">
        <w:tc>
          <w:tcPr>
            <w:tcW w:w="5845" w:type="dxa"/>
            <w:shd w:val="clear" w:color="auto" w:fill="FFF2CC" w:themeFill="accent4" w:themeFillTint="33"/>
          </w:tcPr>
          <w:p w14:paraId="597025AE" w14:textId="77777777" w:rsidR="00D415DF" w:rsidRPr="00C2725D" w:rsidRDefault="00D415DF" w:rsidP="00BE55B8">
            <w:pPr>
              <w:numPr>
                <w:ilvl w:val="0"/>
                <w:numId w:val="3"/>
              </w:numPr>
              <w:spacing w:line="276" w:lineRule="auto"/>
              <w:ind w:left="690" w:hanging="690"/>
              <w:contextualSpacing/>
              <w:rPr>
                <w:rFonts w:ascii="Arial" w:eastAsia="Calibri" w:hAnsi="Arial" w:cs="Arial"/>
                <w:sz w:val="24"/>
                <w:szCs w:val="24"/>
              </w:rPr>
            </w:pPr>
            <w:r w:rsidRPr="00C2725D">
              <w:rPr>
                <w:rFonts w:ascii="Arial" w:eastAsia="Calibri" w:hAnsi="Arial" w:cs="Arial"/>
                <w:sz w:val="24"/>
                <w:szCs w:val="24"/>
              </w:rPr>
              <w:t>Course Structuring</w:t>
            </w:r>
          </w:p>
          <w:p w14:paraId="3E627C8C" w14:textId="77777777" w:rsidR="00D415DF" w:rsidRPr="00C2725D" w:rsidRDefault="00D415DF" w:rsidP="00BE55B8">
            <w:pPr>
              <w:numPr>
                <w:ilvl w:val="1"/>
                <w:numId w:val="3"/>
              </w:numPr>
              <w:spacing w:line="276" w:lineRule="auto"/>
              <w:ind w:left="1050"/>
              <w:contextualSpacing/>
              <w:rPr>
                <w:rFonts w:ascii="Arial" w:eastAsia="Calibri" w:hAnsi="Arial" w:cs="Arial"/>
                <w:sz w:val="24"/>
                <w:szCs w:val="24"/>
              </w:rPr>
            </w:pPr>
            <w:r w:rsidRPr="00C2725D">
              <w:rPr>
                <w:rFonts w:ascii="Arial" w:eastAsia="Calibri" w:hAnsi="Arial" w:cs="Arial"/>
                <w:sz w:val="24"/>
                <w:szCs w:val="24"/>
              </w:rPr>
              <w:t>Considerations</w:t>
            </w:r>
          </w:p>
          <w:p w14:paraId="6350D5C2" w14:textId="77777777" w:rsidR="00D415DF" w:rsidRPr="00C2725D" w:rsidRDefault="00D415DF" w:rsidP="00BE55B8">
            <w:pPr>
              <w:numPr>
                <w:ilvl w:val="1"/>
                <w:numId w:val="3"/>
              </w:numPr>
              <w:spacing w:line="276" w:lineRule="auto"/>
              <w:ind w:left="1050"/>
              <w:contextualSpacing/>
              <w:rPr>
                <w:rFonts w:ascii="Arial" w:eastAsia="Calibri" w:hAnsi="Arial" w:cs="Arial"/>
                <w:sz w:val="24"/>
                <w:szCs w:val="24"/>
              </w:rPr>
            </w:pPr>
            <w:r w:rsidRPr="00C2725D">
              <w:rPr>
                <w:rFonts w:ascii="Arial" w:eastAsia="Calibri" w:hAnsi="Arial" w:cs="Arial"/>
                <w:sz w:val="24"/>
                <w:szCs w:val="24"/>
              </w:rPr>
              <w:t>Tool: Course Structuring</w:t>
            </w:r>
          </w:p>
          <w:p w14:paraId="2F255795" w14:textId="77777777" w:rsidR="00D415DF" w:rsidRPr="00C2725D" w:rsidRDefault="00D415DF" w:rsidP="00BE55B8">
            <w:pPr>
              <w:numPr>
                <w:ilvl w:val="0"/>
                <w:numId w:val="3"/>
              </w:numPr>
              <w:spacing w:line="276" w:lineRule="auto"/>
              <w:ind w:left="690" w:hanging="690"/>
              <w:contextualSpacing/>
              <w:rPr>
                <w:rFonts w:ascii="Arial" w:eastAsia="Calibri" w:hAnsi="Arial" w:cs="Arial"/>
                <w:sz w:val="24"/>
                <w:szCs w:val="24"/>
              </w:rPr>
            </w:pPr>
            <w:r w:rsidRPr="00C2725D">
              <w:rPr>
                <w:rFonts w:ascii="Arial" w:eastAsia="Calibri" w:hAnsi="Arial" w:cs="Arial"/>
                <w:sz w:val="24"/>
                <w:szCs w:val="24"/>
              </w:rPr>
              <w:t>Tool: Coordination of Instruction</w:t>
            </w:r>
          </w:p>
          <w:p w14:paraId="469DBC61" w14:textId="77777777" w:rsidR="00D415DF" w:rsidRPr="00C2725D" w:rsidRDefault="00D415DF" w:rsidP="00BE55B8">
            <w:pPr>
              <w:numPr>
                <w:ilvl w:val="0"/>
                <w:numId w:val="3"/>
              </w:numPr>
              <w:spacing w:line="276" w:lineRule="auto"/>
              <w:ind w:left="690" w:hanging="690"/>
              <w:contextualSpacing/>
              <w:rPr>
                <w:rFonts w:ascii="Arial" w:eastAsia="Calibri" w:hAnsi="Arial" w:cs="Arial"/>
                <w:sz w:val="24"/>
                <w:szCs w:val="24"/>
              </w:rPr>
            </w:pPr>
            <w:r w:rsidRPr="00C2725D">
              <w:rPr>
                <w:rFonts w:ascii="Arial" w:eastAsia="Calibri" w:hAnsi="Arial" w:cs="Arial"/>
                <w:sz w:val="24"/>
                <w:szCs w:val="24"/>
              </w:rPr>
              <w:t>Tool: Curriculum Development Timeline</w:t>
            </w:r>
          </w:p>
          <w:p w14:paraId="2C50B97E" w14:textId="77777777" w:rsidR="00D415DF" w:rsidRPr="00C2725D" w:rsidRDefault="00D415DF" w:rsidP="00BE55B8">
            <w:pPr>
              <w:numPr>
                <w:ilvl w:val="0"/>
                <w:numId w:val="3"/>
              </w:numPr>
              <w:spacing w:line="276" w:lineRule="auto"/>
              <w:ind w:left="690" w:hanging="690"/>
              <w:contextualSpacing/>
              <w:rPr>
                <w:rFonts w:ascii="Arial" w:eastAsia="Calibri" w:hAnsi="Arial" w:cs="Arial"/>
                <w:sz w:val="24"/>
                <w:szCs w:val="24"/>
              </w:rPr>
            </w:pPr>
            <w:r w:rsidRPr="00C2725D">
              <w:rPr>
                <w:rFonts w:ascii="Arial" w:eastAsia="Calibri" w:hAnsi="Arial" w:cs="Arial"/>
                <w:sz w:val="24"/>
                <w:szCs w:val="24"/>
              </w:rPr>
              <w:t>Single Set of Learning Objectives Part I</w:t>
            </w:r>
          </w:p>
          <w:p w14:paraId="55EFB3C9" w14:textId="3B54E396" w:rsidR="00D415DF" w:rsidRPr="00BE55B8" w:rsidRDefault="00D415DF" w:rsidP="00BE55B8">
            <w:pPr>
              <w:numPr>
                <w:ilvl w:val="1"/>
                <w:numId w:val="3"/>
              </w:numPr>
              <w:spacing w:line="276" w:lineRule="auto"/>
              <w:ind w:left="1050"/>
              <w:contextualSpacing/>
              <w:rPr>
                <w:rFonts w:ascii="Arial" w:eastAsia="Calibri" w:hAnsi="Arial" w:cs="Arial"/>
                <w:sz w:val="24"/>
                <w:szCs w:val="24"/>
              </w:rPr>
            </w:pPr>
            <w:r w:rsidRPr="00C2725D">
              <w:rPr>
                <w:rFonts w:ascii="Arial" w:eastAsia="Calibri" w:hAnsi="Arial" w:cs="Arial"/>
                <w:sz w:val="24"/>
                <w:szCs w:val="24"/>
              </w:rPr>
              <w:t>Draft Examples for SSLO</w:t>
            </w:r>
          </w:p>
        </w:tc>
        <w:tc>
          <w:tcPr>
            <w:tcW w:w="3780" w:type="dxa"/>
            <w:shd w:val="clear" w:color="auto" w:fill="E2EFD9" w:themeFill="accent6" w:themeFillTint="33"/>
          </w:tcPr>
          <w:p w14:paraId="48DAA1D5" w14:textId="51B0B7E2" w:rsidR="00D415DF" w:rsidRPr="00475EB9" w:rsidRDefault="00475EB9">
            <w:pPr>
              <w:rPr>
                <w:rFonts w:ascii="Arial" w:hAnsi="Arial" w:cs="Arial"/>
                <w:color w:val="4472C4" w:themeColor="accent1"/>
                <w:sz w:val="24"/>
                <w:szCs w:val="24"/>
              </w:rPr>
            </w:pPr>
            <w:r w:rsidRPr="00475EB9">
              <w:rPr>
                <w:rFonts w:ascii="Arial" w:hAnsi="Arial" w:cs="Arial"/>
                <w:color w:val="4472C4" w:themeColor="accent1"/>
                <w:sz w:val="24"/>
                <w:szCs w:val="24"/>
              </w:rPr>
              <w:t>(Facilitated by</w:t>
            </w:r>
            <w:r w:rsidR="00EB38F6" w:rsidRPr="00475EB9">
              <w:rPr>
                <w:rFonts w:ascii="Arial" w:hAnsi="Arial" w:cs="Arial"/>
                <w:color w:val="4472C4" w:themeColor="accent1"/>
                <w:sz w:val="24"/>
                <w:szCs w:val="24"/>
              </w:rPr>
              <w:t xml:space="preserve"> June, Ashley and Rachel</w:t>
            </w:r>
            <w:r w:rsidRPr="00475EB9">
              <w:rPr>
                <w:rFonts w:ascii="Arial" w:hAnsi="Arial" w:cs="Arial"/>
                <w:color w:val="4472C4" w:themeColor="accent1"/>
                <w:sz w:val="24"/>
                <w:szCs w:val="24"/>
              </w:rPr>
              <w:t>)</w:t>
            </w:r>
          </w:p>
          <w:p w14:paraId="5C330378" w14:textId="1297FCBC" w:rsidR="00EB38F6" w:rsidRDefault="00EB38F6">
            <w:pPr>
              <w:rPr>
                <w:rFonts w:ascii="Arial" w:hAnsi="Arial" w:cs="Arial"/>
                <w:sz w:val="24"/>
                <w:szCs w:val="24"/>
              </w:rPr>
            </w:pPr>
          </w:p>
          <w:p w14:paraId="6BC77224" w14:textId="379F2AA6" w:rsidR="00475EB9" w:rsidRDefault="00475EB9">
            <w:pPr>
              <w:rPr>
                <w:rFonts w:ascii="Arial" w:hAnsi="Arial" w:cs="Arial"/>
                <w:sz w:val="24"/>
                <w:szCs w:val="24"/>
              </w:rPr>
            </w:pPr>
            <w:r>
              <w:rPr>
                <w:rFonts w:ascii="Arial" w:hAnsi="Arial" w:cs="Arial"/>
                <w:sz w:val="24"/>
                <w:szCs w:val="24"/>
              </w:rPr>
              <w:t xml:space="preserve">Feedback from Department </w:t>
            </w:r>
            <w:r>
              <w:rPr>
                <w:rFonts w:ascii="Arial" w:hAnsi="Arial" w:cs="Arial"/>
                <w:sz w:val="24"/>
                <w:szCs w:val="24"/>
              </w:rPr>
              <w:t>Areas for Improvement</w:t>
            </w:r>
          </w:p>
          <w:p w14:paraId="4173CD4E" w14:textId="77777777" w:rsidR="00475EB9" w:rsidRDefault="00475EB9" w:rsidP="00475EB9">
            <w:pPr>
              <w:rPr>
                <w:rFonts w:ascii="Arial" w:hAnsi="Arial" w:cs="Arial"/>
                <w:sz w:val="24"/>
                <w:szCs w:val="24"/>
              </w:rPr>
            </w:pPr>
          </w:p>
          <w:p w14:paraId="4DABFCDC" w14:textId="5A10615B" w:rsidR="00475EB9" w:rsidRDefault="00475EB9" w:rsidP="00475EB9">
            <w:pPr>
              <w:rPr>
                <w:rFonts w:ascii="Arial" w:hAnsi="Arial" w:cs="Arial"/>
                <w:sz w:val="24"/>
                <w:szCs w:val="24"/>
              </w:rPr>
            </w:pPr>
            <w:r>
              <w:rPr>
                <w:rFonts w:ascii="Arial" w:hAnsi="Arial" w:cs="Arial"/>
                <w:sz w:val="24"/>
                <w:szCs w:val="24"/>
              </w:rPr>
              <w:t>Q &amp; A Session</w:t>
            </w:r>
          </w:p>
          <w:p w14:paraId="157635E7" w14:textId="77777777" w:rsidR="00BE55B8" w:rsidRDefault="00BE55B8">
            <w:pPr>
              <w:rPr>
                <w:rFonts w:ascii="Arial" w:hAnsi="Arial" w:cs="Arial"/>
                <w:sz w:val="24"/>
                <w:szCs w:val="24"/>
              </w:rPr>
            </w:pPr>
          </w:p>
          <w:p w14:paraId="67D11151" w14:textId="3B6E671A" w:rsidR="00EB38F6" w:rsidRPr="00D415DF" w:rsidRDefault="00EB38F6">
            <w:pPr>
              <w:rPr>
                <w:rFonts w:ascii="Arial" w:hAnsi="Arial" w:cs="Arial"/>
                <w:sz w:val="24"/>
                <w:szCs w:val="24"/>
              </w:rPr>
            </w:pPr>
            <w:r>
              <w:rPr>
                <w:rFonts w:ascii="Arial" w:hAnsi="Arial" w:cs="Arial"/>
                <w:sz w:val="24"/>
                <w:szCs w:val="24"/>
              </w:rPr>
              <w:t>Return to Main Session</w:t>
            </w:r>
          </w:p>
        </w:tc>
      </w:tr>
      <w:tr w:rsidR="006332E1" w14:paraId="04C944E6" w14:textId="77777777" w:rsidTr="00475EB9">
        <w:tc>
          <w:tcPr>
            <w:tcW w:w="9625" w:type="dxa"/>
            <w:gridSpan w:val="2"/>
            <w:shd w:val="clear" w:color="auto" w:fill="F4B083" w:themeFill="accent2" w:themeFillTint="99"/>
          </w:tcPr>
          <w:p w14:paraId="33454DDF" w14:textId="6F3B10BD" w:rsidR="006332E1" w:rsidRPr="00EB38F6" w:rsidRDefault="006332E1" w:rsidP="006332E1">
            <w:pPr>
              <w:jc w:val="center"/>
              <w:rPr>
                <w:rFonts w:ascii="Arial" w:hAnsi="Arial" w:cs="Arial"/>
                <w:sz w:val="24"/>
                <w:szCs w:val="24"/>
              </w:rPr>
            </w:pPr>
            <w:r w:rsidRPr="00EB38F6">
              <w:rPr>
                <w:rFonts w:ascii="Arial" w:hAnsi="Arial" w:cs="Arial"/>
                <w:sz w:val="24"/>
                <w:szCs w:val="24"/>
              </w:rPr>
              <w:t>Lunch</w:t>
            </w:r>
            <w:r w:rsidR="00475EB9">
              <w:rPr>
                <w:rFonts w:ascii="Arial" w:hAnsi="Arial" w:cs="Arial"/>
                <w:sz w:val="24"/>
                <w:szCs w:val="24"/>
              </w:rPr>
              <w:t xml:space="preserve"> (1 hour)</w:t>
            </w:r>
          </w:p>
        </w:tc>
      </w:tr>
      <w:tr w:rsidR="00EB38F6" w14:paraId="0F2133EC" w14:textId="77777777" w:rsidTr="001039A0">
        <w:tc>
          <w:tcPr>
            <w:tcW w:w="9625" w:type="dxa"/>
            <w:gridSpan w:val="2"/>
          </w:tcPr>
          <w:p w14:paraId="5C5FE680" w14:textId="29B1B134" w:rsidR="00EB38F6" w:rsidRPr="00EB38F6" w:rsidRDefault="00EB38F6" w:rsidP="00475EB9">
            <w:pPr>
              <w:numPr>
                <w:ilvl w:val="0"/>
                <w:numId w:val="3"/>
              </w:numPr>
              <w:spacing w:line="276" w:lineRule="auto"/>
              <w:ind w:left="690" w:hanging="690"/>
              <w:contextualSpacing/>
              <w:rPr>
                <w:rFonts w:ascii="Arial" w:eastAsia="Calibri" w:hAnsi="Arial" w:cs="Arial"/>
                <w:sz w:val="24"/>
                <w:szCs w:val="24"/>
              </w:rPr>
            </w:pPr>
            <w:r w:rsidRPr="00EB38F6">
              <w:rPr>
                <w:rFonts w:ascii="Arial" w:eastAsia="Calibri" w:hAnsi="Arial" w:cs="Arial"/>
                <w:sz w:val="24"/>
                <w:szCs w:val="24"/>
              </w:rPr>
              <w:t>Video</w:t>
            </w:r>
            <w:r w:rsidR="005E0E51">
              <w:rPr>
                <w:rFonts w:ascii="Arial" w:eastAsia="Calibri" w:hAnsi="Arial" w:cs="Arial"/>
                <w:sz w:val="24"/>
                <w:szCs w:val="24"/>
              </w:rPr>
              <w:t xml:space="preserve">: </w:t>
            </w:r>
            <w:hyperlink r:id="rId11" w:history="1">
              <w:r w:rsidR="005E0E51" w:rsidRPr="005E0E51">
                <w:rPr>
                  <w:rStyle w:val="Hyperlink"/>
                  <w:rFonts w:ascii="Arial" w:eastAsia="Calibri" w:hAnsi="Arial" w:cs="Arial"/>
                  <w:sz w:val="24"/>
                  <w:szCs w:val="24"/>
                </w:rPr>
                <w:t xml:space="preserve">The Employer Perspective </w:t>
              </w:r>
              <w:r w:rsidR="005E0E51">
                <w:rPr>
                  <w:rStyle w:val="Hyperlink"/>
                  <w:rFonts w:ascii="Arial" w:eastAsia="Calibri" w:hAnsi="Arial" w:cs="Arial"/>
                  <w:sz w:val="24"/>
                  <w:szCs w:val="24"/>
                </w:rPr>
                <w:t>i</w:t>
              </w:r>
              <w:r w:rsidR="005E0E51" w:rsidRPr="005E0E51">
                <w:rPr>
                  <w:rStyle w:val="Hyperlink"/>
                  <w:rFonts w:ascii="Arial" w:eastAsia="Calibri" w:hAnsi="Arial" w:cs="Arial"/>
                  <w:sz w:val="24"/>
                  <w:szCs w:val="24"/>
                </w:rPr>
                <w:t>n Practice</w:t>
              </w:r>
            </w:hyperlink>
          </w:p>
          <w:p w14:paraId="661A9F67" w14:textId="77777777" w:rsidR="00EB38F6" w:rsidRPr="00EB38F6" w:rsidRDefault="00EB38F6" w:rsidP="00475EB9">
            <w:pPr>
              <w:numPr>
                <w:ilvl w:val="0"/>
                <w:numId w:val="3"/>
              </w:numPr>
              <w:spacing w:line="276" w:lineRule="auto"/>
              <w:ind w:left="424" w:hanging="424"/>
              <w:contextualSpacing/>
              <w:rPr>
                <w:rFonts w:ascii="Arial" w:eastAsia="Calibri" w:hAnsi="Arial" w:cs="Arial"/>
                <w:sz w:val="24"/>
                <w:szCs w:val="24"/>
              </w:rPr>
            </w:pPr>
            <w:r w:rsidRPr="00EB38F6">
              <w:rPr>
                <w:rFonts w:ascii="Arial" w:eastAsia="Calibri" w:hAnsi="Arial" w:cs="Arial"/>
                <w:sz w:val="24"/>
                <w:szCs w:val="24"/>
              </w:rPr>
              <w:t>Single Set of Learning Objectives Part II</w:t>
            </w:r>
          </w:p>
          <w:p w14:paraId="266229A1" w14:textId="77777777" w:rsidR="00EB38F6" w:rsidRPr="00EB38F6" w:rsidRDefault="00EB38F6" w:rsidP="00475EB9">
            <w:pPr>
              <w:numPr>
                <w:ilvl w:val="0"/>
                <w:numId w:val="3"/>
              </w:numPr>
              <w:spacing w:line="276" w:lineRule="auto"/>
              <w:ind w:left="690" w:hanging="690"/>
              <w:contextualSpacing/>
              <w:rPr>
                <w:rFonts w:ascii="Arial" w:eastAsia="Calibri" w:hAnsi="Arial" w:cs="Arial"/>
                <w:sz w:val="24"/>
                <w:szCs w:val="24"/>
              </w:rPr>
            </w:pPr>
            <w:r w:rsidRPr="00EB38F6">
              <w:rPr>
                <w:rFonts w:ascii="Arial" w:eastAsia="Calibri" w:hAnsi="Arial" w:cs="Arial"/>
                <w:sz w:val="24"/>
                <w:szCs w:val="24"/>
              </w:rPr>
              <w:t>Tool: Marketing and Recruitment Plan</w:t>
            </w:r>
          </w:p>
          <w:p w14:paraId="1EE3DEF4" w14:textId="77777777" w:rsidR="00EB38F6" w:rsidRPr="00EB38F6" w:rsidRDefault="00EB38F6" w:rsidP="00475EB9">
            <w:pPr>
              <w:numPr>
                <w:ilvl w:val="0"/>
                <w:numId w:val="3"/>
              </w:numPr>
              <w:spacing w:line="276" w:lineRule="auto"/>
              <w:ind w:left="690" w:hanging="690"/>
              <w:contextualSpacing/>
              <w:rPr>
                <w:rFonts w:ascii="Arial" w:eastAsia="Calibri" w:hAnsi="Arial" w:cs="Arial"/>
                <w:sz w:val="24"/>
                <w:szCs w:val="24"/>
              </w:rPr>
            </w:pPr>
            <w:r w:rsidRPr="00EB38F6">
              <w:rPr>
                <w:rFonts w:ascii="Arial" w:eastAsia="Calibri" w:hAnsi="Arial" w:cs="Arial"/>
                <w:sz w:val="24"/>
                <w:szCs w:val="24"/>
              </w:rPr>
              <w:t>Tool: Lesson Planning Template</w:t>
            </w:r>
          </w:p>
          <w:p w14:paraId="26ED0BD6" w14:textId="77777777" w:rsidR="00EB38F6" w:rsidRPr="00EB38F6" w:rsidRDefault="00EB38F6" w:rsidP="00475EB9">
            <w:pPr>
              <w:numPr>
                <w:ilvl w:val="1"/>
                <w:numId w:val="2"/>
              </w:numPr>
              <w:spacing w:line="276" w:lineRule="auto"/>
              <w:contextualSpacing/>
              <w:rPr>
                <w:rFonts w:ascii="Arial" w:eastAsia="Calibri" w:hAnsi="Arial" w:cs="Arial"/>
                <w:sz w:val="24"/>
                <w:szCs w:val="24"/>
              </w:rPr>
            </w:pPr>
            <w:r w:rsidRPr="00EB38F6">
              <w:rPr>
                <w:rFonts w:ascii="Arial" w:eastAsia="Calibri" w:hAnsi="Arial" w:cs="Arial"/>
                <w:sz w:val="24"/>
                <w:szCs w:val="24"/>
              </w:rPr>
              <w:t>IPDAE Resource Activities</w:t>
            </w:r>
          </w:p>
          <w:p w14:paraId="6EEBD85F" w14:textId="77777777" w:rsidR="00EB38F6" w:rsidRPr="00EB38F6" w:rsidRDefault="00EB38F6" w:rsidP="00475EB9">
            <w:pPr>
              <w:numPr>
                <w:ilvl w:val="1"/>
                <w:numId w:val="2"/>
              </w:numPr>
              <w:spacing w:line="276" w:lineRule="auto"/>
              <w:contextualSpacing/>
              <w:rPr>
                <w:rFonts w:ascii="Arial" w:eastAsia="Calibri" w:hAnsi="Arial" w:cs="Arial"/>
                <w:sz w:val="24"/>
                <w:szCs w:val="24"/>
              </w:rPr>
            </w:pPr>
            <w:r w:rsidRPr="00EB38F6">
              <w:rPr>
                <w:rFonts w:ascii="Arial" w:eastAsia="Calibri" w:hAnsi="Arial" w:cs="Arial"/>
                <w:sz w:val="24"/>
                <w:szCs w:val="24"/>
              </w:rPr>
              <w:t>IET Extensions</w:t>
            </w:r>
          </w:p>
          <w:p w14:paraId="68D8A73A" w14:textId="77777777" w:rsidR="00EB38F6" w:rsidRPr="00EB38F6" w:rsidRDefault="00EB38F6" w:rsidP="00475EB9">
            <w:pPr>
              <w:numPr>
                <w:ilvl w:val="0"/>
                <w:numId w:val="3"/>
              </w:numPr>
              <w:spacing w:line="276" w:lineRule="auto"/>
              <w:ind w:left="424" w:hanging="450"/>
              <w:contextualSpacing/>
              <w:rPr>
                <w:rFonts w:ascii="Arial" w:eastAsia="Calibri" w:hAnsi="Arial" w:cs="Arial"/>
                <w:sz w:val="24"/>
                <w:szCs w:val="24"/>
              </w:rPr>
            </w:pPr>
            <w:r w:rsidRPr="00EB38F6">
              <w:rPr>
                <w:rFonts w:ascii="Arial" w:eastAsia="Calibri" w:hAnsi="Arial" w:cs="Arial"/>
                <w:sz w:val="24"/>
                <w:szCs w:val="24"/>
              </w:rPr>
              <w:t>Procuring and Augmenting Instructional Resources</w:t>
            </w:r>
          </w:p>
          <w:p w14:paraId="5A943981" w14:textId="37259A72" w:rsidR="00EB38F6" w:rsidRPr="00BE55B8" w:rsidRDefault="00EB38F6" w:rsidP="00475EB9">
            <w:pPr>
              <w:numPr>
                <w:ilvl w:val="0"/>
                <w:numId w:val="3"/>
              </w:numPr>
              <w:spacing w:line="276" w:lineRule="auto"/>
              <w:ind w:left="424" w:hanging="450"/>
              <w:contextualSpacing/>
              <w:rPr>
                <w:rFonts w:ascii="Arial" w:eastAsia="Calibri" w:hAnsi="Arial" w:cs="Arial"/>
                <w:sz w:val="24"/>
                <w:szCs w:val="24"/>
              </w:rPr>
            </w:pPr>
            <w:r w:rsidRPr="00BE55B8">
              <w:rPr>
                <w:rFonts w:ascii="Arial" w:eastAsia="Calibri" w:hAnsi="Arial" w:cs="Arial"/>
                <w:sz w:val="24"/>
                <w:szCs w:val="24"/>
              </w:rPr>
              <w:t xml:space="preserve">IET Program Evaluation </w:t>
            </w:r>
          </w:p>
          <w:p w14:paraId="036EF71D" w14:textId="53FF8B37" w:rsidR="00EB38F6" w:rsidRPr="00BE55B8" w:rsidRDefault="00475EB9" w:rsidP="00475EB9">
            <w:pPr>
              <w:numPr>
                <w:ilvl w:val="0"/>
                <w:numId w:val="7"/>
              </w:numPr>
              <w:spacing w:line="276" w:lineRule="auto"/>
              <w:contextualSpacing/>
              <w:rPr>
                <w:rFonts w:ascii="Arial" w:eastAsia="Calibri" w:hAnsi="Arial" w:cs="Arial"/>
                <w:b/>
                <w:bCs/>
                <w:sz w:val="24"/>
                <w:szCs w:val="24"/>
              </w:rPr>
            </w:pPr>
            <w:r>
              <w:rPr>
                <w:rFonts w:ascii="Arial" w:eastAsia="Calibri" w:hAnsi="Arial" w:cs="Arial"/>
                <w:b/>
                <w:bCs/>
                <w:sz w:val="24"/>
                <w:szCs w:val="24"/>
              </w:rPr>
              <w:t>IET</w:t>
            </w:r>
            <w:r w:rsidR="00EB38F6" w:rsidRPr="00BE55B8">
              <w:rPr>
                <w:rFonts w:ascii="Arial" w:eastAsia="Calibri" w:hAnsi="Arial" w:cs="Arial"/>
                <w:b/>
                <w:bCs/>
                <w:sz w:val="24"/>
                <w:szCs w:val="24"/>
              </w:rPr>
              <w:t xml:space="preserve"> Data and Reporting</w:t>
            </w:r>
            <w:r w:rsidR="00BE55B8" w:rsidRPr="00BE55B8">
              <w:rPr>
                <w:rFonts w:ascii="Arial" w:eastAsia="Calibri" w:hAnsi="Arial" w:cs="Arial"/>
                <w:b/>
                <w:bCs/>
                <w:sz w:val="24"/>
                <w:szCs w:val="24"/>
              </w:rPr>
              <w:t xml:space="preserve"> (Ashley &amp; Rachel)</w:t>
            </w:r>
          </w:p>
          <w:p w14:paraId="530AC091" w14:textId="77777777" w:rsidR="00EB38F6" w:rsidRPr="00EB38F6" w:rsidRDefault="00EB38F6" w:rsidP="00475EB9">
            <w:pPr>
              <w:numPr>
                <w:ilvl w:val="0"/>
                <w:numId w:val="7"/>
              </w:numPr>
              <w:spacing w:line="276" w:lineRule="auto"/>
              <w:contextualSpacing/>
              <w:rPr>
                <w:rFonts w:ascii="Arial" w:eastAsia="Calibri" w:hAnsi="Arial" w:cs="Arial"/>
                <w:sz w:val="24"/>
                <w:szCs w:val="24"/>
              </w:rPr>
            </w:pPr>
            <w:r w:rsidRPr="00EB38F6">
              <w:rPr>
                <w:rFonts w:ascii="Arial" w:eastAsia="Calibri" w:hAnsi="Arial" w:cs="Arial"/>
                <w:sz w:val="24"/>
                <w:szCs w:val="24"/>
              </w:rPr>
              <w:t>Tool: IET Program Evaluation</w:t>
            </w:r>
          </w:p>
          <w:p w14:paraId="5E8A5AE2" w14:textId="77777777" w:rsidR="00EB38F6" w:rsidRPr="00EB38F6" w:rsidRDefault="00EB38F6" w:rsidP="00475EB9">
            <w:pPr>
              <w:numPr>
                <w:ilvl w:val="0"/>
                <w:numId w:val="3"/>
              </w:numPr>
              <w:spacing w:line="276" w:lineRule="auto"/>
              <w:ind w:left="424" w:hanging="424"/>
              <w:contextualSpacing/>
              <w:rPr>
                <w:rFonts w:ascii="Arial" w:eastAsia="Calibri" w:hAnsi="Arial" w:cs="Arial"/>
                <w:sz w:val="24"/>
                <w:szCs w:val="24"/>
              </w:rPr>
            </w:pPr>
            <w:r w:rsidRPr="00EB38F6">
              <w:rPr>
                <w:rFonts w:ascii="Arial" w:eastAsia="Calibri" w:hAnsi="Arial" w:cs="Arial"/>
                <w:sz w:val="24"/>
                <w:szCs w:val="24"/>
              </w:rPr>
              <w:t>Next Steps</w:t>
            </w:r>
          </w:p>
          <w:p w14:paraId="7CCD72A1"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Intensive Technical Assistance Sessions</w:t>
            </w:r>
          </w:p>
          <w:p w14:paraId="70B38538"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Face-to-Face Fall Regional Workshops</w:t>
            </w:r>
          </w:p>
          <w:p w14:paraId="320AA390"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Corrections Workshops</w:t>
            </w:r>
          </w:p>
          <w:p w14:paraId="5D31ACA5"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Supporting Webinars</w:t>
            </w:r>
          </w:p>
          <w:p w14:paraId="55B90DE8"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Career Pathways Institute</w:t>
            </w:r>
          </w:p>
          <w:p w14:paraId="37576090" w14:textId="77777777" w:rsidR="00EB38F6" w:rsidRPr="00EB38F6"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Community of Practice</w:t>
            </w:r>
          </w:p>
          <w:p w14:paraId="1000F0C3" w14:textId="61FA8EC7" w:rsidR="00EB38F6" w:rsidRPr="00BE55B8" w:rsidRDefault="00EB38F6" w:rsidP="00475EB9">
            <w:pPr>
              <w:numPr>
                <w:ilvl w:val="0"/>
                <w:numId w:val="5"/>
              </w:numPr>
              <w:spacing w:line="276" w:lineRule="auto"/>
              <w:contextualSpacing/>
              <w:rPr>
                <w:rFonts w:ascii="Arial" w:eastAsia="Calibri" w:hAnsi="Arial" w:cs="Arial"/>
                <w:sz w:val="24"/>
                <w:szCs w:val="24"/>
              </w:rPr>
            </w:pPr>
            <w:r w:rsidRPr="00EB38F6">
              <w:rPr>
                <w:rFonts w:ascii="Arial" w:eastAsia="Calibri" w:hAnsi="Arial" w:cs="Arial"/>
                <w:sz w:val="24"/>
                <w:szCs w:val="24"/>
              </w:rPr>
              <w:t>Additional Resources (AECP Channel)</w:t>
            </w:r>
          </w:p>
        </w:tc>
      </w:tr>
      <w:tr w:rsidR="00BE55B8" w14:paraId="319BC10E" w14:textId="77777777" w:rsidTr="00F84CDC">
        <w:tc>
          <w:tcPr>
            <w:tcW w:w="9625" w:type="dxa"/>
            <w:gridSpan w:val="2"/>
          </w:tcPr>
          <w:p w14:paraId="0ECEE109" w14:textId="56370D88" w:rsidR="00BE55B8" w:rsidRPr="00BE55B8" w:rsidRDefault="00BE55B8" w:rsidP="00475EB9">
            <w:pPr>
              <w:numPr>
                <w:ilvl w:val="0"/>
                <w:numId w:val="3"/>
              </w:numPr>
              <w:spacing w:after="160" w:line="276" w:lineRule="auto"/>
              <w:contextualSpacing/>
              <w:rPr>
                <w:rFonts w:ascii="Arial" w:eastAsia="Calibri" w:hAnsi="Arial" w:cs="Arial"/>
                <w:sz w:val="24"/>
                <w:szCs w:val="24"/>
              </w:rPr>
            </w:pPr>
            <w:r w:rsidRPr="00EB38F6">
              <w:rPr>
                <w:rFonts w:ascii="Arial" w:eastAsia="Calibri" w:hAnsi="Arial" w:cs="Arial"/>
                <w:sz w:val="24"/>
                <w:szCs w:val="24"/>
              </w:rPr>
              <w:t>Individual Work Session (1:00PM to 3:00PM)</w:t>
            </w:r>
            <w:r w:rsidR="00475EB9">
              <w:rPr>
                <w:rFonts w:ascii="Arial" w:eastAsia="Calibri" w:hAnsi="Arial" w:cs="Arial"/>
                <w:sz w:val="24"/>
                <w:szCs w:val="24"/>
              </w:rPr>
              <w:t xml:space="preserve"> - </w:t>
            </w:r>
            <w:r w:rsidR="00475EB9" w:rsidRPr="00475EB9">
              <w:rPr>
                <w:rFonts w:ascii="Arial" w:eastAsia="Calibri" w:hAnsi="Arial" w:cs="Arial"/>
                <w:sz w:val="24"/>
                <w:szCs w:val="24"/>
              </w:rPr>
              <w:t>IET Intensive Technical Assistance Project Participant</w:t>
            </w:r>
            <w:r w:rsidR="00475EB9">
              <w:rPr>
                <w:rFonts w:ascii="Arial" w:eastAsia="Calibri" w:hAnsi="Arial" w:cs="Arial"/>
                <w:sz w:val="24"/>
                <w:szCs w:val="24"/>
              </w:rPr>
              <w:t>s will assist other participants in completing their Single Set of Learning Objectives</w:t>
            </w:r>
          </w:p>
        </w:tc>
      </w:tr>
      <w:tr w:rsidR="00BE55B8" w14:paraId="41AE0CCF" w14:textId="77777777" w:rsidTr="0062056F">
        <w:tc>
          <w:tcPr>
            <w:tcW w:w="9625" w:type="dxa"/>
            <w:gridSpan w:val="2"/>
          </w:tcPr>
          <w:p w14:paraId="15B0FB86" w14:textId="6026545A" w:rsidR="00BE55B8" w:rsidRPr="00BE55B8" w:rsidRDefault="00BE55B8" w:rsidP="00475EB9">
            <w:pPr>
              <w:pStyle w:val="ListParagraph"/>
              <w:numPr>
                <w:ilvl w:val="0"/>
                <w:numId w:val="3"/>
              </w:numPr>
              <w:spacing w:line="276" w:lineRule="auto"/>
              <w:rPr>
                <w:rFonts w:ascii="Arial" w:hAnsi="Arial" w:cs="Arial"/>
                <w:sz w:val="24"/>
                <w:szCs w:val="24"/>
              </w:rPr>
            </w:pPr>
            <w:r w:rsidRPr="00BE55B8">
              <w:rPr>
                <w:rFonts w:ascii="Arial" w:eastAsia="Calibri" w:hAnsi="Arial" w:cs="Arial"/>
                <w:sz w:val="24"/>
                <w:szCs w:val="24"/>
              </w:rPr>
              <w:t>Closing and Evaluation</w:t>
            </w:r>
          </w:p>
        </w:tc>
      </w:tr>
    </w:tbl>
    <w:p w14:paraId="06939978" w14:textId="77777777" w:rsidR="007B4461" w:rsidRDefault="007B4461" w:rsidP="00475EB9"/>
    <w:sectPr w:rsidR="007B4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5974" w14:textId="77777777" w:rsidR="00475EB9" w:rsidRDefault="00475EB9" w:rsidP="00475EB9">
      <w:pPr>
        <w:spacing w:after="0" w:line="240" w:lineRule="auto"/>
      </w:pPr>
      <w:r>
        <w:separator/>
      </w:r>
    </w:p>
  </w:endnote>
  <w:endnote w:type="continuationSeparator" w:id="0">
    <w:p w14:paraId="72253F36" w14:textId="77777777" w:rsidR="00475EB9" w:rsidRDefault="00475EB9" w:rsidP="0047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E80E" w14:textId="77777777" w:rsidR="00475EB9" w:rsidRDefault="00475EB9" w:rsidP="00475EB9">
      <w:pPr>
        <w:spacing w:after="0" w:line="240" w:lineRule="auto"/>
      </w:pPr>
      <w:r>
        <w:separator/>
      </w:r>
    </w:p>
  </w:footnote>
  <w:footnote w:type="continuationSeparator" w:id="0">
    <w:p w14:paraId="0E6D3520" w14:textId="77777777" w:rsidR="00475EB9" w:rsidRDefault="00475EB9" w:rsidP="00475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5AF"/>
    <w:multiLevelType w:val="hybridMultilevel"/>
    <w:tmpl w:val="83EEBBF8"/>
    <w:lvl w:ilvl="0" w:tplc="75CA348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07019"/>
    <w:multiLevelType w:val="hybridMultilevel"/>
    <w:tmpl w:val="1DE2DFE4"/>
    <w:lvl w:ilvl="0" w:tplc="60F86F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A34E588">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5924"/>
    <w:multiLevelType w:val="hybridMultilevel"/>
    <w:tmpl w:val="E996DE66"/>
    <w:lvl w:ilvl="0" w:tplc="5900C280">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76603"/>
    <w:multiLevelType w:val="hybridMultilevel"/>
    <w:tmpl w:val="92FAE744"/>
    <w:lvl w:ilvl="0" w:tplc="DF48757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E0393C"/>
    <w:multiLevelType w:val="hybridMultilevel"/>
    <w:tmpl w:val="92900C96"/>
    <w:lvl w:ilvl="0" w:tplc="60F86FB6">
      <w:start w:val="1"/>
      <w:numFmt w:val="upperRoman"/>
      <w:lvlText w:val="%1."/>
      <w:lvlJc w:val="left"/>
      <w:pPr>
        <w:ind w:left="720" w:hanging="720"/>
      </w:pPr>
      <w:rPr>
        <w:rFonts w:hint="default"/>
      </w:rPr>
    </w:lvl>
    <w:lvl w:ilvl="1" w:tplc="04090019">
      <w:start w:val="1"/>
      <w:numFmt w:val="lowerLetter"/>
      <w:lvlText w:val="%2."/>
      <w:lvlJc w:val="left"/>
      <w:pPr>
        <w:ind w:left="5310" w:hanging="360"/>
      </w:pPr>
    </w:lvl>
    <w:lvl w:ilvl="2" w:tplc="BA34E588">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0"/>
    <w:lvlOverride w:ilvl="0">
      <w:lvl w:ilvl="0" w:tplc="75CA348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
  </w:num>
  <w:num w:numId="6">
    <w:abstractNumId w:val="0"/>
    <w:lvlOverride w:ilvl="0">
      <w:lvl w:ilvl="0" w:tplc="75CA348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61"/>
    <w:rsid w:val="00283A4D"/>
    <w:rsid w:val="0035497E"/>
    <w:rsid w:val="00393994"/>
    <w:rsid w:val="00475EB9"/>
    <w:rsid w:val="004E14E0"/>
    <w:rsid w:val="005E0E51"/>
    <w:rsid w:val="006332E1"/>
    <w:rsid w:val="007B4461"/>
    <w:rsid w:val="00BE55B8"/>
    <w:rsid w:val="00C2725D"/>
    <w:rsid w:val="00D415DF"/>
    <w:rsid w:val="00DD3C78"/>
    <w:rsid w:val="00EB38F6"/>
    <w:rsid w:val="00F7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CE74"/>
  <w15:chartTrackingRefBased/>
  <w15:docId w15:val="{B4B48F73-00D0-495A-9E67-5ABD456F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4E0"/>
    <w:pPr>
      <w:ind w:left="720"/>
      <w:contextualSpacing/>
    </w:pPr>
  </w:style>
  <w:style w:type="character" w:styleId="Hyperlink">
    <w:name w:val="Hyperlink"/>
    <w:basedOn w:val="DefaultParagraphFont"/>
    <w:uiPriority w:val="99"/>
    <w:unhideWhenUsed/>
    <w:rsid w:val="005E0E51"/>
    <w:rPr>
      <w:color w:val="0563C1" w:themeColor="hyperlink"/>
      <w:u w:val="single"/>
    </w:rPr>
  </w:style>
  <w:style w:type="character" w:styleId="UnresolvedMention">
    <w:name w:val="Unresolved Mention"/>
    <w:basedOn w:val="DefaultParagraphFont"/>
    <w:uiPriority w:val="99"/>
    <w:semiHidden/>
    <w:unhideWhenUsed/>
    <w:rsid w:val="005E0E51"/>
    <w:rPr>
      <w:color w:val="605E5C"/>
      <w:shd w:val="clear" w:color="auto" w:fill="E1DFDD"/>
    </w:rPr>
  </w:style>
  <w:style w:type="paragraph" w:styleId="Header">
    <w:name w:val="header"/>
    <w:basedOn w:val="Normal"/>
    <w:link w:val="HeaderChar"/>
    <w:uiPriority w:val="99"/>
    <w:unhideWhenUsed/>
    <w:rsid w:val="0047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B9"/>
  </w:style>
  <w:style w:type="paragraph" w:styleId="Footer">
    <w:name w:val="footer"/>
    <w:basedOn w:val="Normal"/>
    <w:link w:val="FooterChar"/>
    <w:uiPriority w:val="99"/>
    <w:unhideWhenUsed/>
    <w:rsid w:val="0047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ipdae.org/dfiles/resources/institutes/AECP/2021/IPDAE_CPI_ActionGuide_2021_D1_AE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FA1rlk49z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S6t_VSv5UlI?rel=0" TargetMode="External"/><Relationship Id="rId5" Type="http://schemas.openxmlformats.org/officeDocument/2006/relationships/footnotes" Target="footnotes.xml"/><Relationship Id="rId10" Type="http://schemas.openxmlformats.org/officeDocument/2006/relationships/hyperlink" Target="https://www.fldoe.org/academics/career-adult-edu/adult-edu/2021-2022-adult-edu-curriculum-framewo.stml" TargetMode="External"/><Relationship Id="rId4" Type="http://schemas.openxmlformats.org/officeDocument/2006/relationships/webSettings" Target="webSettings.xml"/><Relationship Id="rId9" Type="http://schemas.openxmlformats.org/officeDocument/2006/relationships/hyperlink" Target="https://www.fldoe.org/academics/career-adult-edu/career-tech-edu/curriculum-frameworks/2021-22-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RonaldAllan Cruz</dc:creator>
  <cp:keywords/>
  <dc:description/>
  <cp:lastModifiedBy>RonaldAllan Cruz</cp:lastModifiedBy>
  <cp:revision>4</cp:revision>
  <dcterms:created xsi:type="dcterms:W3CDTF">2021-08-31T14:05:00Z</dcterms:created>
  <dcterms:modified xsi:type="dcterms:W3CDTF">2021-09-07T20:35:00Z</dcterms:modified>
</cp:coreProperties>
</file>