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1B83" w14:textId="77777777" w:rsidR="0020038F" w:rsidRPr="0020038F" w:rsidRDefault="0020038F" w:rsidP="0020038F">
      <w:pPr>
        <w:pBdr>
          <w:top w:val="single" w:sz="18" w:space="1" w:color="CC3300"/>
          <w:left w:val="single" w:sz="18" w:space="4" w:color="CC3300"/>
          <w:bottom w:val="single" w:sz="18" w:space="2" w:color="CC3300"/>
          <w:right w:val="single" w:sz="18" w:space="4" w:color="CC3300"/>
        </w:pBdr>
        <w:jc w:val="center"/>
        <w:rPr>
          <w:rFonts w:ascii="Arial" w:hAnsi="Arial" w:cs="Arial"/>
          <w:b/>
          <w:bCs/>
          <w:sz w:val="52"/>
          <w:szCs w:val="52"/>
        </w:rPr>
      </w:pPr>
      <w:r w:rsidRPr="0020038F">
        <w:rPr>
          <w:rFonts w:ascii="Arial" w:hAnsi="Arial" w:cs="Arial"/>
          <w:b/>
          <w:bCs/>
          <w:sz w:val="52"/>
          <w:szCs w:val="52"/>
        </w:rPr>
        <w:t xml:space="preserve">The Ted Lewis Centre </w:t>
      </w:r>
    </w:p>
    <w:p w14:paraId="1B4461BC" w14:textId="77777777" w:rsidR="0020038F" w:rsidRPr="0020038F" w:rsidRDefault="0020038F" w:rsidP="0020038F">
      <w:pPr>
        <w:pBdr>
          <w:top w:val="single" w:sz="18" w:space="1" w:color="CC3300"/>
          <w:left w:val="single" w:sz="18" w:space="4" w:color="CC3300"/>
          <w:bottom w:val="single" w:sz="18" w:space="2" w:color="CC3300"/>
          <w:right w:val="single" w:sz="18" w:space="4" w:color="CC3300"/>
        </w:pBdr>
        <w:jc w:val="center"/>
        <w:rPr>
          <w:rFonts w:ascii="Arial" w:hAnsi="Arial" w:cs="Arial"/>
          <w:b/>
          <w:bCs/>
          <w:sz w:val="52"/>
          <w:szCs w:val="52"/>
        </w:rPr>
      </w:pPr>
      <w:r w:rsidRPr="0020038F">
        <w:rPr>
          <w:rFonts w:ascii="Arial" w:hAnsi="Arial" w:cs="Arial"/>
          <w:b/>
          <w:bCs/>
          <w:sz w:val="52"/>
          <w:szCs w:val="52"/>
        </w:rPr>
        <w:t>Charity No 1199771</w:t>
      </w:r>
    </w:p>
    <w:p w14:paraId="29662790" w14:textId="4DAD0DC8" w:rsidR="0020038F" w:rsidRPr="0020038F" w:rsidRDefault="0020038F" w:rsidP="0020038F">
      <w:pPr>
        <w:pBdr>
          <w:top w:val="single" w:sz="18" w:space="1" w:color="CC3300"/>
          <w:left w:val="single" w:sz="18" w:space="4" w:color="CC3300"/>
          <w:bottom w:val="single" w:sz="18" w:space="2" w:color="CC3300"/>
          <w:right w:val="single" w:sz="18" w:space="4" w:color="CC3300"/>
        </w:pBdr>
        <w:jc w:val="center"/>
        <w:rPr>
          <w:rFonts w:ascii="Arial" w:hAnsi="Arial" w:cs="Arial"/>
          <w:b/>
          <w:bCs/>
          <w:sz w:val="52"/>
          <w:szCs w:val="52"/>
        </w:rPr>
      </w:pPr>
      <w:r>
        <w:rPr>
          <w:rFonts w:ascii="Arial" w:hAnsi="Arial" w:cs="Arial"/>
          <w:b/>
          <w:bCs/>
          <w:sz w:val="52"/>
          <w:szCs w:val="52"/>
        </w:rPr>
        <w:t>Young Persons Policy</w:t>
      </w:r>
    </w:p>
    <w:p w14:paraId="4F0896FA" w14:textId="77777777" w:rsidR="0020038F" w:rsidRPr="0020038F" w:rsidRDefault="0020038F" w:rsidP="0020038F">
      <w:pPr>
        <w:pBdr>
          <w:top w:val="single" w:sz="18" w:space="1" w:color="CC3300"/>
          <w:left w:val="single" w:sz="18" w:space="4" w:color="CC3300"/>
          <w:bottom w:val="single" w:sz="18" w:space="2" w:color="CC3300"/>
          <w:right w:val="single" w:sz="18" w:space="4" w:color="CC3300"/>
        </w:pBdr>
        <w:jc w:val="center"/>
        <w:rPr>
          <w:rFonts w:asciiTheme="minorHAnsi" w:hAnsiTheme="minorHAnsi" w:cs="Arial"/>
          <w:sz w:val="52"/>
          <w:szCs w:val="52"/>
        </w:rPr>
      </w:pPr>
    </w:p>
    <w:p w14:paraId="1794E298" w14:textId="77777777" w:rsidR="0020038F" w:rsidRPr="0020038F" w:rsidRDefault="0020038F" w:rsidP="0020038F">
      <w:pPr>
        <w:jc w:val="center"/>
        <w:rPr>
          <w:rFonts w:asciiTheme="minorHAnsi" w:hAnsiTheme="minorHAnsi" w:cs="Arial"/>
          <w:sz w:val="22"/>
        </w:rPr>
      </w:pPr>
    </w:p>
    <w:p w14:paraId="45C598AA" w14:textId="77777777" w:rsidR="0020038F" w:rsidRPr="0020038F" w:rsidRDefault="0020038F" w:rsidP="0020038F">
      <w:pPr>
        <w:rPr>
          <w:rFonts w:asciiTheme="minorHAnsi" w:hAnsiTheme="minorHAnsi" w:cs="Arial"/>
          <w:sz w:val="22"/>
        </w:rPr>
      </w:pPr>
    </w:p>
    <w:p w14:paraId="487E9B7B" w14:textId="77777777" w:rsidR="0020038F" w:rsidRPr="0020038F" w:rsidRDefault="0020038F" w:rsidP="0020038F">
      <w:pPr>
        <w:rPr>
          <w:rFonts w:asciiTheme="minorHAnsi" w:hAnsiTheme="minorHAnsi" w:cs="Arial"/>
          <w:sz w:val="22"/>
        </w:rPr>
      </w:pPr>
    </w:p>
    <w:p w14:paraId="3C1FA2D6" w14:textId="77777777" w:rsidR="0020038F" w:rsidRPr="0020038F" w:rsidRDefault="0020038F" w:rsidP="0020038F">
      <w:pPr>
        <w:rPr>
          <w:rFonts w:asciiTheme="minorHAnsi" w:hAnsiTheme="minorHAnsi" w:cs="Arial"/>
          <w:sz w:val="22"/>
        </w:rPr>
      </w:pPr>
    </w:p>
    <w:p w14:paraId="24B6CDD3" w14:textId="77777777" w:rsidR="0020038F" w:rsidRPr="0020038F" w:rsidRDefault="0020038F" w:rsidP="0020038F">
      <w:pPr>
        <w:rPr>
          <w:rFonts w:asciiTheme="minorHAnsi" w:hAnsiTheme="minorHAnsi" w:cs="Arial"/>
          <w:sz w:val="22"/>
        </w:rPr>
      </w:pPr>
    </w:p>
    <w:p w14:paraId="1402E894" w14:textId="77777777" w:rsidR="0020038F" w:rsidRPr="0020038F" w:rsidRDefault="0020038F" w:rsidP="0020038F">
      <w:pPr>
        <w:rPr>
          <w:rFonts w:asciiTheme="minorHAnsi" w:hAnsiTheme="minorHAnsi" w:cs="Arial"/>
          <w:sz w:val="22"/>
        </w:rPr>
      </w:pPr>
    </w:p>
    <w:p w14:paraId="4EA12FD6" w14:textId="77777777" w:rsidR="0020038F" w:rsidRPr="0020038F" w:rsidRDefault="0020038F" w:rsidP="0020038F">
      <w:pPr>
        <w:rPr>
          <w:rFonts w:asciiTheme="minorHAnsi" w:hAnsiTheme="minorHAnsi" w:cs="Arial"/>
          <w:sz w:val="22"/>
        </w:rPr>
      </w:pPr>
    </w:p>
    <w:p w14:paraId="18B4F5D1" w14:textId="77777777" w:rsidR="0020038F" w:rsidRPr="0020038F" w:rsidRDefault="0020038F" w:rsidP="0020038F">
      <w:pPr>
        <w:rPr>
          <w:rFonts w:asciiTheme="minorHAnsi" w:hAnsiTheme="minorHAnsi" w:cs="Arial"/>
          <w:sz w:val="22"/>
        </w:rPr>
      </w:pPr>
    </w:p>
    <w:p w14:paraId="71471AEE" w14:textId="0D788CE8"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Arial" w:hAnsi="Arial" w:cs="Arial"/>
          <w:sz w:val="32"/>
          <w:szCs w:val="32"/>
        </w:rPr>
      </w:pPr>
      <w:r w:rsidRPr="0020038F">
        <w:rPr>
          <w:rFonts w:ascii="Arial" w:hAnsi="Arial" w:cs="Arial"/>
          <w:sz w:val="32"/>
          <w:szCs w:val="32"/>
        </w:rPr>
        <w:t>Date Originally approved</w:t>
      </w:r>
      <w:r>
        <w:rPr>
          <w:rFonts w:ascii="Arial" w:hAnsi="Arial" w:cs="Arial"/>
          <w:sz w:val="32"/>
          <w:szCs w:val="32"/>
        </w:rPr>
        <w:t xml:space="preserve"> 29</w:t>
      </w:r>
      <w:r w:rsidRPr="0020038F">
        <w:rPr>
          <w:rFonts w:ascii="Arial" w:hAnsi="Arial" w:cs="Arial"/>
          <w:sz w:val="32"/>
          <w:szCs w:val="32"/>
          <w:vertAlign w:val="superscript"/>
        </w:rPr>
        <w:t>th</w:t>
      </w:r>
      <w:r>
        <w:rPr>
          <w:rFonts w:ascii="Arial" w:hAnsi="Arial" w:cs="Arial"/>
          <w:sz w:val="32"/>
          <w:szCs w:val="32"/>
        </w:rPr>
        <w:t xml:space="preserve"> September 2020</w:t>
      </w:r>
    </w:p>
    <w:p w14:paraId="4FE10BA7" w14:textId="7332A041"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Arial" w:hAnsi="Arial" w:cs="Arial"/>
          <w:sz w:val="32"/>
          <w:szCs w:val="32"/>
        </w:rPr>
      </w:pPr>
      <w:r w:rsidRPr="0020038F">
        <w:rPr>
          <w:rFonts w:ascii="Arial" w:hAnsi="Arial" w:cs="Arial"/>
          <w:sz w:val="32"/>
          <w:szCs w:val="32"/>
        </w:rPr>
        <w:t>Reviewed</w:t>
      </w:r>
      <w:r w:rsidRPr="0020038F">
        <w:rPr>
          <w:rFonts w:ascii="Arial" w:hAnsi="Arial" w:cs="Arial"/>
          <w:sz w:val="32"/>
          <w:szCs w:val="32"/>
        </w:rPr>
        <w:tab/>
      </w:r>
      <w:r>
        <w:rPr>
          <w:rFonts w:ascii="Arial" w:hAnsi="Arial" w:cs="Arial"/>
          <w:sz w:val="32"/>
          <w:szCs w:val="32"/>
        </w:rPr>
        <w:t xml:space="preserve"> T Bartlett 3</w:t>
      </w:r>
      <w:r w:rsidRPr="0020038F">
        <w:rPr>
          <w:rFonts w:ascii="Arial" w:hAnsi="Arial" w:cs="Arial"/>
          <w:sz w:val="32"/>
          <w:szCs w:val="32"/>
          <w:vertAlign w:val="superscript"/>
        </w:rPr>
        <w:t>rd</w:t>
      </w:r>
      <w:r>
        <w:rPr>
          <w:rFonts w:ascii="Arial" w:hAnsi="Arial" w:cs="Arial"/>
          <w:sz w:val="32"/>
          <w:szCs w:val="32"/>
        </w:rPr>
        <w:t xml:space="preserve"> May 2022</w:t>
      </w:r>
    </w:p>
    <w:p w14:paraId="0788F4CA" w14:textId="69E18233"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Arial" w:hAnsi="Arial" w:cs="Arial"/>
          <w:sz w:val="32"/>
          <w:szCs w:val="32"/>
        </w:rPr>
      </w:pPr>
      <w:r w:rsidRPr="0020038F">
        <w:rPr>
          <w:rFonts w:ascii="Arial" w:hAnsi="Arial" w:cs="Arial"/>
          <w:sz w:val="32"/>
          <w:szCs w:val="32"/>
        </w:rPr>
        <w:t>Reviewed</w:t>
      </w:r>
      <w:r>
        <w:rPr>
          <w:rFonts w:ascii="Arial" w:hAnsi="Arial" w:cs="Arial"/>
          <w:sz w:val="32"/>
          <w:szCs w:val="32"/>
        </w:rPr>
        <w:t xml:space="preserve"> Approved by Trustees 5</w:t>
      </w:r>
      <w:r w:rsidRPr="0020038F">
        <w:rPr>
          <w:rFonts w:ascii="Arial" w:hAnsi="Arial" w:cs="Arial"/>
          <w:sz w:val="32"/>
          <w:szCs w:val="32"/>
          <w:vertAlign w:val="superscript"/>
        </w:rPr>
        <w:t>th</w:t>
      </w:r>
      <w:r>
        <w:rPr>
          <w:rFonts w:ascii="Arial" w:hAnsi="Arial" w:cs="Arial"/>
          <w:sz w:val="32"/>
          <w:szCs w:val="32"/>
        </w:rPr>
        <w:t xml:space="preserve"> December 2023</w:t>
      </w:r>
    </w:p>
    <w:p w14:paraId="2C23AB2C" w14:textId="77777777"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Arial" w:hAnsi="Arial" w:cs="Arial"/>
          <w:sz w:val="32"/>
          <w:szCs w:val="32"/>
        </w:rPr>
      </w:pPr>
      <w:r w:rsidRPr="0020038F">
        <w:rPr>
          <w:rFonts w:ascii="Arial" w:hAnsi="Arial" w:cs="Arial"/>
          <w:sz w:val="32"/>
          <w:szCs w:val="32"/>
        </w:rPr>
        <w:t>Reviewed</w:t>
      </w:r>
    </w:p>
    <w:p w14:paraId="6F6A7CE4" w14:textId="77777777"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Arial" w:hAnsi="Arial" w:cs="Arial"/>
          <w:sz w:val="32"/>
          <w:szCs w:val="32"/>
        </w:rPr>
      </w:pPr>
      <w:r w:rsidRPr="0020038F">
        <w:rPr>
          <w:rFonts w:ascii="Arial" w:hAnsi="Arial" w:cs="Arial"/>
          <w:sz w:val="32"/>
          <w:szCs w:val="32"/>
        </w:rPr>
        <w:t>Reviewed</w:t>
      </w:r>
    </w:p>
    <w:p w14:paraId="634622B9" w14:textId="77777777"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Theme="minorHAnsi" w:hAnsiTheme="minorHAnsi" w:cs="Arial"/>
        </w:rPr>
      </w:pPr>
    </w:p>
    <w:p w14:paraId="14AF02A1" w14:textId="77777777"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Theme="minorHAnsi" w:hAnsiTheme="minorHAnsi" w:cs="Arial"/>
        </w:rPr>
      </w:pPr>
    </w:p>
    <w:p w14:paraId="190491CA" w14:textId="77777777" w:rsidR="0020038F" w:rsidRPr="0020038F" w:rsidRDefault="0020038F" w:rsidP="0020038F">
      <w:pPr>
        <w:pBdr>
          <w:top w:val="single" w:sz="18" w:space="0" w:color="CC3300"/>
          <w:left w:val="single" w:sz="18" w:space="4" w:color="CC3300"/>
          <w:bottom w:val="single" w:sz="18" w:space="1" w:color="CC3300"/>
          <w:right w:val="single" w:sz="18" w:space="4" w:color="CC3300"/>
        </w:pBdr>
        <w:rPr>
          <w:rFonts w:asciiTheme="minorHAnsi" w:hAnsiTheme="minorHAnsi" w:cs="Arial"/>
          <w:sz w:val="22"/>
        </w:rPr>
      </w:pPr>
    </w:p>
    <w:p w14:paraId="5F59A7CE" w14:textId="77777777" w:rsidR="0020038F" w:rsidRPr="0020038F" w:rsidRDefault="0020038F" w:rsidP="0020038F">
      <w:pPr>
        <w:rPr>
          <w:rFonts w:asciiTheme="minorHAnsi" w:hAnsiTheme="minorHAnsi" w:cs="Arial"/>
          <w:u w:val="single"/>
        </w:rPr>
      </w:pPr>
    </w:p>
    <w:p w14:paraId="0D87773C" w14:textId="77777777" w:rsidR="0020038F" w:rsidRPr="0020038F" w:rsidRDefault="0020038F" w:rsidP="0020038F">
      <w:pPr>
        <w:spacing w:line="276" w:lineRule="auto"/>
        <w:rPr>
          <w:rFonts w:asciiTheme="minorHAnsi" w:hAnsiTheme="minorHAnsi"/>
          <w:sz w:val="22"/>
        </w:rPr>
      </w:pPr>
    </w:p>
    <w:p w14:paraId="20F5F3C5" w14:textId="77777777" w:rsidR="0020038F" w:rsidRPr="0020038F" w:rsidRDefault="0020038F" w:rsidP="0020038F">
      <w:pPr>
        <w:spacing w:line="276" w:lineRule="auto"/>
        <w:rPr>
          <w:rFonts w:asciiTheme="minorHAnsi" w:hAnsiTheme="minorHAnsi"/>
          <w:sz w:val="22"/>
        </w:rPr>
      </w:pPr>
    </w:p>
    <w:p w14:paraId="16957E2C" w14:textId="77777777" w:rsidR="0020038F" w:rsidRPr="0020038F" w:rsidRDefault="0020038F" w:rsidP="0020038F">
      <w:pPr>
        <w:spacing w:line="276" w:lineRule="auto"/>
        <w:rPr>
          <w:rFonts w:asciiTheme="minorHAnsi" w:hAnsiTheme="minorHAnsi"/>
          <w:sz w:val="22"/>
        </w:rPr>
      </w:pPr>
    </w:p>
    <w:p w14:paraId="00161AE8" w14:textId="77777777" w:rsidR="0020038F" w:rsidRPr="0020038F" w:rsidRDefault="0020038F" w:rsidP="0020038F">
      <w:pPr>
        <w:spacing w:line="276" w:lineRule="auto"/>
        <w:rPr>
          <w:rFonts w:asciiTheme="minorHAnsi" w:hAnsiTheme="minorHAnsi"/>
          <w:sz w:val="22"/>
        </w:rPr>
      </w:pPr>
    </w:p>
    <w:p w14:paraId="6B12DD3E" w14:textId="77777777" w:rsidR="0020038F" w:rsidRPr="0020038F" w:rsidRDefault="0020038F" w:rsidP="0020038F">
      <w:pPr>
        <w:spacing w:line="276" w:lineRule="auto"/>
        <w:rPr>
          <w:rFonts w:asciiTheme="minorHAnsi" w:hAnsiTheme="minorHAnsi"/>
          <w:sz w:val="22"/>
        </w:rPr>
      </w:pPr>
    </w:p>
    <w:p w14:paraId="5DBCA93A" w14:textId="10E6C7E5" w:rsidR="0020038F" w:rsidRDefault="0020038F" w:rsidP="0020038F">
      <w:pPr>
        <w:pStyle w:val="ListParagraph"/>
        <w:ind w:left="644"/>
        <w:jc w:val="center"/>
        <w:rPr>
          <w:rFonts w:ascii="Arial" w:hAnsi="Arial" w:cs="Arial"/>
          <w:b/>
          <w:bCs/>
          <w:sz w:val="32"/>
          <w:szCs w:val="32"/>
        </w:rPr>
      </w:pPr>
      <w:r w:rsidRPr="0020038F">
        <w:rPr>
          <w:rFonts w:ascii="Arial" w:hAnsi="Arial" w:cs="Arial"/>
          <w:b/>
          <w:bCs/>
          <w:sz w:val="32"/>
          <w:szCs w:val="32"/>
        </w:rPr>
        <w:lastRenderedPageBreak/>
        <w:t>Young Persons Policy</w:t>
      </w:r>
    </w:p>
    <w:p w14:paraId="173A8A6A" w14:textId="77777777" w:rsidR="0020038F" w:rsidRPr="0020038F" w:rsidRDefault="0020038F" w:rsidP="0020038F">
      <w:pPr>
        <w:pStyle w:val="ListParagraph"/>
        <w:ind w:left="644"/>
        <w:jc w:val="center"/>
        <w:rPr>
          <w:rFonts w:ascii="Arial" w:hAnsi="Arial" w:cs="Arial"/>
          <w:b/>
          <w:bCs/>
          <w:sz w:val="32"/>
          <w:szCs w:val="32"/>
        </w:rPr>
      </w:pPr>
    </w:p>
    <w:p w14:paraId="3B8967D5" w14:textId="12A4F7A1" w:rsidR="005F292F" w:rsidRPr="005034FA" w:rsidRDefault="0020038F" w:rsidP="005F292F">
      <w:pPr>
        <w:pStyle w:val="ListParagraph"/>
        <w:numPr>
          <w:ilvl w:val="0"/>
          <w:numId w:val="1"/>
        </w:numPr>
        <w:rPr>
          <w:rFonts w:ascii="Arial" w:hAnsi="Arial" w:cs="Arial"/>
          <w:b/>
          <w:bCs/>
          <w:szCs w:val="24"/>
        </w:rPr>
      </w:pPr>
      <w:r>
        <w:rPr>
          <w:rFonts w:ascii="Arial" w:hAnsi="Arial" w:cs="Arial"/>
          <w:b/>
          <w:bCs/>
          <w:szCs w:val="24"/>
        </w:rPr>
        <w:t>S</w:t>
      </w:r>
      <w:r w:rsidR="005F292F" w:rsidRPr="005034FA">
        <w:rPr>
          <w:rFonts w:ascii="Arial" w:hAnsi="Arial" w:cs="Arial"/>
          <w:b/>
          <w:bCs/>
          <w:szCs w:val="24"/>
        </w:rPr>
        <w:t>tatement</w:t>
      </w:r>
    </w:p>
    <w:p w14:paraId="59CD5A9E" w14:textId="7ECCAA10" w:rsidR="005F292F" w:rsidRPr="005034FA" w:rsidRDefault="005F292F" w:rsidP="00C232E9">
      <w:pPr>
        <w:pStyle w:val="ListParagraph"/>
        <w:ind w:left="644"/>
        <w:jc w:val="both"/>
        <w:rPr>
          <w:rFonts w:ascii="Arial" w:hAnsi="Arial" w:cs="Arial"/>
          <w:szCs w:val="24"/>
        </w:rPr>
      </w:pPr>
      <w:r w:rsidRPr="005034FA">
        <w:rPr>
          <w:rFonts w:ascii="Arial" w:hAnsi="Arial" w:cs="Arial"/>
          <w:szCs w:val="24"/>
        </w:rPr>
        <w:t xml:space="preserve">The Centre considers that it is the duty of the organisation to protect young persons who wish or attempt to gain access to </w:t>
      </w:r>
      <w:r w:rsidR="00134ED5" w:rsidRPr="005034FA">
        <w:rPr>
          <w:rFonts w:ascii="Arial" w:hAnsi="Arial" w:cs="Arial"/>
          <w:szCs w:val="24"/>
        </w:rPr>
        <w:t>its</w:t>
      </w:r>
      <w:r w:rsidRPr="005034FA">
        <w:rPr>
          <w:rFonts w:ascii="Arial" w:hAnsi="Arial" w:cs="Arial"/>
          <w:szCs w:val="24"/>
        </w:rPr>
        <w:t xml:space="preserve"> premises or exhibition space or take part in its activities</w:t>
      </w:r>
      <w:r w:rsidR="00134ED5" w:rsidRPr="005034FA">
        <w:rPr>
          <w:rFonts w:ascii="Arial" w:hAnsi="Arial" w:cs="Arial"/>
          <w:szCs w:val="24"/>
        </w:rPr>
        <w:t>.</w:t>
      </w:r>
    </w:p>
    <w:p w14:paraId="7323CACD" w14:textId="77777777" w:rsidR="005F292F" w:rsidRPr="005034FA" w:rsidRDefault="005F292F" w:rsidP="00C232E9">
      <w:pPr>
        <w:pStyle w:val="ListParagraph"/>
        <w:ind w:left="644"/>
        <w:jc w:val="both"/>
        <w:rPr>
          <w:rFonts w:ascii="Arial" w:hAnsi="Arial" w:cs="Arial"/>
          <w:szCs w:val="24"/>
        </w:rPr>
      </w:pPr>
    </w:p>
    <w:p w14:paraId="2779AACB" w14:textId="4B10BA6B" w:rsidR="005F292F" w:rsidRPr="005034FA" w:rsidRDefault="005F292F" w:rsidP="00C232E9">
      <w:pPr>
        <w:pStyle w:val="ListParagraph"/>
        <w:numPr>
          <w:ilvl w:val="0"/>
          <w:numId w:val="1"/>
        </w:numPr>
        <w:jc w:val="both"/>
        <w:rPr>
          <w:rFonts w:ascii="Arial" w:hAnsi="Arial" w:cs="Arial"/>
          <w:szCs w:val="24"/>
        </w:rPr>
      </w:pPr>
      <w:r w:rsidRPr="005034FA">
        <w:rPr>
          <w:rFonts w:ascii="Arial" w:hAnsi="Arial" w:cs="Arial"/>
          <w:szCs w:val="24"/>
        </w:rPr>
        <w:t>I</w:t>
      </w:r>
      <w:r w:rsidRPr="005034FA">
        <w:rPr>
          <w:rFonts w:ascii="Arial" w:hAnsi="Arial" w:cs="Arial"/>
          <w:b/>
          <w:bCs/>
          <w:szCs w:val="24"/>
        </w:rPr>
        <w:t>ntroduction</w:t>
      </w:r>
    </w:p>
    <w:p w14:paraId="4F0AABC1" w14:textId="74AE3226" w:rsidR="005F292F" w:rsidRPr="005034FA" w:rsidRDefault="00FE7446" w:rsidP="00C232E9">
      <w:pPr>
        <w:pStyle w:val="ListParagraph"/>
        <w:numPr>
          <w:ilvl w:val="0"/>
          <w:numId w:val="2"/>
        </w:numPr>
        <w:jc w:val="both"/>
        <w:rPr>
          <w:rFonts w:ascii="Arial" w:hAnsi="Arial" w:cs="Arial"/>
          <w:iCs/>
          <w:szCs w:val="24"/>
        </w:rPr>
      </w:pPr>
      <w:r w:rsidRPr="005034FA">
        <w:rPr>
          <w:rFonts w:ascii="Arial" w:hAnsi="Arial" w:cs="Arial"/>
          <w:szCs w:val="24"/>
        </w:rPr>
        <w:t xml:space="preserve">The Statement of purpose of the Ted Lewis Centre is </w:t>
      </w:r>
      <w:r w:rsidRPr="005034FA">
        <w:rPr>
          <w:rFonts w:ascii="Arial" w:hAnsi="Arial" w:cs="Arial"/>
          <w:iCs/>
          <w:szCs w:val="24"/>
        </w:rPr>
        <w:t>to collect, own and store or hold on behalf of third parties, the art, writings and artefacts relating to Edward Alfred (Ted)</w:t>
      </w:r>
      <w:r w:rsidR="00C232E9" w:rsidRPr="005034FA">
        <w:rPr>
          <w:rFonts w:ascii="Arial" w:hAnsi="Arial" w:cs="Arial"/>
          <w:iCs/>
          <w:szCs w:val="24"/>
        </w:rPr>
        <w:t xml:space="preserve"> </w:t>
      </w:r>
      <w:r w:rsidRPr="005034FA">
        <w:rPr>
          <w:rFonts w:ascii="Arial" w:hAnsi="Arial" w:cs="Arial"/>
          <w:iCs/>
          <w:szCs w:val="24"/>
        </w:rPr>
        <w:t>Lewis and to maintain and display them in a museum for the purpose of research and education including celebration of his art, life and times.</w:t>
      </w:r>
    </w:p>
    <w:p w14:paraId="246474B8" w14:textId="7281DA60" w:rsidR="00FE7446" w:rsidRPr="005034FA" w:rsidRDefault="00FE7446" w:rsidP="00C232E9">
      <w:pPr>
        <w:pStyle w:val="ListParagraph"/>
        <w:numPr>
          <w:ilvl w:val="0"/>
          <w:numId w:val="2"/>
        </w:numPr>
        <w:jc w:val="both"/>
        <w:rPr>
          <w:rFonts w:ascii="Arial" w:hAnsi="Arial" w:cs="Arial"/>
          <w:iCs/>
          <w:szCs w:val="24"/>
        </w:rPr>
      </w:pPr>
      <w:r w:rsidRPr="005034FA">
        <w:rPr>
          <w:rFonts w:ascii="Arial" w:hAnsi="Arial" w:cs="Arial"/>
          <w:iCs/>
          <w:szCs w:val="24"/>
        </w:rPr>
        <w:t>Ted Lewis wrote nine novels and contributed fiction to some men’s magazines. Those writings contain themes of exploitive sex, violence, misogyny, police corruption and the use of firearms and the Trustees of the Centre consider that some or all of these themes may be unsuitable for young persons or may be considered by their parents as unsuitable</w:t>
      </w:r>
      <w:r w:rsidR="00134ED5" w:rsidRPr="005034FA">
        <w:rPr>
          <w:rFonts w:ascii="Arial" w:hAnsi="Arial" w:cs="Arial"/>
          <w:iCs/>
          <w:szCs w:val="24"/>
        </w:rPr>
        <w:t>.</w:t>
      </w:r>
    </w:p>
    <w:p w14:paraId="3290DBB9" w14:textId="13D25332" w:rsidR="00FE7446" w:rsidRPr="005034FA" w:rsidRDefault="00FE7446" w:rsidP="00C232E9">
      <w:pPr>
        <w:pStyle w:val="ListParagraph"/>
        <w:numPr>
          <w:ilvl w:val="0"/>
          <w:numId w:val="2"/>
        </w:numPr>
        <w:jc w:val="both"/>
        <w:rPr>
          <w:rFonts w:ascii="Arial" w:hAnsi="Arial" w:cs="Arial"/>
          <w:iCs/>
          <w:szCs w:val="24"/>
        </w:rPr>
      </w:pPr>
      <w:r w:rsidRPr="005034FA">
        <w:rPr>
          <w:rFonts w:ascii="Arial" w:hAnsi="Arial" w:cs="Arial"/>
          <w:iCs/>
          <w:szCs w:val="24"/>
        </w:rPr>
        <w:t xml:space="preserve">The </w:t>
      </w:r>
      <w:r w:rsidR="00817E42" w:rsidRPr="005034FA">
        <w:rPr>
          <w:rFonts w:ascii="Arial" w:hAnsi="Arial" w:cs="Arial"/>
          <w:iCs/>
          <w:szCs w:val="24"/>
        </w:rPr>
        <w:t>f</w:t>
      </w:r>
      <w:r w:rsidRPr="005034FA">
        <w:rPr>
          <w:rFonts w:ascii="Arial" w:hAnsi="Arial" w:cs="Arial"/>
          <w:iCs/>
          <w:szCs w:val="24"/>
        </w:rPr>
        <w:t xml:space="preserve">ilm, </w:t>
      </w:r>
      <w:r w:rsidRPr="005034FA">
        <w:rPr>
          <w:rFonts w:ascii="Arial" w:hAnsi="Arial" w:cs="Arial"/>
          <w:i/>
          <w:szCs w:val="24"/>
        </w:rPr>
        <w:t>Get Carter</w:t>
      </w:r>
      <w:r w:rsidRPr="005034FA">
        <w:rPr>
          <w:rFonts w:ascii="Arial" w:hAnsi="Arial" w:cs="Arial"/>
          <w:iCs/>
          <w:szCs w:val="24"/>
        </w:rPr>
        <w:t xml:space="preserve"> received a certificate X from the British Board of Film Censors as it then was which prohibited its exhibition to persons under the age of eighteen.</w:t>
      </w:r>
    </w:p>
    <w:p w14:paraId="3B304304" w14:textId="41B747AB" w:rsidR="00817E42" w:rsidRPr="005034FA" w:rsidRDefault="00817E42" w:rsidP="00C232E9">
      <w:pPr>
        <w:pStyle w:val="ListParagraph"/>
        <w:numPr>
          <w:ilvl w:val="0"/>
          <w:numId w:val="2"/>
        </w:numPr>
        <w:jc w:val="both"/>
        <w:rPr>
          <w:rFonts w:ascii="Arial" w:hAnsi="Arial" w:cs="Arial"/>
          <w:iCs/>
          <w:szCs w:val="24"/>
        </w:rPr>
      </w:pPr>
      <w:r w:rsidRPr="005034FA">
        <w:rPr>
          <w:rFonts w:ascii="Arial" w:hAnsi="Arial" w:cs="Arial"/>
          <w:iCs/>
          <w:szCs w:val="24"/>
        </w:rPr>
        <w:t>The Centre has an obligation to strive to protect young persons and ensure that they are not adversely affected by any matter, object, image or issue that might be available in the Centre</w:t>
      </w:r>
      <w:r w:rsidR="00C93835">
        <w:rPr>
          <w:rFonts w:ascii="Arial" w:hAnsi="Arial" w:cs="Arial"/>
          <w:iCs/>
          <w:szCs w:val="24"/>
        </w:rPr>
        <w:t>’</w:t>
      </w:r>
      <w:r w:rsidRPr="005034FA">
        <w:rPr>
          <w:rFonts w:ascii="Arial" w:hAnsi="Arial" w:cs="Arial"/>
          <w:iCs/>
          <w:szCs w:val="24"/>
        </w:rPr>
        <w:t>s premises.</w:t>
      </w:r>
    </w:p>
    <w:p w14:paraId="509F687A" w14:textId="5A83CE61" w:rsidR="00817E42" w:rsidRPr="005034FA" w:rsidRDefault="00817E42" w:rsidP="00C232E9">
      <w:pPr>
        <w:pStyle w:val="ListParagraph"/>
        <w:numPr>
          <w:ilvl w:val="0"/>
          <w:numId w:val="2"/>
        </w:numPr>
        <w:jc w:val="both"/>
        <w:rPr>
          <w:rFonts w:ascii="Arial" w:hAnsi="Arial" w:cs="Arial"/>
          <w:iCs/>
          <w:szCs w:val="24"/>
        </w:rPr>
      </w:pPr>
      <w:r w:rsidRPr="005034FA">
        <w:rPr>
          <w:rFonts w:ascii="Arial" w:hAnsi="Arial" w:cs="Arial"/>
          <w:iCs/>
          <w:szCs w:val="24"/>
        </w:rPr>
        <w:t>The Trustees also recognise that young persons will become aware of the issues set out in paragraph 2b and ought reasonably to understand the</w:t>
      </w:r>
      <w:r w:rsidR="00242018">
        <w:rPr>
          <w:rFonts w:ascii="Arial" w:hAnsi="Arial" w:cs="Arial"/>
          <w:iCs/>
          <w:szCs w:val="24"/>
        </w:rPr>
        <w:t>y</w:t>
      </w:r>
      <w:r w:rsidRPr="005034FA">
        <w:rPr>
          <w:rFonts w:ascii="Arial" w:hAnsi="Arial" w:cs="Arial"/>
          <w:iCs/>
          <w:szCs w:val="24"/>
        </w:rPr>
        <w:t xml:space="preserve"> mature implications of them as the approach adulthood</w:t>
      </w:r>
      <w:r w:rsidR="00134ED5" w:rsidRPr="005034FA">
        <w:rPr>
          <w:rFonts w:ascii="Arial" w:hAnsi="Arial" w:cs="Arial"/>
          <w:iCs/>
          <w:szCs w:val="24"/>
        </w:rPr>
        <w:t>.</w:t>
      </w:r>
    </w:p>
    <w:p w14:paraId="655FF88B" w14:textId="3A5692D2" w:rsidR="00817E42" w:rsidRPr="005034FA" w:rsidRDefault="00817E42" w:rsidP="00C232E9">
      <w:pPr>
        <w:pStyle w:val="ListParagraph"/>
        <w:numPr>
          <w:ilvl w:val="0"/>
          <w:numId w:val="2"/>
        </w:numPr>
        <w:jc w:val="both"/>
        <w:rPr>
          <w:rFonts w:ascii="Arial" w:hAnsi="Arial" w:cs="Arial"/>
          <w:iCs/>
          <w:szCs w:val="24"/>
        </w:rPr>
      </w:pPr>
      <w:r w:rsidRPr="005034FA">
        <w:rPr>
          <w:rFonts w:ascii="Arial" w:hAnsi="Arial" w:cs="Arial"/>
          <w:iCs/>
          <w:szCs w:val="24"/>
        </w:rPr>
        <w:t>This Policy has been developed to assist the Centre in preventing any adverse effects to young persons by virtue of being exposed to anything in the Centre premises or at events or outreach promoted by the Centre.</w:t>
      </w:r>
    </w:p>
    <w:p w14:paraId="7146086D" w14:textId="77777777" w:rsidR="00FE7446" w:rsidRPr="005034FA" w:rsidRDefault="00FE7446" w:rsidP="00C232E9">
      <w:pPr>
        <w:pStyle w:val="ListParagraph"/>
        <w:ind w:left="644"/>
        <w:jc w:val="both"/>
        <w:rPr>
          <w:rFonts w:ascii="Arial" w:hAnsi="Arial" w:cs="Arial"/>
          <w:szCs w:val="24"/>
        </w:rPr>
      </w:pPr>
    </w:p>
    <w:p w14:paraId="0CDD230B" w14:textId="38D66474" w:rsidR="005F292F" w:rsidRPr="005034FA" w:rsidRDefault="00817E42" w:rsidP="00C232E9">
      <w:pPr>
        <w:pStyle w:val="ListParagraph"/>
        <w:numPr>
          <w:ilvl w:val="0"/>
          <w:numId w:val="1"/>
        </w:numPr>
        <w:jc w:val="both"/>
        <w:rPr>
          <w:rFonts w:ascii="Arial" w:hAnsi="Arial" w:cs="Arial"/>
          <w:b/>
          <w:bCs/>
          <w:szCs w:val="24"/>
        </w:rPr>
      </w:pPr>
      <w:r w:rsidRPr="005034FA">
        <w:rPr>
          <w:rFonts w:ascii="Arial" w:hAnsi="Arial" w:cs="Arial"/>
          <w:b/>
          <w:bCs/>
          <w:szCs w:val="24"/>
        </w:rPr>
        <w:t>Definitions</w:t>
      </w:r>
    </w:p>
    <w:p w14:paraId="45EA980D" w14:textId="0D914B5D" w:rsidR="00817E42" w:rsidRPr="005034FA" w:rsidRDefault="00486915" w:rsidP="00C232E9">
      <w:pPr>
        <w:pStyle w:val="ListParagraph"/>
        <w:numPr>
          <w:ilvl w:val="0"/>
          <w:numId w:val="3"/>
        </w:numPr>
        <w:jc w:val="both"/>
        <w:rPr>
          <w:rFonts w:ascii="Arial" w:hAnsi="Arial" w:cs="Arial"/>
          <w:szCs w:val="24"/>
        </w:rPr>
      </w:pPr>
      <w:r w:rsidRPr="005034FA">
        <w:rPr>
          <w:rFonts w:ascii="Arial" w:hAnsi="Arial" w:cs="Arial"/>
          <w:szCs w:val="24"/>
        </w:rPr>
        <w:t xml:space="preserve">Young Persons. </w:t>
      </w:r>
      <w:r w:rsidR="00817E42" w:rsidRPr="005034FA">
        <w:rPr>
          <w:rFonts w:ascii="Arial" w:hAnsi="Arial" w:cs="Arial"/>
          <w:szCs w:val="24"/>
        </w:rPr>
        <w:t>For the purpose of this Policy, a young person is a person under the age of fourteen years at their next birthday or a person who is aged between fourteen and sixteen on their next birthday</w:t>
      </w:r>
      <w:r w:rsidR="00134ED5" w:rsidRPr="005034FA">
        <w:rPr>
          <w:rFonts w:ascii="Arial" w:hAnsi="Arial" w:cs="Arial"/>
          <w:szCs w:val="24"/>
        </w:rPr>
        <w:t>.</w:t>
      </w:r>
    </w:p>
    <w:p w14:paraId="4434E55F" w14:textId="22B05875" w:rsidR="00486915" w:rsidRPr="005034FA" w:rsidRDefault="00486915" w:rsidP="00C232E9">
      <w:pPr>
        <w:pStyle w:val="ListParagraph"/>
        <w:numPr>
          <w:ilvl w:val="0"/>
          <w:numId w:val="3"/>
        </w:numPr>
        <w:jc w:val="both"/>
        <w:rPr>
          <w:rFonts w:ascii="Arial" w:hAnsi="Arial" w:cs="Arial"/>
          <w:szCs w:val="24"/>
        </w:rPr>
      </w:pPr>
      <w:r w:rsidRPr="005034FA">
        <w:rPr>
          <w:rFonts w:ascii="Arial" w:hAnsi="Arial" w:cs="Arial"/>
          <w:szCs w:val="24"/>
        </w:rPr>
        <w:t xml:space="preserve">Age. The age of a person is one that is established by official documentation, credible oral evidence or the experience and judgement of any Centre </w:t>
      </w:r>
      <w:r w:rsidR="00392AE5">
        <w:rPr>
          <w:rFonts w:ascii="Arial" w:hAnsi="Arial" w:cs="Arial"/>
          <w:szCs w:val="24"/>
        </w:rPr>
        <w:t>T</w:t>
      </w:r>
      <w:r w:rsidRPr="005034FA">
        <w:rPr>
          <w:rFonts w:ascii="Arial" w:hAnsi="Arial" w:cs="Arial"/>
          <w:szCs w:val="24"/>
        </w:rPr>
        <w:t xml:space="preserve">rustee, officer or </w:t>
      </w:r>
      <w:r w:rsidR="00134ED5" w:rsidRPr="005034FA">
        <w:rPr>
          <w:rFonts w:ascii="Arial" w:hAnsi="Arial" w:cs="Arial"/>
          <w:szCs w:val="24"/>
        </w:rPr>
        <w:t>Receptionist.</w:t>
      </w:r>
    </w:p>
    <w:p w14:paraId="638C733A" w14:textId="56C57862" w:rsidR="00486915" w:rsidRPr="005034FA" w:rsidRDefault="00486915" w:rsidP="00C232E9">
      <w:pPr>
        <w:pStyle w:val="ListParagraph"/>
        <w:numPr>
          <w:ilvl w:val="0"/>
          <w:numId w:val="3"/>
        </w:numPr>
        <w:jc w:val="both"/>
        <w:rPr>
          <w:rFonts w:ascii="Arial" w:hAnsi="Arial" w:cs="Arial"/>
          <w:szCs w:val="24"/>
        </w:rPr>
      </w:pPr>
      <w:r w:rsidRPr="005034FA">
        <w:rPr>
          <w:rFonts w:ascii="Arial" w:hAnsi="Arial" w:cs="Arial"/>
          <w:szCs w:val="24"/>
        </w:rPr>
        <w:t xml:space="preserve">The Centre. The term, The Centre includes its Trustees, members, volunteers, </w:t>
      </w:r>
      <w:r w:rsidR="00134ED5" w:rsidRPr="005034FA">
        <w:rPr>
          <w:rFonts w:ascii="Arial" w:hAnsi="Arial" w:cs="Arial"/>
          <w:szCs w:val="24"/>
        </w:rPr>
        <w:t>servants,</w:t>
      </w:r>
      <w:r w:rsidRPr="005034FA">
        <w:rPr>
          <w:rFonts w:ascii="Arial" w:hAnsi="Arial" w:cs="Arial"/>
          <w:szCs w:val="24"/>
        </w:rPr>
        <w:t xml:space="preserve"> or officers</w:t>
      </w:r>
      <w:r w:rsidR="00AF1A0B" w:rsidRPr="005034FA">
        <w:rPr>
          <w:rFonts w:ascii="Arial" w:hAnsi="Arial" w:cs="Arial"/>
          <w:szCs w:val="24"/>
        </w:rPr>
        <w:t>.</w:t>
      </w:r>
    </w:p>
    <w:p w14:paraId="7DA2906C" w14:textId="77777777" w:rsidR="00486915" w:rsidRPr="005034FA" w:rsidRDefault="00486915" w:rsidP="00C232E9">
      <w:pPr>
        <w:pStyle w:val="ListParagraph"/>
        <w:ind w:left="1364"/>
        <w:jc w:val="both"/>
        <w:rPr>
          <w:rFonts w:ascii="Arial" w:hAnsi="Arial" w:cs="Arial"/>
          <w:szCs w:val="24"/>
        </w:rPr>
      </w:pPr>
    </w:p>
    <w:p w14:paraId="0AED7AB4" w14:textId="620A30DD" w:rsidR="00817E42" w:rsidRPr="005034FA" w:rsidRDefault="00486915" w:rsidP="00C232E9">
      <w:pPr>
        <w:pStyle w:val="ListParagraph"/>
        <w:numPr>
          <w:ilvl w:val="0"/>
          <w:numId w:val="1"/>
        </w:numPr>
        <w:jc w:val="both"/>
        <w:rPr>
          <w:rFonts w:ascii="Arial" w:hAnsi="Arial" w:cs="Arial"/>
          <w:b/>
          <w:bCs/>
          <w:szCs w:val="24"/>
        </w:rPr>
      </w:pPr>
      <w:r w:rsidRPr="005034FA">
        <w:rPr>
          <w:rFonts w:ascii="Arial" w:hAnsi="Arial" w:cs="Arial"/>
          <w:b/>
          <w:bCs/>
          <w:szCs w:val="24"/>
        </w:rPr>
        <w:t>Policy.</w:t>
      </w:r>
    </w:p>
    <w:p w14:paraId="32CE6ECD" w14:textId="6984BE6E" w:rsidR="00817E42" w:rsidRPr="005034FA" w:rsidRDefault="00486915" w:rsidP="00C232E9">
      <w:pPr>
        <w:pStyle w:val="ListParagraph"/>
        <w:numPr>
          <w:ilvl w:val="0"/>
          <w:numId w:val="4"/>
        </w:numPr>
        <w:jc w:val="both"/>
        <w:rPr>
          <w:rFonts w:ascii="Arial" w:hAnsi="Arial" w:cs="Arial"/>
          <w:szCs w:val="24"/>
        </w:rPr>
      </w:pPr>
      <w:r w:rsidRPr="005034FA">
        <w:rPr>
          <w:rFonts w:ascii="Arial" w:hAnsi="Arial" w:cs="Arial"/>
          <w:szCs w:val="24"/>
        </w:rPr>
        <w:t xml:space="preserve">There is a presumption that young persons should not be admitted to the Centre. However, there may be occasions when, in the judgment of the Centre, such persons may be admitted. Examples of such occasions, but not exhaustive examples, are when responsible adults in charge of the </w:t>
      </w:r>
      <w:r w:rsidRPr="005034FA">
        <w:rPr>
          <w:rFonts w:ascii="Arial" w:hAnsi="Arial" w:cs="Arial"/>
          <w:szCs w:val="24"/>
        </w:rPr>
        <w:lastRenderedPageBreak/>
        <w:t>young person accepts that the young person will not be adversely affected, the young person is too young to view or understand the content or there is nothing where the young person intends to beset the premises which contains features referred to in paragraph 2b</w:t>
      </w:r>
      <w:r w:rsidR="000B245B" w:rsidRPr="005034FA">
        <w:rPr>
          <w:rFonts w:ascii="Arial" w:hAnsi="Arial" w:cs="Arial"/>
          <w:szCs w:val="24"/>
        </w:rPr>
        <w:t xml:space="preserve"> of this Policy</w:t>
      </w:r>
      <w:r w:rsidRPr="005034FA">
        <w:rPr>
          <w:rFonts w:ascii="Arial" w:hAnsi="Arial" w:cs="Arial"/>
          <w:szCs w:val="24"/>
        </w:rPr>
        <w:t>.</w:t>
      </w:r>
    </w:p>
    <w:p w14:paraId="622F49C2" w14:textId="3E2A4CC6" w:rsidR="00486915" w:rsidRPr="005034FA" w:rsidRDefault="00075002" w:rsidP="00C232E9">
      <w:pPr>
        <w:pStyle w:val="ListParagraph"/>
        <w:numPr>
          <w:ilvl w:val="0"/>
          <w:numId w:val="4"/>
        </w:numPr>
        <w:jc w:val="both"/>
        <w:rPr>
          <w:rFonts w:ascii="Arial" w:hAnsi="Arial" w:cs="Arial"/>
          <w:szCs w:val="24"/>
        </w:rPr>
      </w:pPr>
      <w:r w:rsidRPr="005034FA">
        <w:rPr>
          <w:rFonts w:ascii="Arial" w:hAnsi="Arial" w:cs="Arial"/>
          <w:szCs w:val="24"/>
        </w:rPr>
        <w:t xml:space="preserve">There will be placed, adjacent to any showing for study purposes of the film, </w:t>
      </w:r>
      <w:r w:rsidRPr="005034FA">
        <w:rPr>
          <w:rFonts w:ascii="Arial" w:hAnsi="Arial" w:cs="Arial"/>
          <w:i/>
          <w:iCs/>
          <w:szCs w:val="24"/>
        </w:rPr>
        <w:t>Get Carter</w:t>
      </w:r>
      <w:r w:rsidRPr="005034FA">
        <w:rPr>
          <w:rFonts w:ascii="Arial" w:hAnsi="Arial" w:cs="Arial"/>
          <w:szCs w:val="24"/>
        </w:rPr>
        <w:t xml:space="preserve">, a warning </w:t>
      </w:r>
      <w:r w:rsidR="00FC1606" w:rsidRPr="005034FA">
        <w:rPr>
          <w:rFonts w:ascii="Arial" w:hAnsi="Arial" w:cs="Arial"/>
          <w:szCs w:val="24"/>
        </w:rPr>
        <w:t xml:space="preserve">which makes visitors aware </w:t>
      </w:r>
      <w:r w:rsidRPr="005034FA">
        <w:rPr>
          <w:rFonts w:ascii="Arial" w:hAnsi="Arial" w:cs="Arial"/>
          <w:szCs w:val="24"/>
        </w:rPr>
        <w:t>that it was an X rated film and the implications of that certification.</w:t>
      </w:r>
    </w:p>
    <w:p w14:paraId="112CCD9C" w14:textId="078813EB" w:rsidR="00CE5017" w:rsidRDefault="00075002" w:rsidP="00C232E9">
      <w:pPr>
        <w:pStyle w:val="ListParagraph"/>
        <w:numPr>
          <w:ilvl w:val="0"/>
          <w:numId w:val="4"/>
        </w:numPr>
        <w:jc w:val="both"/>
        <w:rPr>
          <w:rFonts w:ascii="Arial" w:hAnsi="Arial" w:cs="Arial"/>
          <w:szCs w:val="24"/>
        </w:rPr>
      </w:pPr>
      <w:r w:rsidRPr="005034FA">
        <w:rPr>
          <w:rFonts w:ascii="Arial" w:hAnsi="Arial" w:cs="Arial"/>
          <w:szCs w:val="24"/>
        </w:rPr>
        <w:t>The Centre will display</w:t>
      </w:r>
      <w:r w:rsidR="006C64DA" w:rsidRPr="005034FA">
        <w:rPr>
          <w:rFonts w:ascii="Arial" w:hAnsi="Arial" w:cs="Arial"/>
          <w:szCs w:val="24"/>
        </w:rPr>
        <w:t xml:space="preserve"> notices in a prominent position informing visitors or the issues </w:t>
      </w:r>
      <w:r w:rsidR="000B245B" w:rsidRPr="005034FA">
        <w:rPr>
          <w:rFonts w:ascii="Arial" w:hAnsi="Arial" w:cs="Arial"/>
          <w:szCs w:val="24"/>
        </w:rPr>
        <w:t xml:space="preserve">set out </w:t>
      </w:r>
      <w:r w:rsidR="00392AE5">
        <w:rPr>
          <w:rFonts w:ascii="Arial" w:hAnsi="Arial" w:cs="Arial"/>
          <w:szCs w:val="24"/>
        </w:rPr>
        <w:t>i</w:t>
      </w:r>
      <w:r w:rsidR="000B245B" w:rsidRPr="005034FA">
        <w:rPr>
          <w:rFonts w:ascii="Arial" w:hAnsi="Arial" w:cs="Arial"/>
          <w:szCs w:val="24"/>
        </w:rPr>
        <w:t>n paragraph 2b of this Policy</w:t>
      </w:r>
      <w:r w:rsidR="00AF1A0B" w:rsidRPr="005034FA">
        <w:rPr>
          <w:rFonts w:ascii="Arial" w:hAnsi="Arial" w:cs="Arial"/>
          <w:szCs w:val="24"/>
        </w:rPr>
        <w:t>.</w:t>
      </w:r>
    </w:p>
    <w:p w14:paraId="1DF856CF" w14:textId="32036AE7" w:rsidR="0020038F" w:rsidRDefault="0020038F" w:rsidP="00C232E9">
      <w:pPr>
        <w:pStyle w:val="ListParagraph"/>
        <w:numPr>
          <w:ilvl w:val="0"/>
          <w:numId w:val="4"/>
        </w:numPr>
        <w:jc w:val="both"/>
        <w:rPr>
          <w:rFonts w:ascii="Arial" w:hAnsi="Arial" w:cs="Arial"/>
          <w:szCs w:val="24"/>
        </w:rPr>
      </w:pPr>
      <w:r>
        <w:rPr>
          <w:rFonts w:ascii="Arial" w:hAnsi="Arial" w:cs="Arial"/>
          <w:szCs w:val="24"/>
        </w:rPr>
        <w:t>This policy will be reviewed every two years</w:t>
      </w:r>
      <w:r w:rsidR="007B034D">
        <w:rPr>
          <w:rFonts w:ascii="Arial" w:hAnsi="Arial" w:cs="Arial"/>
          <w:szCs w:val="24"/>
        </w:rPr>
        <w:t>0</w:t>
      </w:r>
    </w:p>
    <w:p w14:paraId="6402DBAD" w14:textId="77777777" w:rsidR="007B034D" w:rsidRPr="005034FA" w:rsidRDefault="007B034D" w:rsidP="00C232E9">
      <w:pPr>
        <w:pStyle w:val="ListParagraph"/>
        <w:numPr>
          <w:ilvl w:val="0"/>
          <w:numId w:val="4"/>
        </w:numPr>
        <w:jc w:val="both"/>
        <w:rPr>
          <w:rFonts w:ascii="Arial" w:hAnsi="Arial" w:cs="Arial"/>
          <w:szCs w:val="24"/>
        </w:rPr>
      </w:pPr>
    </w:p>
    <w:p w14:paraId="00395D91" w14:textId="77777777" w:rsidR="00AF1A0B" w:rsidRPr="005034FA" w:rsidRDefault="00AF1A0B" w:rsidP="00C232E9">
      <w:pPr>
        <w:pStyle w:val="ListParagraph"/>
        <w:ind w:left="1364"/>
        <w:jc w:val="both"/>
        <w:rPr>
          <w:rFonts w:ascii="Arial" w:hAnsi="Arial" w:cs="Arial"/>
          <w:szCs w:val="24"/>
        </w:rPr>
      </w:pPr>
    </w:p>
    <w:p w14:paraId="044D0B6C" w14:textId="77777777" w:rsidR="00B82BDE" w:rsidRPr="005034FA" w:rsidRDefault="00B82BDE" w:rsidP="00C232E9">
      <w:pPr>
        <w:pStyle w:val="ListParagraph"/>
        <w:numPr>
          <w:ilvl w:val="0"/>
          <w:numId w:val="1"/>
        </w:numPr>
        <w:jc w:val="both"/>
        <w:rPr>
          <w:rFonts w:ascii="Arial" w:hAnsi="Arial" w:cs="Arial"/>
          <w:b/>
          <w:bCs/>
          <w:szCs w:val="24"/>
        </w:rPr>
      </w:pPr>
      <w:r w:rsidRPr="005034FA">
        <w:rPr>
          <w:rFonts w:ascii="Arial" w:hAnsi="Arial" w:cs="Arial"/>
          <w:b/>
          <w:bCs/>
          <w:szCs w:val="24"/>
        </w:rPr>
        <w:t xml:space="preserve">Appeal. </w:t>
      </w:r>
    </w:p>
    <w:p w14:paraId="1D47114C" w14:textId="3A35AA08" w:rsidR="00817E42" w:rsidRPr="005034FA" w:rsidRDefault="00AF1A0B" w:rsidP="00C232E9">
      <w:pPr>
        <w:pStyle w:val="ListParagraph"/>
        <w:ind w:left="644"/>
        <w:jc w:val="both"/>
        <w:rPr>
          <w:rFonts w:ascii="Arial" w:hAnsi="Arial" w:cs="Arial"/>
          <w:szCs w:val="24"/>
        </w:rPr>
      </w:pPr>
      <w:r w:rsidRPr="005034FA">
        <w:rPr>
          <w:rFonts w:ascii="Arial" w:hAnsi="Arial" w:cs="Arial"/>
          <w:szCs w:val="24"/>
        </w:rPr>
        <w:t xml:space="preserve">Decisions of </w:t>
      </w:r>
      <w:r w:rsidR="003E422E" w:rsidRPr="005034FA">
        <w:rPr>
          <w:rFonts w:ascii="Arial" w:hAnsi="Arial" w:cs="Arial"/>
          <w:szCs w:val="24"/>
        </w:rPr>
        <w:t xml:space="preserve">the Centre in respect of any issue set out in this Policy are final but if any </w:t>
      </w:r>
      <w:r w:rsidR="00C24D4E" w:rsidRPr="005034FA">
        <w:rPr>
          <w:rFonts w:ascii="Arial" w:hAnsi="Arial" w:cs="Arial"/>
          <w:szCs w:val="24"/>
        </w:rPr>
        <w:t>responsible adult feels aggrieved b</w:t>
      </w:r>
      <w:r w:rsidR="009E2197" w:rsidRPr="005034FA">
        <w:rPr>
          <w:rFonts w:ascii="Arial" w:hAnsi="Arial" w:cs="Arial"/>
          <w:szCs w:val="24"/>
        </w:rPr>
        <w:t>y</w:t>
      </w:r>
      <w:r w:rsidR="00C24D4E" w:rsidRPr="005034FA">
        <w:rPr>
          <w:rFonts w:ascii="Arial" w:hAnsi="Arial" w:cs="Arial"/>
          <w:szCs w:val="24"/>
        </w:rPr>
        <w:t xml:space="preserve"> any </w:t>
      </w:r>
      <w:r w:rsidR="009E2197" w:rsidRPr="005034FA">
        <w:rPr>
          <w:rFonts w:ascii="Arial" w:hAnsi="Arial" w:cs="Arial"/>
          <w:szCs w:val="24"/>
        </w:rPr>
        <w:t>s</w:t>
      </w:r>
      <w:r w:rsidR="00C24D4E" w:rsidRPr="005034FA">
        <w:rPr>
          <w:rFonts w:ascii="Arial" w:hAnsi="Arial" w:cs="Arial"/>
          <w:szCs w:val="24"/>
        </w:rPr>
        <w:t>uch decision, a compl</w:t>
      </w:r>
      <w:r w:rsidR="00C80B20" w:rsidRPr="005034FA">
        <w:rPr>
          <w:rFonts w:ascii="Arial" w:hAnsi="Arial" w:cs="Arial"/>
          <w:szCs w:val="24"/>
        </w:rPr>
        <w:t>aint may be made in accordance with the Centre’s Complaint</w:t>
      </w:r>
      <w:r w:rsidR="00B82BDE" w:rsidRPr="005034FA">
        <w:rPr>
          <w:rFonts w:ascii="Arial" w:hAnsi="Arial" w:cs="Arial"/>
          <w:szCs w:val="24"/>
        </w:rPr>
        <w:t>s Procedure.</w:t>
      </w:r>
    </w:p>
    <w:p w14:paraId="43A55711" w14:textId="77777777" w:rsidR="00817E42" w:rsidRPr="005034FA" w:rsidRDefault="00817E42" w:rsidP="00C232E9">
      <w:pPr>
        <w:pStyle w:val="ListParagraph"/>
        <w:jc w:val="both"/>
        <w:rPr>
          <w:rFonts w:ascii="Arial" w:hAnsi="Arial" w:cs="Arial"/>
          <w:szCs w:val="24"/>
        </w:rPr>
      </w:pPr>
    </w:p>
    <w:p w14:paraId="52AE0D05" w14:textId="37C8B6FE" w:rsidR="00FE291A" w:rsidRPr="005034FA" w:rsidRDefault="00B82BDE" w:rsidP="00C232E9">
      <w:pPr>
        <w:pStyle w:val="ListParagraph"/>
        <w:numPr>
          <w:ilvl w:val="0"/>
          <w:numId w:val="1"/>
        </w:numPr>
        <w:jc w:val="both"/>
        <w:rPr>
          <w:rFonts w:ascii="Arial" w:hAnsi="Arial" w:cs="Arial"/>
          <w:b/>
          <w:bCs/>
          <w:szCs w:val="24"/>
        </w:rPr>
      </w:pPr>
      <w:r w:rsidRPr="005034FA">
        <w:rPr>
          <w:rFonts w:ascii="Arial" w:hAnsi="Arial" w:cs="Arial"/>
          <w:b/>
          <w:bCs/>
          <w:szCs w:val="24"/>
        </w:rPr>
        <w:t xml:space="preserve">Support. </w:t>
      </w:r>
    </w:p>
    <w:p w14:paraId="34DF7C31" w14:textId="75681F26" w:rsidR="00817E42" w:rsidRPr="005034FA" w:rsidRDefault="000E7140" w:rsidP="00C232E9">
      <w:pPr>
        <w:pStyle w:val="ListParagraph"/>
        <w:ind w:left="644"/>
        <w:jc w:val="both"/>
        <w:rPr>
          <w:rFonts w:ascii="Arial" w:hAnsi="Arial" w:cs="Arial"/>
          <w:szCs w:val="24"/>
        </w:rPr>
      </w:pPr>
      <w:r w:rsidRPr="005034FA">
        <w:rPr>
          <w:rFonts w:ascii="Arial" w:hAnsi="Arial" w:cs="Arial"/>
          <w:szCs w:val="24"/>
        </w:rPr>
        <w:t>T</w:t>
      </w:r>
      <w:r w:rsidR="0077588A" w:rsidRPr="005034FA">
        <w:rPr>
          <w:rFonts w:ascii="Arial" w:hAnsi="Arial" w:cs="Arial"/>
          <w:szCs w:val="24"/>
        </w:rPr>
        <w:t xml:space="preserve">he Centre will </w:t>
      </w:r>
      <w:r w:rsidR="00406DB0" w:rsidRPr="005034FA">
        <w:rPr>
          <w:rFonts w:ascii="Arial" w:hAnsi="Arial" w:cs="Arial"/>
          <w:szCs w:val="24"/>
        </w:rPr>
        <w:t xml:space="preserve">actively engage with </w:t>
      </w:r>
      <w:r w:rsidR="00185742" w:rsidRPr="005034FA">
        <w:rPr>
          <w:rFonts w:ascii="Arial" w:hAnsi="Arial" w:cs="Arial"/>
          <w:szCs w:val="24"/>
        </w:rPr>
        <w:t>training, education, and guidance</w:t>
      </w:r>
      <w:r w:rsidR="009E2197" w:rsidRPr="005034FA">
        <w:rPr>
          <w:rFonts w:ascii="Arial" w:hAnsi="Arial" w:cs="Arial"/>
          <w:szCs w:val="24"/>
        </w:rPr>
        <w:t xml:space="preserve"> outreach in respect of any of the aspects referred to in paragraph 2b of this Policy</w:t>
      </w:r>
      <w:r w:rsidR="00254E4C" w:rsidRPr="005034FA">
        <w:rPr>
          <w:rFonts w:ascii="Arial" w:hAnsi="Arial" w:cs="Arial"/>
          <w:szCs w:val="24"/>
        </w:rPr>
        <w:t xml:space="preserve"> and will review the purpose and content of this Policy</w:t>
      </w:r>
      <w:r w:rsidR="004A540E" w:rsidRPr="005034FA">
        <w:rPr>
          <w:rFonts w:ascii="Arial" w:hAnsi="Arial" w:cs="Arial"/>
          <w:szCs w:val="24"/>
        </w:rPr>
        <w:t xml:space="preserve"> </w:t>
      </w:r>
      <w:r w:rsidR="00525F83" w:rsidRPr="005034FA">
        <w:rPr>
          <w:rFonts w:ascii="Arial" w:hAnsi="Arial" w:cs="Arial"/>
          <w:szCs w:val="24"/>
        </w:rPr>
        <w:t>moving forward i</w:t>
      </w:r>
      <w:r w:rsidR="00677E97" w:rsidRPr="005034FA">
        <w:rPr>
          <w:rFonts w:ascii="Arial" w:hAnsi="Arial" w:cs="Arial"/>
          <w:szCs w:val="24"/>
        </w:rPr>
        <w:t>n accordance with any developments and insights that become apparent</w:t>
      </w:r>
      <w:r w:rsidR="00B4300A" w:rsidRPr="005034FA">
        <w:rPr>
          <w:rFonts w:ascii="Arial" w:hAnsi="Arial" w:cs="Arial"/>
          <w:szCs w:val="24"/>
        </w:rPr>
        <w:t xml:space="preserve"> </w:t>
      </w:r>
      <w:r w:rsidR="00083F67">
        <w:rPr>
          <w:rFonts w:ascii="Arial" w:hAnsi="Arial" w:cs="Arial"/>
          <w:szCs w:val="24"/>
        </w:rPr>
        <w:t xml:space="preserve">without having to wait until </w:t>
      </w:r>
      <w:r w:rsidR="00B4300A" w:rsidRPr="005034FA">
        <w:rPr>
          <w:rFonts w:ascii="Arial" w:hAnsi="Arial" w:cs="Arial"/>
          <w:szCs w:val="24"/>
        </w:rPr>
        <w:t xml:space="preserve"> to the formal Reviews </w:t>
      </w:r>
      <w:r w:rsidR="00083F67">
        <w:rPr>
          <w:rFonts w:ascii="Arial" w:hAnsi="Arial" w:cs="Arial"/>
          <w:szCs w:val="24"/>
        </w:rPr>
        <w:t>as</w:t>
      </w:r>
      <w:r w:rsidR="00B4300A" w:rsidRPr="005034FA">
        <w:rPr>
          <w:rFonts w:ascii="Arial" w:hAnsi="Arial" w:cs="Arial"/>
          <w:szCs w:val="24"/>
        </w:rPr>
        <w:t xml:space="preserve"> prescribed by the </w:t>
      </w:r>
      <w:r w:rsidR="00083F67">
        <w:rPr>
          <w:rFonts w:ascii="Arial" w:hAnsi="Arial" w:cs="Arial"/>
          <w:szCs w:val="24"/>
        </w:rPr>
        <w:t xml:space="preserve">Centre’s </w:t>
      </w:r>
      <w:r w:rsidR="00B4300A" w:rsidRPr="005034FA">
        <w:rPr>
          <w:rFonts w:ascii="Arial" w:hAnsi="Arial" w:cs="Arial"/>
          <w:szCs w:val="24"/>
        </w:rPr>
        <w:t>Review Procedure.</w:t>
      </w:r>
    </w:p>
    <w:p w14:paraId="5171C47F" w14:textId="77777777" w:rsidR="00C232E9" w:rsidRPr="005034FA" w:rsidRDefault="00C232E9" w:rsidP="00C232E9">
      <w:pPr>
        <w:pStyle w:val="ListParagraph"/>
        <w:ind w:left="644"/>
        <w:jc w:val="both"/>
        <w:rPr>
          <w:rFonts w:ascii="Arial" w:hAnsi="Arial" w:cs="Arial"/>
          <w:szCs w:val="24"/>
        </w:rPr>
      </w:pPr>
    </w:p>
    <w:p w14:paraId="42459EBF" w14:textId="72C19659" w:rsidR="00982E41" w:rsidRPr="005034FA" w:rsidRDefault="00982E41" w:rsidP="00C232E9">
      <w:pPr>
        <w:pStyle w:val="ListParagraph"/>
        <w:ind w:left="644"/>
        <w:jc w:val="both"/>
        <w:rPr>
          <w:rFonts w:ascii="Arial" w:hAnsi="Arial" w:cs="Arial"/>
          <w:szCs w:val="24"/>
        </w:rPr>
      </w:pPr>
    </w:p>
    <w:p w14:paraId="421E6EF4" w14:textId="52A972F1" w:rsidR="00982E41" w:rsidRPr="005034FA" w:rsidRDefault="00FE291A" w:rsidP="00C232E9">
      <w:pPr>
        <w:pStyle w:val="ListParagraph"/>
        <w:numPr>
          <w:ilvl w:val="0"/>
          <w:numId w:val="1"/>
        </w:numPr>
        <w:jc w:val="both"/>
        <w:rPr>
          <w:rFonts w:ascii="Arial" w:hAnsi="Arial" w:cs="Arial"/>
          <w:szCs w:val="24"/>
        </w:rPr>
      </w:pPr>
      <w:r w:rsidRPr="005034FA">
        <w:rPr>
          <w:rFonts w:ascii="Arial" w:hAnsi="Arial" w:cs="Arial"/>
          <w:b/>
          <w:bCs/>
          <w:szCs w:val="24"/>
        </w:rPr>
        <w:t>Artistic considerations</w:t>
      </w:r>
      <w:r w:rsidRPr="005034FA">
        <w:rPr>
          <w:rFonts w:ascii="Arial" w:hAnsi="Arial" w:cs="Arial"/>
          <w:szCs w:val="24"/>
        </w:rPr>
        <w:t>.</w:t>
      </w:r>
    </w:p>
    <w:p w14:paraId="5FC1BAB3" w14:textId="3577845C" w:rsidR="000E7140" w:rsidRDefault="000E7140" w:rsidP="00C232E9">
      <w:pPr>
        <w:pStyle w:val="ListParagraph"/>
        <w:ind w:left="644"/>
        <w:jc w:val="both"/>
        <w:rPr>
          <w:rFonts w:ascii="Arial" w:hAnsi="Arial" w:cs="Arial"/>
          <w:szCs w:val="24"/>
        </w:rPr>
      </w:pPr>
      <w:r w:rsidRPr="005034FA">
        <w:rPr>
          <w:rFonts w:ascii="Arial" w:hAnsi="Arial" w:cs="Arial"/>
          <w:szCs w:val="24"/>
        </w:rPr>
        <w:t xml:space="preserve">The Centre will take fully into account the </w:t>
      </w:r>
      <w:r w:rsidR="00080458" w:rsidRPr="005034FA">
        <w:rPr>
          <w:rFonts w:ascii="Arial" w:hAnsi="Arial" w:cs="Arial"/>
          <w:szCs w:val="24"/>
        </w:rPr>
        <w:t xml:space="preserve">artistic drivers and considerations </w:t>
      </w:r>
      <w:r w:rsidR="006B66FD" w:rsidRPr="005034FA">
        <w:rPr>
          <w:rFonts w:ascii="Arial" w:hAnsi="Arial" w:cs="Arial"/>
          <w:szCs w:val="24"/>
        </w:rPr>
        <w:t xml:space="preserve">of dealing with the issues referred to in paragraph 2b of this Policy in </w:t>
      </w:r>
      <w:r w:rsidR="003B7B6A" w:rsidRPr="005034FA">
        <w:rPr>
          <w:rFonts w:ascii="Arial" w:hAnsi="Arial" w:cs="Arial"/>
          <w:szCs w:val="24"/>
        </w:rPr>
        <w:t xml:space="preserve">connection with the administration of these Policy considerations and balance them </w:t>
      </w:r>
      <w:r w:rsidR="00AC3AE0" w:rsidRPr="005034FA">
        <w:rPr>
          <w:rFonts w:ascii="Arial" w:hAnsi="Arial" w:cs="Arial"/>
          <w:szCs w:val="24"/>
        </w:rPr>
        <w:t xml:space="preserve">against any </w:t>
      </w:r>
      <w:r w:rsidR="00C232E9" w:rsidRPr="005034FA">
        <w:rPr>
          <w:rFonts w:ascii="Arial" w:hAnsi="Arial" w:cs="Arial"/>
          <w:szCs w:val="24"/>
        </w:rPr>
        <w:t>requirement</w:t>
      </w:r>
      <w:r w:rsidR="00AC3AE0" w:rsidRPr="005034FA">
        <w:rPr>
          <w:rFonts w:ascii="Arial" w:hAnsi="Arial" w:cs="Arial"/>
          <w:szCs w:val="24"/>
        </w:rPr>
        <w:t xml:space="preserve"> for safeguarding.</w:t>
      </w:r>
    </w:p>
    <w:p w14:paraId="29D12FBD" w14:textId="77777777" w:rsidR="009F4801" w:rsidRDefault="009F4801" w:rsidP="00C232E9">
      <w:pPr>
        <w:pStyle w:val="ListParagraph"/>
        <w:ind w:left="644"/>
        <w:jc w:val="both"/>
        <w:rPr>
          <w:rFonts w:ascii="Arial" w:hAnsi="Arial" w:cs="Arial"/>
          <w:szCs w:val="24"/>
        </w:rPr>
      </w:pPr>
    </w:p>
    <w:p w14:paraId="6B62C51C" w14:textId="77777777" w:rsidR="009F4801" w:rsidRDefault="009F4801" w:rsidP="00C232E9">
      <w:pPr>
        <w:pStyle w:val="ListParagraph"/>
        <w:ind w:left="644"/>
        <w:jc w:val="both"/>
        <w:rPr>
          <w:rFonts w:ascii="Arial" w:hAnsi="Arial" w:cs="Arial"/>
          <w:szCs w:val="24"/>
        </w:rPr>
      </w:pPr>
    </w:p>
    <w:p w14:paraId="3276C636" w14:textId="77777777" w:rsidR="009F4801" w:rsidRDefault="009F4801" w:rsidP="00C232E9">
      <w:pPr>
        <w:pStyle w:val="ListParagraph"/>
        <w:ind w:left="644"/>
        <w:jc w:val="both"/>
        <w:rPr>
          <w:rFonts w:ascii="Arial" w:hAnsi="Arial" w:cs="Arial"/>
          <w:szCs w:val="24"/>
        </w:rPr>
      </w:pPr>
    </w:p>
    <w:p w14:paraId="1354A6B1" w14:textId="77777777" w:rsidR="009F4801" w:rsidRDefault="009F4801" w:rsidP="00C232E9">
      <w:pPr>
        <w:pStyle w:val="ListParagraph"/>
        <w:ind w:left="644"/>
        <w:jc w:val="both"/>
        <w:rPr>
          <w:rFonts w:ascii="Arial" w:hAnsi="Arial" w:cs="Arial"/>
          <w:szCs w:val="24"/>
        </w:rPr>
      </w:pPr>
    </w:p>
    <w:p w14:paraId="53996FCC" w14:textId="77777777" w:rsidR="009F4801" w:rsidRDefault="009F4801" w:rsidP="00C232E9">
      <w:pPr>
        <w:pStyle w:val="ListParagraph"/>
        <w:ind w:left="644"/>
        <w:jc w:val="both"/>
        <w:rPr>
          <w:rFonts w:ascii="Arial" w:hAnsi="Arial" w:cs="Arial"/>
          <w:szCs w:val="24"/>
        </w:rPr>
      </w:pPr>
    </w:p>
    <w:p w14:paraId="27D6DB5B" w14:textId="77777777" w:rsidR="009F4801" w:rsidRDefault="009F4801" w:rsidP="00C232E9">
      <w:pPr>
        <w:pStyle w:val="ListParagraph"/>
        <w:ind w:left="644"/>
        <w:jc w:val="both"/>
        <w:rPr>
          <w:rFonts w:ascii="Arial" w:hAnsi="Arial" w:cs="Arial"/>
          <w:szCs w:val="24"/>
        </w:rPr>
      </w:pPr>
    </w:p>
    <w:p w14:paraId="2BC5C8B0" w14:textId="77777777" w:rsidR="009F4801" w:rsidRDefault="009F4801" w:rsidP="00C232E9">
      <w:pPr>
        <w:pStyle w:val="ListParagraph"/>
        <w:ind w:left="644"/>
        <w:jc w:val="both"/>
        <w:rPr>
          <w:rFonts w:ascii="Arial" w:hAnsi="Arial" w:cs="Arial"/>
          <w:szCs w:val="24"/>
        </w:rPr>
      </w:pPr>
    </w:p>
    <w:p w14:paraId="658D6411" w14:textId="77777777" w:rsidR="009F4801" w:rsidRDefault="009F4801" w:rsidP="00C232E9">
      <w:pPr>
        <w:pStyle w:val="ListParagraph"/>
        <w:ind w:left="644"/>
        <w:jc w:val="both"/>
        <w:rPr>
          <w:rFonts w:ascii="Arial" w:hAnsi="Arial" w:cs="Arial"/>
          <w:szCs w:val="24"/>
        </w:rPr>
      </w:pPr>
    </w:p>
    <w:p w14:paraId="76E2979E" w14:textId="77777777" w:rsidR="009F4801" w:rsidRDefault="009F4801" w:rsidP="00C232E9">
      <w:pPr>
        <w:pStyle w:val="ListParagraph"/>
        <w:ind w:left="644"/>
        <w:jc w:val="both"/>
        <w:rPr>
          <w:rFonts w:ascii="Arial" w:hAnsi="Arial" w:cs="Arial"/>
          <w:szCs w:val="24"/>
        </w:rPr>
      </w:pPr>
    </w:p>
    <w:p w14:paraId="3296D88E" w14:textId="77777777" w:rsidR="009F4801" w:rsidRDefault="009F4801" w:rsidP="00C232E9">
      <w:pPr>
        <w:pStyle w:val="ListParagraph"/>
        <w:ind w:left="644"/>
        <w:jc w:val="both"/>
        <w:rPr>
          <w:rFonts w:ascii="Arial" w:hAnsi="Arial" w:cs="Arial"/>
          <w:szCs w:val="24"/>
        </w:rPr>
      </w:pPr>
    </w:p>
    <w:p w14:paraId="46702F56" w14:textId="6A7DB8E8" w:rsidR="009F4801" w:rsidRPr="005034FA" w:rsidRDefault="009F4801" w:rsidP="00C232E9">
      <w:pPr>
        <w:pStyle w:val="ListParagraph"/>
        <w:ind w:left="644"/>
        <w:jc w:val="both"/>
        <w:rPr>
          <w:rFonts w:ascii="Arial" w:hAnsi="Arial" w:cs="Arial"/>
          <w:szCs w:val="24"/>
        </w:rPr>
      </w:pPr>
      <w:r>
        <w:rPr>
          <w:rFonts w:ascii="Arial" w:hAnsi="Arial" w:cs="Arial"/>
          <w:szCs w:val="24"/>
        </w:rPr>
        <w:t>youngperspolicy051223</w:t>
      </w:r>
    </w:p>
    <w:p w14:paraId="03D1A732" w14:textId="77777777" w:rsidR="00B4300A" w:rsidRPr="005034FA" w:rsidRDefault="00B4300A" w:rsidP="00982E41">
      <w:pPr>
        <w:rPr>
          <w:rFonts w:ascii="Arial" w:hAnsi="Arial" w:cs="Arial"/>
          <w:szCs w:val="24"/>
        </w:rPr>
      </w:pPr>
    </w:p>
    <w:p w14:paraId="5152FC39" w14:textId="77777777" w:rsidR="00817E42" w:rsidRPr="005034FA" w:rsidRDefault="00817E42" w:rsidP="00C232E9">
      <w:pPr>
        <w:pStyle w:val="ListParagraph"/>
        <w:ind w:left="644"/>
        <w:rPr>
          <w:rFonts w:ascii="Arial" w:hAnsi="Arial" w:cs="Arial"/>
          <w:szCs w:val="24"/>
        </w:rPr>
      </w:pPr>
    </w:p>
    <w:p w14:paraId="2A10542C" w14:textId="77777777" w:rsidR="005F292F" w:rsidRPr="005034FA" w:rsidRDefault="005F292F">
      <w:pPr>
        <w:rPr>
          <w:szCs w:val="24"/>
        </w:rPr>
      </w:pPr>
    </w:p>
    <w:p w14:paraId="100A28AE" w14:textId="77777777" w:rsidR="005F292F" w:rsidRPr="005034FA" w:rsidRDefault="005F292F">
      <w:pPr>
        <w:rPr>
          <w:szCs w:val="24"/>
        </w:rPr>
      </w:pPr>
    </w:p>
    <w:sectPr w:rsidR="005F292F" w:rsidRPr="005034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6EDC" w14:textId="77777777" w:rsidR="00C53CEA" w:rsidRDefault="00C53CEA" w:rsidP="001256E4">
      <w:pPr>
        <w:spacing w:after="0" w:line="240" w:lineRule="auto"/>
      </w:pPr>
      <w:r>
        <w:separator/>
      </w:r>
    </w:p>
  </w:endnote>
  <w:endnote w:type="continuationSeparator" w:id="0">
    <w:p w14:paraId="69D2665D" w14:textId="77777777" w:rsidR="00C53CEA" w:rsidRDefault="00C53CEA" w:rsidP="0012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C958" w14:textId="77777777" w:rsidR="001256E4" w:rsidRDefault="0012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369573"/>
      <w:docPartObj>
        <w:docPartGallery w:val="Page Numbers (Bottom of Page)"/>
        <w:docPartUnique/>
      </w:docPartObj>
    </w:sdtPr>
    <w:sdtContent>
      <w:p w14:paraId="5EA8EDEC" w14:textId="3EF079FA" w:rsidR="001256E4" w:rsidRDefault="001256E4">
        <w:pPr>
          <w:pStyle w:val="Footer"/>
          <w:jc w:val="center"/>
        </w:pPr>
        <w:r>
          <w:fldChar w:fldCharType="begin"/>
        </w:r>
        <w:r>
          <w:instrText>PAGE   \* MERGEFORMAT</w:instrText>
        </w:r>
        <w:r>
          <w:fldChar w:fldCharType="separate"/>
        </w:r>
        <w:r>
          <w:t>2</w:t>
        </w:r>
        <w:r>
          <w:fldChar w:fldCharType="end"/>
        </w:r>
      </w:p>
    </w:sdtContent>
  </w:sdt>
  <w:p w14:paraId="3641E373" w14:textId="77777777" w:rsidR="001256E4" w:rsidRDefault="00125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6420" w14:textId="77777777" w:rsidR="001256E4" w:rsidRDefault="0012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DF56" w14:textId="77777777" w:rsidR="00C53CEA" w:rsidRDefault="00C53CEA" w:rsidP="001256E4">
      <w:pPr>
        <w:spacing w:after="0" w:line="240" w:lineRule="auto"/>
      </w:pPr>
      <w:r>
        <w:separator/>
      </w:r>
    </w:p>
  </w:footnote>
  <w:footnote w:type="continuationSeparator" w:id="0">
    <w:p w14:paraId="0C3C54D9" w14:textId="77777777" w:rsidR="00C53CEA" w:rsidRDefault="00C53CEA" w:rsidP="0012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8A94" w14:textId="77777777" w:rsidR="001256E4" w:rsidRDefault="00125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AA67" w14:textId="77777777" w:rsidR="001256E4" w:rsidRDefault="00125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0814" w14:textId="77777777" w:rsidR="001256E4" w:rsidRDefault="00125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381D"/>
    <w:multiLevelType w:val="hybridMultilevel"/>
    <w:tmpl w:val="EB7EC61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1CF5E8C"/>
    <w:multiLevelType w:val="hybridMultilevel"/>
    <w:tmpl w:val="C9AC6C06"/>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15:restartNumberingAfterBreak="0">
    <w:nsid w:val="42E875D5"/>
    <w:multiLevelType w:val="hybridMultilevel"/>
    <w:tmpl w:val="65DC4248"/>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78BC21C2"/>
    <w:multiLevelType w:val="hybridMultilevel"/>
    <w:tmpl w:val="942E125E"/>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16cid:durableId="1808015165">
    <w:abstractNumId w:val="0"/>
  </w:num>
  <w:num w:numId="2" w16cid:durableId="1364206291">
    <w:abstractNumId w:val="1"/>
  </w:num>
  <w:num w:numId="3" w16cid:durableId="1933776443">
    <w:abstractNumId w:val="3"/>
  </w:num>
  <w:num w:numId="4" w16cid:durableId="126615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2F"/>
    <w:rsid w:val="00075002"/>
    <w:rsid w:val="00080458"/>
    <w:rsid w:val="00083F67"/>
    <w:rsid w:val="000B245B"/>
    <w:rsid w:val="000E7140"/>
    <w:rsid w:val="001256E4"/>
    <w:rsid w:val="00125CB4"/>
    <w:rsid w:val="00134ED5"/>
    <w:rsid w:val="00185742"/>
    <w:rsid w:val="0020038F"/>
    <w:rsid w:val="00242018"/>
    <w:rsid w:val="00254E4C"/>
    <w:rsid w:val="00255B8F"/>
    <w:rsid w:val="003220DA"/>
    <w:rsid w:val="0036038B"/>
    <w:rsid w:val="00392AE5"/>
    <w:rsid w:val="003B7B6A"/>
    <w:rsid w:val="003E422E"/>
    <w:rsid w:val="00406DB0"/>
    <w:rsid w:val="004856E2"/>
    <w:rsid w:val="00486915"/>
    <w:rsid w:val="004A540E"/>
    <w:rsid w:val="005034FA"/>
    <w:rsid w:val="00525F83"/>
    <w:rsid w:val="005F292F"/>
    <w:rsid w:val="00601694"/>
    <w:rsid w:val="00677E97"/>
    <w:rsid w:val="0069046F"/>
    <w:rsid w:val="006B66FD"/>
    <w:rsid w:val="006C64DA"/>
    <w:rsid w:val="0077588A"/>
    <w:rsid w:val="00782F6F"/>
    <w:rsid w:val="00784E9D"/>
    <w:rsid w:val="007B034D"/>
    <w:rsid w:val="007B4A0F"/>
    <w:rsid w:val="00817E42"/>
    <w:rsid w:val="00982E41"/>
    <w:rsid w:val="009C5FE5"/>
    <w:rsid w:val="009E2197"/>
    <w:rsid w:val="009F4801"/>
    <w:rsid w:val="00AC3AE0"/>
    <w:rsid w:val="00AF1A0B"/>
    <w:rsid w:val="00B4300A"/>
    <w:rsid w:val="00B82BDE"/>
    <w:rsid w:val="00C01DAC"/>
    <w:rsid w:val="00C232E9"/>
    <w:rsid w:val="00C24D4E"/>
    <w:rsid w:val="00C53CEA"/>
    <w:rsid w:val="00C80B20"/>
    <w:rsid w:val="00C93835"/>
    <w:rsid w:val="00CE5017"/>
    <w:rsid w:val="00D36D95"/>
    <w:rsid w:val="00D42500"/>
    <w:rsid w:val="00E56593"/>
    <w:rsid w:val="00E92669"/>
    <w:rsid w:val="00FA066D"/>
    <w:rsid w:val="00FB2FB0"/>
    <w:rsid w:val="00FC1606"/>
    <w:rsid w:val="00FC404C"/>
    <w:rsid w:val="00FE291A"/>
    <w:rsid w:val="00FE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9157"/>
  <w15:chartTrackingRefBased/>
  <w15:docId w15:val="{C0947E05-66AB-47EB-AD21-53F41470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9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2F"/>
    <w:pPr>
      <w:ind w:left="720"/>
      <w:contextualSpacing/>
    </w:pPr>
  </w:style>
  <w:style w:type="paragraph" w:styleId="Header">
    <w:name w:val="header"/>
    <w:basedOn w:val="Normal"/>
    <w:link w:val="HeaderChar"/>
    <w:uiPriority w:val="99"/>
    <w:unhideWhenUsed/>
    <w:rsid w:val="00125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6E4"/>
    <w:rPr>
      <w:rFonts w:ascii="Times New Roman" w:hAnsi="Times New Roman"/>
      <w:sz w:val="24"/>
    </w:rPr>
  </w:style>
  <w:style w:type="paragraph" w:styleId="Footer">
    <w:name w:val="footer"/>
    <w:basedOn w:val="Normal"/>
    <w:link w:val="FooterChar"/>
    <w:uiPriority w:val="99"/>
    <w:unhideWhenUsed/>
    <w:rsid w:val="00125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6E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0D55-511E-4AF8-BE2D-F0D13236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Martin</dc:creator>
  <cp:keywords/>
  <dc:description/>
  <cp:lastModifiedBy>Ted Lewis</cp:lastModifiedBy>
  <cp:revision>51</cp:revision>
  <cp:lastPrinted>2023-12-08T13:21:00Z</cp:lastPrinted>
  <dcterms:created xsi:type="dcterms:W3CDTF">2023-10-21T07:14:00Z</dcterms:created>
  <dcterms:modified xsi:type="dcterms:W3CDTF">2023-12-20T15:47:00Z</dcterms:modified>
</cp:coreProperties>
</file>