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FF" w:rsidRPr="00FD51FF" w:rsidRDefault="00FD51FF" w:rsidP="00FD51FF">
      <w:pPr>
        <w:jc w:val="right"/>
        <w:rPr>
          <w:rFonts w:cstheme="minorHAnsi"/>
          <w:sz w:val="26"/>
          <w:szCs w:val="26"/>
        </w:rPr>
      </w:pPr>
      <w:bookmarkStart w:id="0" w:name="_Hlk115637897"/>
      <w:r>
        <w:rPr>
          <w:noProof/>
        </w:rPr>
        <w:drawing>
          <wp:anchor distT="0" distB="0" distL="114300" distR="114300" simplePos="0" relativeHeight="251660288" behindDoc="0" locked="0" layoutInCell="1" allowOverlap="1" wp14:anchorId="0226ED00" wp14:editId="2A5EC2D0">
            <wp:simplePos x="0" y="0"/>
            <wp:positionH relativeFrom="column">
              <wp:posOffset>559533</wp:posOffset>
            </wp:positionH>
            <wp:positionV relativeFrom="paragraph">
              <wp:posOffset>-161539</wp:posOffset>
            </wp:positionV>
            <wp:extent cx="1076601" cy="1125416"/>
            <wp:effectExtent l="0" t="0" r="9525" b="0"/>
            <wp:wrapNone/>
            <wp:docPr id="1" name="Image 1" descr="L'École, Fournitures Scol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École, Fournitures Scola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01" cy="112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594">
        <w:rPr>
          <w:rFonts w:cstheme="minorHAnsi"/>
          <w:sz w:val="26"/>
          <w:szCs w:val="26"/>
        </w:rPr>
        <w:t xml:space="preserve">Nom : </w:t>
      </w:r>
      <w:r w:rsidRPr="00FD51FF">
        <w:rPr>
          <w:rFonts w:cstheme="minorHAnsi"/>
          <w:sz w:val="26"/>
          <w:szCs w:val="26"/>
          <w:u w:val="single"/>
        </w:rPr>
        <w:t>_____________________</w:t>
      </w:r>
    </w:p>
    <w:p w:rsidR="00FD51FF" w:rsidRPr="00D92594" w:rsidRDefault="00FD51FF" w:rsidP="00FD51FF">
      <w:pPr>
        <w:jc w:val="right"/>
        <w:rPr>
          <w:rFonts w:cstheme="minorHAnsi"/>
          <w:sz w:val="26"/>
          <w:szCs w:val="26"/>
        </w:rPr>
      </w:pPr>
    </w:p>
    <w:p w:rsidR="00FD51FF" w:rsidRPr="00C11B76" w:rsidRDefault="00FD51FF" w:rsidP="00FD51FF">
      <w:pPr>
        <w:jc w:val="center"/>
        <w:rPr>
          <w:rFonts w:cstheme="minorHAnsi"/>
          <w:b/>
          <w:sz w:val="32"/>
          <w:szCs w:val="32"/>
        </w:rPr>
      </w:pPr>
      <w:r w:rsidRPr="00C11B76">
        <w:rPr>
          <w:rFonts w:cstheme="minorHAnsi"/>
          <w:b/>
          <w:sz w:val="32"/>
          <w:szCs w:val="32"/>
        </w:rPr>
        <w:t>La fraction irréductible</w:t>
      </w:r>
    </w:p>
    <w:p w:rsidR="00FD51FF" w:rsidRDefault="00FD51FF" w:rsidP="00FD51FF">
      <w:pPr>
        <w:rPr>
          <w:rFonts w:cstheme="minorHAnsi"/>
          <w:sz w:val="26"/>
          <w:szCs w:val="26"/>
        </w:rPr>
      </w:pPr>
      <w:r w:rsidRPr="00EE6DD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466AE" wp14:editId="76C3E5C4">
                <wp:simplePos x="0" y="0"/>
                <wp:positionH relativeFrom="column">
                  <wp:posOffset>29210</wp:posOffset>
                </wp:positionH>
                <wp:positionV relativeFrom="paragraph">
                  <wp:posOffset>148590</wp:posOffset>
                </wp:positionV>
                <wp:extent cx="5883965" cy="1083365"/>
                <wp:effectExtent l="0" t="0" r="21590" b="215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08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FF" w:rsidRPr="00D92594" w:rsidRDefault="00FD51FF" w:rsidP="00FD51FF">
                            <w:pPr>
                              <w:spacing w:line="36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U</w:t>
                            </w:r>
                            <w:r w:rsidRPr="00D9259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ne fraction irréductible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c</w:t>
                            </w:r>
                            <w:r w:rsidRPr="00D9259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’est une fraction dont le numérateur et le dénominateur n’ont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9259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aucun diviseur en commun différent de 1.</w:t>
                            </w:r>
                          </w:p>
                          <w:p w:rsidR="00FD51FF" w:rsidRPr="00D92594" w:rsidRDefault="00FD51FF" w:rsidP="00FD51FF">
                            <w:pPr>
                              <w:spacing w:line="36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D9259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C’est une fraction qui ne peut plus être simplifiée.</w:t>
                            </w:r>
                          </w:p>
                          <w:p w:rsidR="00FD51FF" w:rsidRDefault="00FD51FF" w:rsidP="00FD51FF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FD51FF" w:rsidRDefault="00FD51FF" w:rsidP="00FD51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466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.3pt;margin-top:11.7pt;width:463.3pt;height:8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">
                <v:textbox>
                  <w:txbxContent>
                    <w:p w:rsidR="00FD51FF" w:rsidRPr="00D92594" w:rsidRDefault="00FD51FF" w:rsidP="00FD51FF">
                      <w:pPr>
                        <w:spacing w:line="36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U</w:t>
                      </w:r>
                      <w:r w:rsidRPr="00D92594">
                        <w:rPr>
                          <w:rFonts w:cstheme="minorHAnsi"/>
                          <w:sz w:val="26"/>
                          <w:szCs w:val="26"/>
                        </w:rPr>
                        <w:t>ne fraction irréductible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, c</w:t>
                      </w:r>
                      <w:r w:rsidRPr="00D92594">
                        <w:rPr>
                          <w:rFonts w:cstheme="minorHAnsi"/>
                          <w:sz w:val="26"/>
                          <w:szCs w:val="26"/>
                        </w:rPr>
                        <w:t>’est une fraction dont le numérateur et le dénominateur n’ont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D92594">
                        <w:rPr>
                          <w:rFonts w:cstheme="minorHAnsi"/>
                          <w:sz w:val="26"/>
                          <w:szCs w:val="26"/>
                        </w:rPr>
                        <w:t>aucun diviseur en commun différent de 1.</w:t>
                      </w:r>
                    </w:p>
                    <w:p w:rsidR="00FD51FF" w:rsidRPr="00D92594" w:rsidRDefault="00FD51FF" w:rsidP="00FD51FF">
                      <w:pPr>
                        <w:spacing w:line="36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D92594">
                        <w:rPr>
                          <w:rFonts w:cstheme="minorHAnsi"/>
                          <w:sz w:val="26"/>
                          <w:szCs w:val="26"/>
                        </w:rPr>
                        <w:t>C’est une fraction qui ne peut plus être simplifiée.</w:t>
                      </w:r>
                    </w:p>
                    <w:p w:rsidR="00FD51FF" w:rsidRDefault="00FD51FF" w:rsidP="00FD51FF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FD51FF" w:rsidRDefault="00FD51FF" w:rsidP="00FD51FF"/>
                  </w:txbxContent>
                </v:textbox>
              </v:shape>
            </w:pict>
          </mc:Fallback>
        </mc:AlternateContent>
      </w:r>
    </w:p>
    <w:p w:rsidR="00FD51FF" w:rsidRDefault="00FD51FF" w:rsidP="00FD51FF">
      <w:pPr>
        <w:rPr>
          <w:rFonts w:cstheme="minorHAnsi"/>
          <w:sz w:val="26"/>
          <w:szCs w:val="26"/>
        </w:rPr>
      </w:pPr>
    </w:p>
    <w:p w:rsidR="00FD51FF" w:rsidRDefault="00FD51FF" w:rsidP="00FD51FF">
      <w:pPr>
        <w:rPr>
          <w:rFonts w:cstheme="minorHAnsi"/>
          <w:sz w:val="26"/>
          <w:szCs w:val="26"/>
        </w:rPr>
      </w:pPr>
    </w:p>
    <w:p w:rsidR="00FD51FF" w:rsidRDefault="00FD51FF" w:rsidP="00FD51FF">
      <w:pPr>
        <w:rPr>
          <w:rFonts w:cstheme="minorHAnsi"/>
          <w:sz w:val="26"/>
          <w:szCs w:val="26"/>
        </w:rPr>
      </w:pPr>
    </w:p>
    <w:p w:rsidR="00FD51FF" w:rsidRPr="00D92594" w:rsidRDefault="00FD51FF" w:rsidP="00FD51FF">
      <w:pPr>
        <w:rPr>
          <w:rFonts w:cstheme="minorHAnsi"/>
          <w:sz w:val="26"/>
          <w:szCs w:val="26"/>
        </w:rPr>
      </w:pPr>
    </w:p>
    <w:p w:rsidR="00FD51FF" w:rsidRPr="00C11B76" w:rsidRDefault="00FD51FF" w:rsidP="00FD51FF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  <w:u w:val="single"/>
        </w:rPr>
      </w:pPr>
      <w:r w:rsidRPr="00C11B76">
        <w:rPr>
          <w:rFonts w:cstheme="minorHAnsi"/>
          <w:sz w:val="26"/>
          <w:szCs w:val="26"/>
          <w:u w:val="single"/>
        </w:rPr>
        <w:t>Simplifie les fractions suivantes pour obtenir des fractions irréductibles.</w:t>
      </w:r>
    </w:p>
    <w:p w:rsidR="00FD51FF" w:rsidRDefault="00FD51FF" w:rsidP="00FD51FF">
      <w:pPr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FD51FF" w:rsidTr="00FE7BFF"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:rsidR="00FD51FF" w:rsidRPr="003003E9" w:rsidRDefault="00FD51FF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</m:oMath>
          </w:p>
        </w:tc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FD51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:rsidR="00FD51FF" w:rsidRPr="003003E9" w:rsidRDefault="00FD51FF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</w:tr>
      <w:tr w:rsidR="00FD51FF" w:rsidTr="00FE7BFF"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:rsidR="00FD51FF" w:rsidRPr="003003E9" w:rsidRDefault="00FD51FF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52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FD51FF" w:rsidTr="00FE7BFF">
        <w:tc>
          <w:tcPr>
            <w:tcW w:w="2349" w:type="dxa"/>
          </w:tcPr>
          <w:p w:rsidR="00FD51FF" w:rsidRPr="003003E9" w:rsidRDefault="00FD51FF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:rsidR="00FD51FF" w:rsidRPr="003003E9" w:rsidRDefault="00FD51FF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50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:rsidR="00FD51FF" w:rsidRPr="003003E9" w:rsidRDefault="00FD51FF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60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  <w:bookmarkStart w:id="1" w:name="_GoBack"/>
        <w:bookmarkEnd w:id="1"/>
      </w:tr>
      <w:tr w:rsidR="00FD51FF" w:rsidTr="00FE7BFF">
        <w:tc>
          <w:tcPr>
            <w:tcW w:w="2349" w:type="dxa"/>
          </w:tcPr>
          <w:p w:rsidR="00FD51FF" w:rsidRPr="003003E9" w:rsidRDefault="00FD51FF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:rsidR="00FD51FF" w:rsidRPr="003003E9" w:rsidRDefault="00FD51FF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72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FD51FF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:rsidR="00FD51FF" w:rsidRPr="003003E9" w:rsidRDefault="00FD51FF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54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FD51FF" w:rsidTr="00FE7BFF"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:rsidR="00FD51FF" w:rsidRPr="003003E9" w:rsidRDefault="00FD51FF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12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</m:oMath>
          </w:p>
        </w:tc>
      </w:tr>
      <w:tr w:rsidR="00FD51FF" w:rsidTr="00FE7BFF"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FD51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2349" w:type="dxa"/>
          </w:tcPr>
          <w:p w:rsidR="00FD51FF" w:rsidRPr="003003E9" w:rsidRDefault="00FD51FF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72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:rsidR="00FD51FF" w:rsidRPr="003003E9" w:rsidRDefault="00BE0266" w:rsidP="00FD51FF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FD51FF">
              <w:rPr>
                <w:sz w:val="28"/>
                <w:szCs w:val="28"/>
              </w:rPr>
              <w:t xml:space="preserve"> </w:t>
            </w:r>
          </w:p>
        </w:tc>
      </w:tr>
    </w:tbl>
    <w:p w:rsidR="00FD51FF" w:rsidRPr="000B7950" w:rsidRDefault="00FD51FF" w:rsidP="00FD51FF"/>
    <w:bookmarkEnd w:id="0"/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266" w:rsidRDefault="00BE0266" w:rsidP="00FD51FF">
      <w:pPr>
        <w:spacing w:after="0" w:line="240" w:lineRule="auto"/>
      </w:pPr>
      <w:r>
        <w:separator/>
      </w:r>
    </w:p>
  </w:endnote>
  <w:endnote w:type="continuationSeparator" w:id="0">
    <w:p w:rsidR="00BE0266" w:rsidRDefault="00BE0266" w:rsidP="00FD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594" w:rsidRDefault="00705823">
    <w:pPr>
      <w:pStyle w:val="Pieddepage"/>
    </w:pPr>
    <w:r>
      <w:t>Marie de Charlevoix</w:t>
    </w:r>
  </w:p>
  <w:p w:rsidR="00D92594" w:rsidRDefault="00BE02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266" w:rsidRDefault="00BE0266" w:rsidP="00FD51FF">
      <w:pPr>
        <w:spacing w:after="0" w:line="240" w:lineRule="auto"/>
      </w:pPr>
      <w:r>
        <w:separator/>
      </w:r>
    </w:p>
  </w:footnote>
  <w:footnote w:type="continuationSeparator" w:id="0">
    <w:p w:rsidR="00BE0266" w:rsidRDefault="00BE0266" w:rsidP="00FD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594" w:rsidRDefault="00705823">
    <w:pPr>
      <w:pStyle w:val="En-tte"/>
    </w:pPr>
    <w:r>
      <w:t>Exercices cours 32 La fraction irréductible</w:t>
    </w:r>
  </w:p>
  <w:p w:rsidR="00D92594" w:rsidRDefault="00BE02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D6D5F"/>
    <w:multiLevelType w:val="hybridMultilevel"/>
    <w:tmpl w:val="7F6A6AA8"/>
    <w:lvl w:ilvl="0" w:tplc="B77CBB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5BF9"/>
    <w:multiLevelType w:val="hybridMultilevel"/>
    <w:tmpl w:val="AFC25908"/>
    <w:lvl w:ilvl="0" w:tplc="7592D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FF"/>
    <w:rsid w:val="00705823"/>
    <w:rsid w:val="00BE0266"/>
    <w:rsid w:val="00DA3EC2"/>
    <w:rsid w:val="00FB5792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F0FC"/>
  <w15:chartTrackingRefBased/>
  <w15:docId w15:val="{47899D95-E4FC-40E2-9179-F473CAE2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1FF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51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1FF"/>
  </w:style>
  <w:style w:type="paragraph" w:styleId="Pieddepage">
    <w:name w:val="footer"/>
    <w:basedOn w:val="Normal"/>
    <w:link w:val="PieddepageCar"/>
    <w:uiPriority w:val="99"/>
    <w:unhideWhenUsed/>
    <w:rsid w:val="00FD51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1FF"/>
  </w:style>
  <w:style w:type="paragraph" w:styleId="Paragraphedeliste">
    <w:name w:val="List Paragraph"/>
    <w:basedOn w:val="Normal"/>
    <w:uiPriority w:val="34"/>
    <w:qFormat/>
    <w:rsid w:val="00FD51FF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D51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2022-10-03T01:38:00Z</dcterms:created>
  <dcterms:modified xsi:type="dcterms:W3CDTF">2022-10-12T13:30:00Z</dcterms:modified>
</cp:coreProperties>
</file>