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D12B5B" w14:textId="77777777" w:rsidR="00607D9E" w:rsidRDefault="00000000">
      <w:pPr>
        <w:spacing w:after="20"/>
        <w:rPr>
          <w:rFonts w:hint="eastAsia"/>
        </w:rPr>
      </w:pPr>
      <w:r>
        <w:rPr>
          <w:rFonts w:eastAsia="Carlito"/>
          <w:b/>
          <w:color w:val="17324D"/>
          <w:sz w:val="50"/>
        </w:rPr>
        <w:t>NIKO GRAPSAS</w:t>
      </w:r>
    </w:p>
    <w:p w14:paraId="2F7924E4" w14:textId="77777777" w:rsidR="00607D9E" w:rsidRDefault="00000000">
      <w:pPr>
        <w:spacing w:after="60"/>
        <w:rPr>
          <w:rFonts w:hint="eastAsia"/>
        </w:rPr>
      </w:pPr>
      <w:r>
        <w:rPr>
          <w:rFonts w:eastAsia="Carlito"/>
          <w:b/>
          <w:color w:val="2A6573"/>
          <w:sz w:val="23"/>
        </w:rPr>
        <w:t>EXPLORATION GEOPHYSICIST  |  EXPLORATION SYSTEMS ARCHITECT</w:t>
      </w:r>
    </w:p>
    <w:p w14:paraId="558908C8" w14:textId="77777777" w:rsidR="00607D9E" w:rsidRDefault="00000000">
      <w:pPr>
        <w:spacing w:after="40"/>
        <w:rPr>
          <w:rFonts w:hint="eastAsia"/>
        </w:rPr>
      </w:pPr>
      <w:r>
        <w:rPr>
          <w:rFonts w:eastAsia="Carlito"/>
          <w:color w:val="596775"/>
          <w:sz w:val="19"/>
        </w:rPr>
        <w:t>Geophysics · Planetary Exploration · Evidence Sufficiency · Governed Geophysical Autonomy</w:t>
      </w:r>
    </w:p>
    <w:p w14:paraId="0522C537" w14:textId="77777777" w:rsidR="00607D9E" w:rsidRDefault="00000000">
      <w:pPr>
        <w:spacing w:after="0"/>
        <w:rPr>
          <w:rFonts w:hint="eastAsia"/>
        </w:rPr>
      </w:pPr>
      <w:r>
        <w:rPr>
          <w:rFonts w:eastAsia="Carlito"/>
          <w:sz w:val="17"/>
        </w:rPr>
        <w:t>Boston / New York  |  Dual U.S.-E.U. citizen (Greece)  |  nikograpsas.com  |  LinkedIn  |  sustainableexploration.earth</w:t>
      </w:r>
    </w:p>
    <w:p w14:paraId="21F47951" w14:textId="77777777" w:rsidR="00607D9E" w:rsidRDefault="00000000">
      <w:pPr>
        <w:pStyle w:val="SESection"/>
        <w:keepNext/>
        <w:spacing w:before="220" w:after="80"/>
        <w:rPr>
          <w:rFonts w:hint="eastAsia"/>
        </w:rPr>
      </w:pPr>
      <w:r>
        <w:rPr>
          <w:rFonts w:eastAsia="Carlito"/>
          <w:b/>
          <w:color w:val="2A6573"/>
          <w:sz w:val="18"/>
        </w:rPr>
        <w:t>RESEARCH PROFILE</w:t>
      </w:r>
    </w:p>
    <w:p w14:paraId="3ADEE3F4" w14:textId="77777777" w:rsidR="00607D9E" w:rsidRDefault="00000000">
      <w:pPr>
        <w:pStyle w:val="SEBody"/>
        <w:spacing w:after="90" w:line="254" w:lineRule="auto"/>
        <w:rPr>
          <w:rFonts w:hint="eastAsia"/>
        </w:rPr>
      </w:pPr>
      <w:r>
        <w:rPr>
          <w:rFonts w:eastAsia="Carlito"/>
          <w:color w:val="17212B"/>
          <w:sz w:val="18"/>
        </w:rPr>
        <w:t>Exploration geophysicist and systems architect developing research on how incomplete, non-unique, and self-altering physical evidence should govern the next exploration action. The program connects geophysical inference, evidence sufficiency, adaptive measurement, disturbance, reversibility, and commitment across subsurface, marine, and planetary environments. Current work extends this architecture into From Perception to Permission, a research program for governed geophysical autonomy in which GEAE serves as a proposed evidence-conditioned authority kernel rather than an operational autonomy controller.</w:t>
      </w:r>
    </w:p>
    <w:tbl>
      <w:tblPr>
        <w:tblW w:w="0" w:type="auto"/>
        <w:jc w:val="center"/>
        <w:tblLayout w:type="fixed"/>
        <w:tblLook w:val="04A0" w:firstRow="1" w:lastRow="0" w:firstColumn="1" w:lastColumn="0" w:noHBand="0" w:noVBand="1"/>
      </w:tblPr>
      <w:tblGrid>
        <w:gridCol w:w="10224"/>
      </w:tblGrid>
      <w:tr w:rsidR="00607D9E" w14:paraId="11E94034" w14:textId="77777777">
        <w:trPr>
          <w:jc w:val="center"/>
        </w:trPr>
        <w:tc>
          <w:tcPr>
            <w:tcW w:w="10224" w:type="dxa"/>
            <w:tcBorders>
              <w:top w:val="nil"/>
              <w:left w:val="single" w:sz="18" w:space="0" w:color="2A6573"/>
              <w:bottom w:val="nil"/>
              <w:right w:val="nil"/>
            </w:tcBorders>
            <w:shd w:val="clear" w:color="auto" w:fill="F5F7F8"/>
            <w:tcMar>
              <w:top w:w="110" w:type="dxa"/>
              <w:left w:w="140" w:type="dxa"/>
              <w:bottom w:w="110" w:type="dxa"/>
              <w:right w:w="140" w:type="dxa"/>
            </w:tcMar>
          </w:tcPr>
          <w:p w14:paraId="13DBE514" w14:textId="77777777" w:rsidR="00607D9E" w:rsidRDefault="00000000">
            <w:pPr>
              <w:spacing w:after="40"/>
              <w:rPr>
                <w:rFonts w:hint="eastAsia"/>
              </w:rPr>
            </w:pPr>
            <w:r>
              <w:rPr>
                <w:rFonts w:eastAsia="Carlito"/>
                <w:b/>
                <w:color w:val="2A6573"/>
                <w:sz w:val="17"/>
              </w:rPr>
              <w:t>CORE RESEARCH QUESTION</w:t>
            </w:r>
          </w:p>
          <w:p w14:paraId="75EFF725" w14:textId="77777777" w:rsidR="00607D9E" w:rsidRDefault="00000000">
            <w:pPr>
              <w:spacing w:after="0" w:line="247" w:lineRule="auto"/>
              <w:rPr>
                <w:rFonts w:hint="eastAsia"/>
              </w:rPr>
            </w:pPr>
            <w:r>
              <w:rPr>
                <w:rFonts w:eastAsia="Carlito"/>
                <w:sz w:val="19"/>
              </w:rPr>
              <w:t>How should an exploration system decide what to measure next and what it is allowed to do when evidence is incomplete, multiple physical interpretations remain plausible, and verification can alter both the environment and the future decision space?</w:t>
            </w:r>
          </w:p>
        </w:tc>
      </w:tr>
    </w:tbl>
    <w:p w14:paraId="3C50C4D0" w14:textId="77777777" w:rsidR="00607D9E" w:rsidRDefault="00000000">
      <w:pPr>
        <w:pStyle w:val="SESection"/>
        <w:keepNext/>
        <w:spacing w:before="220" w:after="80"/>
        <w:rPr>
          <w:rFonts w:hint="eastAsia"/>
        </w:rPr>
      </w:pPr>
      <w:r>
        <w:rPr>
          <w:rFonts w:eastAsia="Carlito"/>
          <w:b/>
          <w:color w:val="2A6573"/>
          <w:sz w:val="18"/>
        </w:rPr>
        <w:t>PRIMARY RESEARCH THEMES</w:t>
      </w:r>
    </w:p>
    <w:p w14:paraId="019B22B4" w14:textId="77777777" w:rsidR="00607D9E" w:rsidRDefault="00000000">
      <w:pPr>
        <w:pStyle w:val="SEBullet"/>
        <w:spacing w:after="28" w:line="245" w:lineRule="auto"/>
        <w:ind w:left="259" w:hanging="173"/>
        <w:rPr>
          <w:rFonts w:hint="eastAsia"/>
        </w:rPr>
      </w:pPr>
      <w:r>
        <w:rPr>
          <w:rFonts w:eastAsia="Carlito"/>
          <w:b/>
          <w:color w:val="2A6573"/>
          <w:sz w:val="19"/>
        </w:rPr>
        <w:t xml:space="preserve">• </w:t>
      </w:r>
      <w:r>
        <w:rPr>
          <w:rFonts w:eastAsia="Carlito"/>
          <w:color w:val="17212B"/>
          <w:sz w:val="19"/>
        </w:rPr>
        <w:t>Exploration progression under sparse and indirect observation.</w:t>
      </w:r>
    </w:p>
    <w:p w14:paraId="378EFD47" w14:textId="77777777" w:rsidR="00607D9E" w:rsidRDefault="00000000">
      <w:pPr>
        <w:pStyle w:val="SEBullet"/>
        <w:spacing w:after="28" w:line="245" w:lineRule="auto"/>
        <w:ind w:left="259" w:hanging="173"/>
        <w:rPr>
          <w:rFonts w:hint="eastAsia"/>
        </w:rPr>
      </w:pPr>
      <w:r>
        <w:rPr>
          <w:rFonts w:eastAsia="Carlito"/>
          <w:b/>
          <w:color w:val="2A6573"/>
          <w:sz w:val="19"/>
        </w:rPr>
        <w:t xml:space="preserve">• </w:t>
      </w:r>
      <w:r>
        <w:rPr>
          <w:rFonts w:eastAsia="Carlito"/>
          <w:color w:val="17212B"/>
          <w:sz w:val="19"/>
        </w:rPr>
        <w:t>Evidence-state sufficiency, causal inference, monitoring value, and downstream scientific consequence.</w:t>
      </w:r>
    </w:p>
    <w:p w14:paraId="039754E1" w14:textId="77777777" w:rsidR="00607D9E" w:rsidRDefault="00000000">
      <w:pPr>
        <w:pStyle w:val="SEBullet"/>
        <w:spacing w:after="28" w:line="245" w:lineRule="auto"/>
        <w:ind w:left="259" w:hanging="173"/>
        <w:rPr>
          <w:rFonts w:hint="eastAsia"/>
        </w:rPr>
      </w:pPr>
      <w:r>
        <w:rPr>
          <w:rFonts w:eastAsia="Carlito"/>
          <w:b/>
          <w:color w:val="2A6573"/>
          <w:sz w:val="19"/>
        </w:rPr>
        <w:t xml:space="preserve">• </w:t>
      </w:r>
      <w:r>
        <w:rPr>
          <w:rFonts w:eastAsia="Carlito"/>
          <w:color w:val="17212B"/>
          <w:sz w:val="19"/>
        </w:rPr>
        <w:t>Evidence-generating disturbance and self-altering observation.</w:t>
      </w:r>
    </w:p>
    <w:p w14:paraId="5F9FF0A3" w14:textId="77777777" w:rsidR="00607D9E" w:rsidRDefault="00000000">
      <w:pPr>
        <w:pStyle w:val="SEBullet"/>
        <w:spacing w:after="28" w:line="245" w:lineRule="auto"/>
        <w:ind w:left="259" w:hanging="173"/>
        <w:rPr>
          <w:rFonts w:hint="eastAsia"/>
        </w:rPr>
      </w:pPr>
      <w:r>
        <w:rPr>
          <w:rFonts w:eastAsia="Carlito"/>
          <w:b/>
          <w:color w:val="2A6573"/>
          <w:sz w:val="19"/>
        </w:rPr>
        <w:t xml:space="preserve">• </w:t>
      </w:r>
      <w:r>
        <w:rPr>
          <w:rFonts w:eastAsia="Carlito"/>
          <w:color w:val="17212B"/>
          <w:sz w:val="19"/>
        </w:rPr>
        <w:t>Architectural non-uniqueness, dependency formation, and loss of optionality.</w:t>
      </w:r>
    </w:p>
    <w:p w14:paraId="15DF8033" w14:textId="77777777" w:rsidR="00607D9E" w:rsidRDefault="00000000">
      <w:pPr>
        <w:pStyle w:val="SEBullet"/>
        <w:spacing w:after="28" w:line="245" w:lineRule="auto"/>
        <w:ind w:left="259" w:hanging="173"/>
        <w:rPr>
          <w:rFonts w:hint="eastAsia"/>
        </w:rPr>
      </w:pPr>
      <w:r>
        <w:rPr>
          <w:rFonts w:eastAsia="Carlito"/>
          <w:b/>
          <w:color w:val="2A6573"/>
          <w:sz w:val="19"/>
        </w:rPr>
        <w:t xml:space="preserve">• </w:t>
      </w:r>
      <w:r>
        <w:rPr>
          <w:rFonts w:eastAsia="Carlito"/>
          <w:color w:val="17212B"/>
          <w:sz w:val="19"/>
        </w:rPr>
        <w:t>Governed autonomy: decision-dominant uncertainty, disturbance-adjusted measurement selection, evidence-conditioned authority, and revocable action.</w:t>
      </w:r>
    </w:p>
    <w:p w14:paraId="3A45D5FB" w14:textId="77777777" w:rsidR="00607D9E" w:rsidRDefault="00000000">
      <w:pPr>
        <w:pStyle w:val="SEBullet"/>
        <w:spacing w:after="28" w:line="245" w:lineRule="auto"/>
        <w:ind w:left="259" w:hanging="173"/>
        <w:rPr>
          <w:rFonts w:hint="eastAsia"/>
        </w:rPr>
      </w:pPr>
      <w:r>
        <w:rPr>
          <w:rFonts w:eastAsia="Carlito"/>
          <w:b/>
          <w:color w:val="2A6573"/>
          <w:sz w:val="19"/>
        </w:rPr>
        <w:t xml:space="preserve">• </w:t>
      </w:r>
      <w:r>
        <w:rPr>
          <w:rFonts w:eastAsia="Carlito"/>
          <w:color w:val="17212B"/>
          <w:sz w:val="19"/>
        </w:rPr>
        <w:t>Lunar south-polar resource uncertainty and mechanism-based comparison across subsurface, marine, and planetary systems.</w:t>
      </w:r>
    </w:p>
    <w:p w14:paraId="242ED387" w14:textId="77777777" w:rsidR="00607D9E" w:rsidRDefault="00000000">
      <w:pPr>
        <w:pStyle w:val="SESection"/>
        <w:keepNext/>
        <w:spacing w:before="220" w:after="80"/>
        <w:rPr>
          <w:rFonts w:hint="eastAsia"/>
        </w:rPr>
      </w:pPr>
      <w:r>
        <w:rPr>
          <w:rFonts w:eastAsia="Carlito"/>
          <w:b/>
          <w:color w:val="2A6573"/>
          <w:sz w:val="18"/>
        </w:rPr>
        <w:t>CURRENT RESEARCH PROGRAMS</w:t>
      </w:r>
    </w:p>
    <w:tbl>
      <w:tblPr>
        <w:tblW w:w="0" w:type="auto"/>
        <w:jc w:val="center"/>
        <w:tblLayout w:type="fixed"/>
        <w:tblLook w:val="04A0" w:firstRow="1" w:lastRow="0" w:firstColumn="1" w:lastColumn="0" w:noHBand="0" w:noVBand="1"/>
      </w:tblPr>
      <w:tblGrid>
        <w:gridCol w:w="2687"/>
        <w:gridCol w:w="4940"/>
        <w:gridCol w:w="2687"/>
      </w:tblGrid>
      <w:tr w:rsidR="00607D9E" w14:paraId="098A9B76" w14:textId="77777777" w:rsidTr="00DF0F31">
        <w:trPr>
          <w:trHeight w:val="408"/>
          <w:tblHeader/>
          <w:jc w:val="center"/>
        </w:trPr>
        <w:tc>
          <w:tcPr>
            <w:tcW w:w="2687" w:type="dxa"/>
            <w:shd w:val="clear" w:color="auto" w:fill="17324D"/>
            <w:tcMar>
              <w:top w:w="85" w:type="dxa"/>
              <w:left w:w="100" w:type="dxa"/>
              <w:bottom w:w="85" w:type="dxa"/>
              <w:right w:w="100" w:type="dxa"/>
            </w:tcMar>
            <w:vAlign w:val="center"/>
          </w:tcPr>
          <w:p w14:paraId="3375B79D" w14:textId="77777777" w:rsidR="00607D9E" w:rsidRDefault="00000000">
            <w:pPr>
              <w:rPr>
                <w:rFonts w:hint="eastAsia"/>
              </w:rPr>
            </w:pPr>
            <w:r>
              <w:rPr>
                <w:rFonts w:eastAsia="Carlito"/>
                <w:b/>
                <w:color w:val="FFFFFF"/>
                <w:sz w:val="16"/>
              </w:rPr>
              <w:t>PROGRAM</w:t>
            </w:r>
          </w:p>
        </w:tc>
        <w:tc>
          <w:tcPr>
            <w:tcW w:w="4940" w:type="dxa"/>
            <w:shd w:val="clear" w:color="auto" w:fill="17324D"/>
            <w:tcMar>
              <w:top w:w="85" w:type="dxa"/>
              <w:left w:w="100" w:type="dxa"/>
              <w:bottom w:w="85" w:type="dxa"/>
              <w:right w:w="100" w:type="dxa"/>
            </w:tcMar>
            <w:vAlign w:val="center"/>
          </w:tcPr>
          <w:p w14:paraId="4611C625" w14:textId="77777777" w:rsidR="00607D9E" w:rsidRDefault="00000000">
            <w:pPr>
              <w:rPr>
                <w:rFonts w:hint="eastAsia"/>
              </w:rPr>
            </w:pPr>
            <w:r>
              <w:rPr>
                <w:rFonts w:eastAsia="Carlito"/>
                <w:b/>
                <w:color w:val="FFFFFF"/>
                <w:sz w:val="16"/>
              </w:rPr>
              <w:t>RESEARCH FUNCTION</w:t>
            </w:r>
          </w:p>
        </w:tc>
        <w:tc>
          <w:tcPr>
            <w:tcW w:w="2687" w:type="dxa"/>
            <w:shd w:val="clear" w:color="auto" w:fill="17324D"/>
            <w:tcMar>
              <w:top w:w="85" w:type="dxa"/>
              <w:left w:w="100" w:type="dxa"/>
              <w:bottom w:w="85" w:type="dxa"/>
              <w:right w:w="100" w:type="dxa"/>
            </w:tcMar>
            <w:vAlign w:val="center"/>
          </w:tcPr>
          <w:p w14:paraId="32EB578D" w14:textId="77777777" w:rsidR="00607D9E" w:rsidRDefault="00000000">
            <w:pPr>
              <w:rPr>
                <w:rFonts w:hint="eastAsia"/>
              </w:rPr>
            </w:pPr>
            <w:r>
              <w:rPr>
                <w:rFonts w:eastAsia="Carlito"/>
                <w:b/>
                <w:color w:val="FFFFFF"/>
                <w:sz w:val="16"/>
              </w:rPr>
              <w:t>STATUS</w:t>
            </w:r>
          </w:p>
        </w:tc>
      </w:tr>
      <w:tr w:rsidR="00607D9E" w14:paraId="5415D454" w14:textId="77777777" w:rsidTr="00DF0F31">
        <w:trPr>
          <w:trHeight w:val="389"/>
          <w:jc w:val="center"/>
        </w:trPr>
        <w:tc>
          <w:tcPr>
            <w:tcW w:w="2687" w:type="dxa"/>
            <w:tcBorders>
              <w:bottom w:val="single" w:sz="4" w:space="0" w:color="C9D3DA"/>
            </w:tcBorders>
            <w:shd w:val="clear" w:color="auto" w:fill="FFFFFF"/>
            <w:tcMar>
              <w:top w:w="100" w:type="dxa"/>
              <w:left w:w="100" w:type="dxa"/>
              <w:bottom w:w="100" w:type="dxa"/>
              <w:right w:w="100" w:type="dxa"/>
            </w:tcMar>
            <w:vAlign w:val="center"/>
          </w:tcPr>
          <w:p w14:paraId="257AAC2D" w14:textId="77777777" w:rsidR="00607D9E" w:rsidRDefault="00000000">
            <w:pPr>
              <w:spacing w:after="0" w:line="240" w:lineRule="auto"/>
              <w:rPr>
                <w:rFonts w:hint="eastAsia"/>
              </w:rPr>
            </w:pPr>
            <w:r>
              <w:rPr>
                <w:rFonts w:eastAsia="Carlito"/>
                <w:b/>
                <w:color w:val="17324D"/>
                <w:sz w:val="17"/>
              </w:rPr>
              <w:t>Exploration Systems</w:t>
            </w:r>
          </w:p>
        </w:tc>
        <w:tc>
          <w:tcPr>
            <w:tcW w:w="4940" w:type="dxa"/>
            <w:tcBorders>
              <w:bottom w:val="single" w:sz="4" w:space="0" w:color="C9D3DA"/>
            </w:tcBorders>
            <w:shd w:val="clear" w:color="auto" w:fill="FFFFFF"/>
            <w:tcMar>
              <w:top w:w="100" w:type="dxa"/>
              <w:left w:w="100" w:type="dxa"/>
              <w:bottom w:w="100" w:type="dxa"/>
              <w:right w:w="100" w:type="dxa"/>
            </w:tcMar>
            <w:vAlign w:val="center"/>
          </w:tcPr>
          <w:p w14:paraId="6E2BF790" w14:textId="77777777" w:rsidR="00607D9E" w:rsidRDefault="00000000">
            <w:pPr>
              <w:spacing w:after="0" w:line="240" w:lineRule="auto"/>
              <w:rPr>
                <w:rFonts w:hint="eastAsia"/>
              </w:rPr>
            </w:pPr>
            <w:r>
              <w:rPr>
                <w:rFonts w:eastAsia="Carlito"/>
                <w:sz w:val="17"/>
              </w:rPr>
              <w:t>Umbrella scientific program, reference system, comparative methods, formal corpus, and research archive for exploration under persistent uncertainty.</w:t>
            </w:r>
          </w:p>
        </w:tc>
        <w:tc>
          <w:tcPr>
            <w:tcW w:w="2687" w:type="dxa"/>
            <w:tcBorders>
              <w:bottom w:val="single" w:sz="4" w:space="0" w:color="C9D3DA"/>
            </w:tcBorders>
            <w:shd w:val="clear" w:color="auto" w:fill="FFFFFF"/>
            <w:tcMar>
              <w:top w:w="100" w:type="dxa"/>
              <w:left w:w="100" w:type="dxa"/>
              <w:bottom w:w="100" w:type="dxa"/>
              <w:right w:w="100" w:type="dxa"/>
            </w:tcMar>
            <w:vAlign w:val="center"/>
          </w:tcPr>
          <w:p w14:paraId="27C53883" w14:textId="77777777" w:rsidR="00607D9E" w:rsidRDefault="00000000">
            <w:pPr>
              <w:spacing w:after="0" w:line="240" w:lineRule="auto"/>
              <w:rPr>
                <w:rFonts w:hint="eastAsia"/>
              </w:rPr>
            </w:pPr>
            <w:r>
              <w:rPr>
                <w:rFonts w:eastAsia="Carlito"/>
                <w:b/>
                <w:color w:val="2A6573"/>
                <w:sz w:val="16"/>
              </w:rPr>
              <w:t>Architecture developed; empirical and external validation in progress</w:t>
            </w:r>
          </w:p>
        </w:tc>
      </w:tr>
      <w:tr w:rsidR="00607D9E" w14:paraId="528145EE" w14:textId="77777777" w:rsidTr="00DF0F31">
        <w:trPr>
          <w:trHeight w:val="389"/>
          <w:jc w:val="center"/>
        </w:trPr>
        <w:tc>
          <w:tcPr>
            <w:tcW w:w="2687" w:type="dxa"/>
            <w:tcBorders>
              <w:bottom w:val="single" w:sz="4" w:space="0" w:color="C9D3DA"/>
            </w:tcBorders>
            <w:shd w:val="clear" w:color="auto" w:fill="F5F7F8"/>
            <w:tcMar>
              <w:top w:w="100" w:type="dxa"/>
              <w:left w:w="100" w:type="dxa"/>
              <w:bottom w:w="100" w:type="dxa"/>
              <w:right w:w="100" w:type="dxa"/>
            </w:tcMar>
            <w:vAlign w:val="center"/>
          </w:tcPr>
          <w:p w14:paraId="647F7314" w14:textId="77777777" w:rsidR="00607D9E" w:rsidRDefault="00000000">
            <w:pPr>
              <w:spacing w:after="0" w:line="240" w:lineRule="auto"/>
              <w:rPr>
                <w:rFonts w:hint="eastAsia"/>
              </w:rPr>
            </w:pPr>
            <w:r>
              <w:rPr>
                <w:rFonts w:eastAsia="Carlito"/>
                <w:b/>
                <w:color w:val="17324D"/>
                <w:sz w:val="17"/>
              </w:rPr>
              <w:t>Evidence-State Sufficiency</w:t>
            </w:r>
          </w:p>
        </w:tc>
        <w:tc>
          <w:tcPr>
            <w:tcW w:w="4940" w:type="dxa"/>
            <w:tcBorders>
              <w:bottom w:val="single" w:sz="4" w:space="0" w:color="C9D3DA"/>
            </w:tcBorders>
            <w:shd w:val="clear" w:color="auto" w:fill="F5F7F8"/>
            <w:tcMar>
              <w:top w:w="100" w:type="dxa"/>
              <w:left w:w="100" w:type="dxa"/>
              <w:bottom w:w="100" w:type="dxa"/>
              <w:right w:w="100" w:type="dxa"/>
            </w:tcMar>
            <w:vAlign w:val="center"/>
          </w:tcPr>
          <w:p w14:paraId="086EBAEF" w14:textId="77777777" w:rsidR="00607D9E" w:rsidRDefault="00000000">
            <w:pPr>
              <w:spacing w:after="0" w:line="240" w:lineRule="auto"/>
              <w:rPr>
                <w:rFonts w:hint="eastAsia"/>
              </w:rPr>
            </w:pPr>
            <w:r>
              <w:rPr>
                <w:rFonts w:eastAsia="Carlito"/>
                <w:sz w:val="17"/>
              </w:rPr>
              <w:t>Probabilistic, causal, physical, statistical, and experimental architecture for action-specific evidence sufficiency.</w:t>
            </w:r>
          </w:p>
        </w:tc>
        <w:tc>
          <w:tcPr>
            <w:tcW w:w="2687" w:type="dxa"/>
            <w:tcBorders>
              <w:bottom w:val="single" w:sz="4" w:space="0" w:color="C9D3DA"/>
            </w:tcBorders>
            <w:shd w:val="clear" w:color="auto" w:fill="F5F7F8"/>
            <w:tcMar>
              <w:top w:w="100" w:type="dxa"/>
              <w:left w:w="100" w:type="dxa"/>
              <w:bottom w:w="100" w:type="dxa"/>
              <w:right w:w="100" w:type="dxa"/>
            </w:tcMar>
            <w:vAlign w:val="center"/>
          </w:tcPr>
          <w:p w14:paraId="1B060F2F" w14:textId="77777777" w:rsidR="00607D9E" w:rsidRDefault="00000000">
            <w:pPr>
              <w:spacing w:after="0" w:line="240" w:lineRule="auto"/>
              <w:rPr>
                <w:rFonts w:hint="eastAsia"/>
              </w:rPr>
            </w:pPr>
            <w:r>
              <w:rPr>
                <w:rFonts w:eastAsia="Carlito"/>
                <w:b/>
                <w:color w:val="2A6573"/>
                <w:sz w:val="16"/>
              </w:rPr>
              <w:t>Module developed; integration and proof obligations open</w:t>
            </w:r>
          </w:p>
        </w:tc>
      </w:tr>
      <w:tr w:rsidR="00607D9E" w14:paraId="31C2522E" w14:textId="77777777" w:rsidTr="00DF0F31">
        <w:trPr>
          <w:trHeight w:val="389"/>
          <w:jc w:val="center"/>
        </w:trPr>
        <w:tc>
          <w:tcPr>
            <w:tcW w:w="2687" w:type="dxa"/>
            <w:tcBorders>
              <w:bottom w:val="single" w:sz="4" w:space="0" w:color="C9D3DA"/>
            </w:tcBorders>
            <w:shd w:val="clear" w:color="auto" w:fill="FFFFFF"/>
            <w:tcMar>
              <w:top w:w="100" w:type="dxa"/>
              <w:left w:w="100" w:type="dxa"/>
              <w:bottom w:w="100" w:type="dxa"/>
              <w:right w:w="100" w:type="dxa"/>
            </w:tcMar>
            <w:vAlign w:val="center"/>
          </w:tcPr>
          <w:p w14:paraId="44649CB8" w14:textId="77777777" w:rsidR="00607D9E" w:rsidRDefault="00000000">
            <w:pPr>
              <w:spacing w:after="0" w:line="240" w:lineRule="auto"/>
              <w:rPr>
                <w:rFonts w:hint="eastAsia"/>
              </w:rPr>
            </w:pPr>
            <w:r>
              <w:rPr>
                <w:rFonts w:eastAsia="Carlito"/>
                <w:b/>
                <w:color w:val="17324D"/>
                <w:sz w:val="17"/>
              </w:rPr>
              <w:t>From Perception to Permission / GEAE</w:t>
            </w:r>
          </w:p>
        </w:tc>
        <w:tc>
          <w:tcPr>
            <w:tcW w:w="4940" w:type="dxa"/>
            <w:tcBorders>
              <w:bottom w:val="single" w:sz="4" w:space="0" w:color="C9D3DA"/>
            </w:tcBorders>
            <w:shd w:val="clear" w:color="auto" w:fill="FFFFFF"/>
            <w:tcMar>
              <w:top w:w="100" w:type="dxa"/>
              <w:left w:w="100" w:type="dxa"/>
              <w:bottom w:w="100" w:type="dxa"/>
              <w:right w:w="100" w:type="dxa"/>
            </w:tcMar>
            <w:vAlign w:val="center"/>
          </w:tcPr>
          <w:p w14:paraId="62DD0FD7" w14:textId="77777777" w:rsidR="00607D9E" w:rsidRDefault="00000000">
            <w:pPr>
              <w:spacing w:after="0" w:line="240" w:lineRule="auto"/>
              <w:rPr>
                <w:rFonts w:hint="eastAsia"/>
              </w:rPr>
            </w:pPr>
            <w:r>
              <w:rPr>
                <w:rFonts w:eastAsia="Carlito"/>
                <w:sz w:val="17"/>
              </w:rPr>
              <w:t>Flagship governed-geophysical-autonomy program. GEAE is its proposed evidence-conditioned governance and authority kernel.</w:t>
            </w:r>
          </w:p>
        </w:tc>
        <w:tc>
          <w:tcPr>
            <w:tcW w:w="2687" w:type="dxa"/>
            <w:tcBorders>
              <w:bottom w:val="single" w:sz="4" w:space="0" w:color="C9D3DA"/>
            </w:tcBorders>
            <w:shd w:val="clear" w:color="auto" w:fill="FFFFFF"/>
            <w:tcMar>
              <w:top w:w="100" w:type="dxa"/>
              <w:left w:w="100" w:type="dxa"/>
              <w:bottom w:w="100" w:type="dxa"/>
              <w:right w:w="100" w:type="dxa"/>
            </w:tcMar>
            <w:vAlign w:val="center"/>
          </w:tcPr>
          <w:p w14:paraId="55B59281" w14:textId="77777777" w:rsidR="00607D9E" w:rsidRDefault="00000000">
            <w:pPr>
              <w:spacing w:after="0" w:line="240" w:lineRule="auto"/>
              <w:rPr>
                <w:rFonts w:hint="eastAsia"/>
              </w:rPr>
            </w:pPr>
            <w:r>
              <w:rPr>
                <w:rFonts w:eastAsia="Carlito"/>
                <w:b/>
                <w:color w:val="2A6573"/>
                <w:sz w:val="16"/>
              </w:rPr>
              <w:t>Canonical research architecture; research-ready, not operationally validated</w:t>
            </w:r>
          </w:p>
        </w:tc>
      </w:tr>
      <w:tr w:rsidR="00607D9E" w14:paraId="02D30F1D" w14:textId="77777777" w:rsidTr="00DF0F31">
        <w:trPr>
          <w:trHeight w:val="623"/>
          <w:jc w:val="center"/>
        </w:trPr>
        <w:tc>
          <w:tcPr>
            <w:tcW w:w="2687" w:type="dxa"/>
          </w:tcPr>
          <w:p w14:paraId="06D77718" w14:textId="77777777" w:rsidR="00607D9E" w:rsidRDefault="00000000">
            <w:pPr>
              <w:rPr>
                <w:rFonts w:hint="eastAsia"/>
              </w:rPr>
            </w:pPr>
            <w:r>
              <w:rPr>
                <w:rFonts w:eastAsia="Carlito"/>
                <w:b/>
                <w:color w:val="17324D"/>
                <w:sz w:val="17"/>
              </w:rPr>
              <w:t>Sustainable Exploration</w:t>
            </w:r>
          </w:p>
        </w:tc>
        <w:tc>
          <w:tcPr>
            <w:tcW w:w="4940" w:type="dxa"/>
          </w:tcPr>
          <w:p w14:paraId="13009908" w14:textId="77777777" w:rsidR="00607D9E" w:rsidRDefault="00000000">
            <w:pPr>
              <w:rPr>
                <w:rFonts w:hint="eastAsia"/>
              </w:rPr>
            </w:pPr>
            <w:r>
              <w:rPr>
                <w:rFonts w:eastAsia="Carlito"/>
                <w:sz w:val="17"/>
              </w:rPr>
              <w:t>Institutional translation connecting research to consequential physical decisions and bounded decision assurance.</w:t>
            </w:r>
          </w:p>
        </w:tc>
        <w:tc>
          <w:tcPr>
            <w:tcW w:w="2687" w:type="dxa"/>
          </w:tcPr>
          <w:p w14:paraId="18FB7C0F" w14:textId="77777777" w:rsidR="00607D9E" w:rsidRDefault="00000000">
            <w:pPr>
              <w:rPr>
                <w:rFonts w:hint="eastAsia"/>
              </w:rPr>
            </w:pPr>
            <w:r>
              <w:rPr>
                <w:rFonts w:eastAsia="Carlito"/>
                <w:b/>
                <w:color w:val="2A6573"/>
                <w:sz w:val="16"/>
              </w:rPr>
              <w:t>Applied translation developing; external reliance developing</w:t>
            </w:r>
          </w:p>
        </w:tc>
      </w:tr>
    </w:tbl>
    <w:p w14:paraId="75F77FD5" w14:textId="77777777" w:rsidR="00607D9E" w:rsidRDefault="00607D9E">
      <w:pPr>
        <w:spacing w:after="0"/>
        <w:rPr>
          <w:rFonts w:hint="eastAsia"/>
        </w:rPr>
      </w:pPr>
    </w:p>
    <w:tbl>
      <w:tblPr>
        <w:tblW w:w="0" w:type="auto"/>
        <w:jc w:val="center"/>
        <w:tblLayout w:type="fixed"/>
        <w:tblLook w:val="04A0" w:firstRow="1" w:lastRow="0" w:firstColumn="1" w:lastColumn="0" w:noHBand="0" w:noVBand="1"/>
      </w:tblPr>
      <w:tblGrid>
        <w:gridCol w:w="10224"/>
      </w:tblGrid>
      <w:tr w:rsidR="00607D9E" w14:paraId="7A6FF92F" w14:textId="77777777">
        <w:trPr>
          <w:jc w:val="center"/>
        </w:trPr>
        <w:tc>
          <w:tcPr>
            <w:tcW w:w="10224" w:type="dxa"/>
            <w:tcBorders>
              <w:top w:val="nil"/>
              <w:left w:val="single" w:sz="18" w:space="0" w:color="2A6573"/>
              <w:bottom w:val="nil"/>
              <w:right w:val="nil"/>
            </w:tcBorders>
            <w:shd w:val="clear" w:color="auto" w:fill="F5F7F8"/>
            <w:tcMar>
              <w:top w:w="110" w:type="dxa"/>
              <w:left w:w="140" w:type="dxa"/>
              <w:bottom w:w="110" w:type="dxa"/>
              <w:right w:w="140" w:type="dxa"/>
            </w:tcMar>
          </w:tcPr>
          <w:p w14:paraId="32F00658" w14:textId="77777777" w:rsidR="00607D9E" w:rsidRDefault="00000000">
            <w:pPr>
              <w:spacing w:after="40"/>
              <w:rPr>
                <w:rFonts w:hint="eastAsia"/>
              </w:rPr>
            </w:pPr>
            <w:r>
              <w:rPr>
                <w:rFonts w:eastAsia="Carlito"/>
                <w:b/>
                <w:color w:val="2A6573"/>
                <w:sz w:val="17"/>
              </w:rPr>
              <w:t>RESEARCH POSTURE</w:t>
            </w:r>
          </w:p>
          <w:p w14:paraId="3D302108" w14:textId="77777777" w:rsidR="00607D9E" w:rsidRDefault="00000000">
            <w:pPr>
              <w:spacing w:after="0" w:line="247" w:lineRule="auto"/>
              <w:rPr>
                <w:rFonts w:hint="eastAsia"/>
              </w:rPr>
            </w:pPr>
            <w:r>
              <w:rPr>
                <w:rFonts w:eastAsia="Carlito"/>
                <w:sz w:val="19"/>
              </w:rPr>
              <w:t>The current corpus is a bounded research architecture. Structural development does not imply empirical adequacy, universal transfer, operational validation, field or flight qualification, certification, or autonomous reliance.</w:t>
            </w:r>
          </w:p>
        </w:tc>
      </w:tr>
    </w:tbl>
    <w:p w14:paraId="34B772A4" w14:textId="77777777" w:rsidR="00607D9E" w:rsidRDefault="00000000">
      <w:pPr>
        <w:rPr>
          <w:rFonts w:hint="eastAsia"/>
        </w:rPr>
      </w:pPr>
      <w:r>
        <w:br w:type="page"/>
      </w:r>
    </w:p>
    <w:p w14:paraId="7CB5CD13" w14:textId="77777777" w:rsidR="00607D9E" w:rsidRDefault="00000000">
      <w:pPr>
        <w:pStyle w:val="SESection"/>
        <w:keepNext/>
        <w:spacing w:before="220" w:after="80"/>
        <w:rPr>
          <w:rFonts w:hint="eastAsia"/>
        </w:rPr>
      </w:pPr>
      <w:r>
        <w:rPr>
          <w:rFonts w:eastAsia="Carlito"/>
          <w:b/>
          <w:color w:val="2A6573"/>
          <w:sz w:val="18"/>
        </w:rPr>
        <w:lastRenderedPageBreak/>
        <w:t>RESEARCH EXPERIENCE</w:t>
      </w:r>
    </w:p>
    <w:p w14:paraId="65894763" w14:textId="77777777" w:rsidR="00607D9E" w:rsidRDefault="00000000">
      <w:pPr>
        <w:pStyle w:val="SESubhead"/>
        <w:keepNext/>
        <w:spacing w:before="120" w:after="40"/>
        <w:rPr>
          <w:rFonts w:hint="eastAsia"/>
        </w:rPr>
      </w:pPr>
      <w:r>
        <w:rPr>
          <w:rFonts w:eastAsia="Carlito"/>
          <w:b/>
          <w:color w:val="17324D"/>
          <w:sz w:val="22"/>
        </w:rPr>
        <w:t>Environmental Fluid Mechanics Laboratory / Argonne National Laboratory  |  2010–2013</w:t>
      </w:r>
    </w:p>
    <w:p w14:paraId="5E8499F9" w14:textId="77777777" w:rsidR="00607D9E" w:rsidRDefault="00000000">
      <w:pPr>
        <w:pStyle w:val="SEBody"/>
        <w:spacing w:after="50" w:line="254" w:lineRule="auto"/>
        <w:rPr>
          <w:rFonts w:hint="eastAsia"/>
        </w:rPr>
      </w:pPr>
      <w:r>
        <w:rPr>
          <w:rFonts w:eastAsia="Carlito"/>
          <w:color w:val="596775"/>
          <w:sz w:val="19"/>
        </w:rPr>
        <w:t>Experimental research on multiphase flow in porous media, indirect sensing, and uncertainty under continuous operation.</w:t>
      </w:r>
    </w:p>
    <w:p w14:paraId="2013CCB6" w14:textId="77777777" w:rsidR="00607D9E" w:rsidRDefault="00000000">
      <w:pPr>
        <w:pStyle w:val="SEBullet"/>
        <w:spacing w:after="36" w:line="245" w:lineRule="auto"/>
        <w:ind w:left="259" w:hanging="173"/>
        <w:rPr>
          <w:rFonts w:hint="eastAsia"/>
        </w:rPr>
      </w:pPr>
      <w:r>
        <w:rPr>
          <w:rFonts w:eastAsia="Carlito"/>
          <w:b/>
          <w:color w:val="2A6573"/>
          <w:sz w:val="19"/>
        </w:rPr>
        <w:t xml:space="preserve">• </w:t>
      </w:r>
      <w:r>
        <w:rPr>
          <w:rFonts w:eastAsia="Carlito"/>
          <w:color w:val="17212B"/>
          <w:sz w:val="19"/>
        </w:rPr>
        <w:t>Designed experimental protocols for X-ray tomography of multiphase flow in porous media.</w:t>
      </w:r>
    </w:p>
    <w:p w14:paraId="32A12122" w14:textId="77777777" w:rsidR="00607D9E" w:rsidRDefault="00000000">
      <w:pPr>
        <w:pStyle w:val="SEBullet"/>
        <w:spacing w:after="36" w:line="245" w:lineRule="auto"/>
        <w:ind w:left="259" w:hanging="173"/>
        <w:rPr>
          <w:rFonts w:hint="eastAsia"/>
        </w:rPr>
      </w:pPr>
      <w:r>
        <w:rPr>
          <w:rFonts w:eastAsia="Carlito"/>
          <w:b/>
          <w:color w:val="2A6573"/>
          <w:sz w:val="19"/>
        </w:rPr>
        <w:t xml:space="preserve">• </w:t>
      </w:r>
      <w:r>
        <w:rPr>
          <w:rFonts w:eastAsia="Carlito"/>
          <w:color w:val="17212B"/>
          <w:sz w:val="19"/>
        </w:rPr>
        <w:t>Led on-site science operations for two 47-hour Department of Energy beam times.</w:t>
      </w:r>
    </w:p>
    <w:p w14:paraId="6A80E5F9" w14:textId="77777777" w:rsidR="00607D9E" w:rsidRDefault="00000000">
      <w:pPr>
        <w:pStyle w:val="SEBullet"/>
        <w:spacing w:after="36" w:line="245" w:lineRule="auto"/>
        <w:ind w:left="259" w:hanging="173"/>
        <w:rPr>
          <w:rFonts w:hint="eastAsia"/>
        </w:rPr>
      </w:pPr>
      <w:r>
        <w:rPr>
          <w:rFonts w:eastAsia="Carlito"/>
          <w:b/>
          <w:color w:val="2A6573"/>
          <w:sz w:val="19"/>
        </w:rPr>
        <w:t xml:space="preserve">• </w:t>
      </w:r>
      <w:r>
        <w:rPr>
          <w:rFonts w:eastAsia="Carlito"/>
          <w:color w:val="17212B"/>
          <w:sz w:val="19"/>
        </w:rPr>
        <w:t>Conducted acoustic, imaging, and signal-analysis studies of fluid-interface displacement during drying.</w:t>
      </w:r>
    </w:p>
    <w:p w14:paraId="6E036C61" w14:textId="77777777" w:rsidR="00607D9E" w:rsidRDefault="00000000">
      <w:pPr>
        <w:pStyle w:val="SEBullet"/>
        <w:spacing w:after="36" w:line="245" w:lineRule="auto"/>
        <w:ind w:left="259" w:hanging="173"/>
        <w:rPr>
          <w:rFonts w:hint="eastAsia"/>
        </w:rPr>
      </w:pPr>
      <w:r>
        <w:rPr>
          <w:rFonts w:eastAsia="Carlito"/>
          <w:b/>
          <w:color w:val="2A6573"/>
          <w:sz w:val="19"/>
        </w:rPr>
        <w:t xml:space="preserve">• </w:t>
      </w:r>
      <w:r>
        <w:rPr>
          <w:rFonts w:eastAsia="Carlito"/>
          <w:color w:val="17212B"/>
          <w:sz w:val="19"/>
        </w:rPr>
        <w:t>Managed instrumentation constraints, experimental uncertainty, and data integrity under continuous operation.</w:t>
      </w:r>
    </w:p>
    <w:p w14:paraId="1461A6CC" w14:textId="77777777" w:rsidR="00607D9E" w:rsidRDefault="00000000">
      <w:pPr>
        <w:pStyle w:val="SEBody"/>
        <w:spacing w:after="44" w:line="245" w:lineRule="auto"/>
        <w:rPr>
          <w:rFonts w:hint="eastAsia"/>
        </w:rPr>
      </w:pPr>
      <w:r>
        <w:rPr>
          <w:rFonts w:eastAsia="Carlito"/>
          <w:b/>
          <w:color w:val="2A6573"/>
          <w:sz w:val="17"/>
        </w:rPr>
        <w:t xml:space="preserve">RESEARCH EMPHASIS  </w:t>
      </w:r>
      <w:r>
        <w:rPr>
          <w:rFonts w:eastAsia="Carlito"/>
          <w:color w:val="17212B"/>
          <w:sz w:val="19"/>
        </w:rPr>
        <w:t>Subsurface heterogeneity | non-linear fluid behavior | indirect sensing | uncertainty under sparse measurement | failure-first interpretation of physical systems</w:t>
      </w:r>
    </w:p>
    <w:p w14:paraId="0148A69F" w14:textId="77777777" w:rsidR="00607D9E" w:rsidRDefault="00000000">
      <w:pPr>
        <w:pStyle w:val="SESection"/>
        <w:keepNext/>
        <w:spacing w:before="220" w:after="80"/>
        <w:rPr>
          <w:rFonts w:hint="eastAsia"/>
        </w:rPr>
      </w:pPr>
      <w:r>
        <w:rPr>
          <w:rFonts w:eastAsia="Carlito"/>
          <w:b/>
          <w:color w:val="2A6573"/>
          <w:sz w:val="18"/>
        </w:rPr>
        <w:t>EDUCATION</w:t>
      </w:r>
    </w:p>
    <w:tbl>
      <w:tblPr>
        <w:tblW w:w="0" w:type="auto"/>
        <w:jc w:val="center"/>
        <w:tblLayout w:type="fixed"/>
        <w:tblLook w:val="04A0" w:firstRow="1" w:lastRow="0" w:firstColumn="1" w:lastColumn="0" w:noHBand="0" w:noVBand="1"/>
      </w:tblPr>
      <w:tblGrid>
        <w:gridCol w:w="2952"/>
        <w:gridCol w:w="7200"/>
      </w:tblGrid>
      <w:tr w:rsidR="00607D9E" w14:paraId="023EEC80" w14:textId="77777777">
        <w:trPr>
          <w:jc w:val="center"/>
        </w:trPr>
        <w:tc>
          <w:tcPr>
            <w:tcW w:w="2952" w:type="dxa"/>
            <w:tcBorders>
              <w:bottom w:val="single" w:sz="3" w:space="0" w:color="DDE4E8"/>
            </w:tcBorders>
            <w:tcMar>
              <w:top w:w="90" w:type="dxa"/>
              <w:left w:w="0" w:type="dxa"/>
              <w:bottom w:w="90" w:type="dxa"/>
              <w:right w:w="120" w:type="dxa"/>
            </w:tcMar>
          </w:tcPr>
          <w:p w14:paraId="5B2CD250" w14:textId="77777777" w:rsidR="00607D9E" w:rsidRDefault="00000000">
            <w:pPr>
              <w:spacing w:after="0"/>
              <w:rPr>
                <w:rFonts w:hint="eastAsia"/>
              </w:rPr>
            </w:pPr>
            <w:r>
              <w:rPr>
                <w:rFonts w:eastAsia="Carlito"/>
                <w:b/>
                <w:color w:val="17324D"/>
                <w:sz w:val="18"/>
              </w:rPr>
              <w:t>Boston University  |  2009–2013</w:t>
            </w:r>
          </w:p>
        </w:tc>
        <w:tc>
          <w:tcPr>
            <w:tcW w:w="7200" w:type="dxa"/>
            <w:tcBorders>
              <w:bottom w:val="single" w:sz="3" w:space="0" w:color="DDE4E8"/>
            </w:tcBorders>
            <w:tcMar>
              <w:top w:w="90" w:type="dxa"/>
              <w:left w:w="0" w:type="dxa"/>
              <w:bottom w:w="90" w:type="dxa"/>
              <w:right w:w="120" w:type="dxa"/>
            </w:tcMar>
          </w:tcPr>
          <w:p w14:paraId="618D3BE0" w14:textId="77777777" w:rsidR="00607D9E" w:rsidRDefault="00000000">
            <w:pPr>
              <w:spacing w:after="0" w:line="247" w:lineRule="auto"/>
              <w:rPr>
                <w:rFonts w:hint="eastAsia"/>
              </w:rPr>
            </w:pPr>
            <w:r>
              <w:rPr>
                <w:rFonts w:eastAsia="Carlito"/>
                <w:sz w:val="18"/>
              </w:rPr>
              <w:t>B.S. Geophysics &amp; Planetary Science, magna cum laude. Selected honors: Class Marshal; Department of Earth &amp; Environment Book Award.</w:t>
            </w:r>
          </w:p>
        </w:tc>
      </w:tr>
      <w:tr w:rsidR="00607D9E" w14:paraId="0FF3FF28" w14:textId="77777777">
        <w:trPr>
          <w:jc w:val="center"/>
        </w:trPr>
        <w:tc>
          <w:tcPr>
            <w:tcW w:w="2952" w:type="dxa"/>
            <w:tcBorders>
              <w:bottom w:val="single" w:sz="3" w:space="0" w:color="DDE4E8"/>
            </w:tcBorders>
            <w:tcMar>
              <w:top w:w="90" w:type="dxa"/>
              <w:left w:w="0" w:type="dxa"/>
              <w:bottom w:w="90" w:type="dxa"/>
              <w:right w:w="120" w:type="dxa"/>
            </w:tcMar>
          </w:tcPr>
          <w:p w14:paraId="4303A219" w14:textId="77777777" w:rsidR="00607D9E" w:rsidRDefault="00000000">
            <w:pPr>
              <w:spacing w:after="0"/>
              <w:rPr>
                <w:rFonts w:hint="eastAsia"/>
              </w:rPr>
            </w:pPr>
            <w:r>
              <w:rPr>
                <w:rFonts w:eastAsia="Carlito"/>
                <w:b/>
                <w:color w:val="17324D"/>
                <w:sz w:val="18"/>
              </w:rPr>
              <w:t>Imperial College London  |  2014–2015</w:t>
            </w:r>
          </w:p>
        </w:tc>
        <w:tc>
          <w:tcPr>
            <w:tcW w:w="7200" w:type="dxa"/>
            <w:tcBorders>
              <w:bottom w:val="single" w:sz="3" w:space="0" w:color="DDE4E8"/>
            </w:tcBorders>
            <w:tcMar>
              <w:top w:w="90" w:type="dxa"/>
              <w:left w:w="0" w:type="dxa"/>
              <w:bottom w:w="90" w:type="dxa"/>
              <w:right w:w="120" w:type="dxa"/>
            </w:tcMar>
          </w:tcPr>
          <w:p w14:paraId="7D6E6A61" w14:textId="77777777" w:rsidR="00607D9E" w:rsidRDefault="00000000">
            <w:pPr>
              <w:spacing w:after="0" w:line="247" w:lineRule="auto"/>
              <w:rPr>
                <w:rFonts w:hint="eastAsia"/>
              </w:rPr>
            </w:pPr>
            <w:r>
              <w:rPr>
                <w:rFonts w:eastAsia="Carlito"/>
                <w:sz w:val="18"/>
              </w:rPr>
              <w:t>M.Sc. Sustainable Energy Futures. Energy systems engineering, infrastructure planning, economics, policy, and innovation.</w:t>
            </w:r>
          </w:p>
        </w:tc>
      </w:tr>
    </w:tbl>
    <w:p w14:paraId="1E905502" w14:textId="77777777" w:rsidR="00607D9E" w:rsidRDefault="00000000">
      <w:pPr>
        <w:pStyle w:val="SESection"/>
        <w:keepNext/>
        <w:spacing w:before="220" w:after="80"/>
        <w:rPr>
          <w:rFonts w:hint="eastAsia"/>
        </w:rPr>
      </w:pPr>
      <w:r>
        <w:rPr>
          <w:rFonts w:eastAsia="Carlito"/>
          <w:b/>
          <w:color w:val="2A6573"/>
          <w:sz w:val="18"/>
        </w:rPr>
        <w:t>PEER-REVIEWED PUBLICATION</w:t>
      </w:r>
    </w:p>
    <w:p w14:paraId="2219FF67" w14:textId="77777777" w:rsidR="00607D9E" w:rsidRDefault="00000000">
      <w:pPr>
        <w:pStyle w:val="SEBody"/>
        <w:spacing w:after="80" w:line="250" w:lineRule="auto"/>
        <w:rPr>
          <w:rFonts w:hint="eastAsia"/>
        </w:rPr>
      </w:pPr>
      <w:r>
        <w:rPr>
          <w:rFonts w:eastAsia="Carlito"/>
          <w:b/>
          <w:color w:val="17212B"/>
          <w:sz w:val="19"/>
        </w:rPr>
        <w:t xml:space="preserve">Grapsas, N. &amp; Shokri, N. (2014). </w:t>
      </w:r>
      <w:r>
        <w:rPr>
          <w:rFonts w:eastAsia="Carlito"/>
          <w:i/>
          <w:color w:val="17212B"/>
          <w:sz w:val="19"/>
        </w:rPr>
        <w:t xml:space="preserve">Acoustic characteristics of fluid interface displacement in drying porous media. </w:t>
      </w:r>
      <w:r>
        <w:rPr>
          <w:rFonts w:eastAsia="Carlito"/>
          <w:color w:val="17212B"/>
          <w:sz w:val="19"/>
        </w:rPr>
        <w:t>International Journal of Multiphase Flow, 62, 30–36. https://doi.org/10.1016/j.ijmultiphaseflow.2014.01.011</w:t>
      </w:r>
    </w:p>
    <w:p w14:paraId="5A67C571" w14:textId="77777777" w:rsidR="00607D9E" w:rsidRDefault="00000000">
      <w:pPr>
        <w:pStyle w:val="SESection"/>
        <w:keepNext/>
        <w:spacing w:before="220" w:after="80"/>
        <w:rPr>
          <w:rFonts w:hint="eastAsia"/>
        </w:rPr>
      </w:pPr>
      <w:r>
        <w:rPr>
          <w:rFonts w:eastAsia="Carlito"/>
          <w:b/>
          <w:color w:val="2A6573"/>
          <w:sz w:val="18"/>
        </w:rPr>
        <w:t>SELECTED PRESENTATIONS &amp; RESEARCH ENGAGEMENT</w:t>
      </w:r>
    </w:p>
    <w:tbl>
      <w:tblPr>
        <w:tblW w:w="0" w:type="auto"/>
        <w:jc w:val="center"/>
        <w:tblLayout w:type="fixed"/>
        <w:tblLook w:val="04A0" w:firstRow="1" w:lastRow="0" w:firstColumn="1" w:lastColumn="0" w:noHBand="0" w:noVBand="1"/>
      </w:tblPr>
      <w:tblGrid>
        <w:gridCol w:w="3672"/>
        <w:gridCol w:w="6480"/>
      </w:tblGrid>
      <w:tr w:rsidR="00607D9E" w14:paraId="70C41FDB" w14:textId="77777777">
        <w:trPr>
          <w:jc w:val="center"/>
        </w:trPr>
        <w:tc>
          <w:tcPr>
            <w:tcW w:w="3672" w:type="dxa"/>
            <w:tcBorders>
              <w:bottom w:val="single" w:sz="3" w:space="0" w:color="DDE4E8"/>
            </w:tcBorders>
            <w:tcMar>
              <w:top w:w="90" w:type="dxa"/>
              <w:left w:w="0" w:type="dxa"/>
              <w:bottom w:w="90" w:type="dxa"/>
              <w:right w:w="120" w:type="dxa"/>
            </w:tcMar>
          </w:tcPr>
          <w:p w14:paraId="5A0E74A3" w14:textId="77777777" w:rsidR="00607D9E" w:rsidRDefault="00000000">
            <w:pPr>
              <w:spacing w:after="0"/>
              <w:rPr>
                <w:rFonts w:hint="eastAsia"/>
              </w:rPr>
            </w:pPr>
            <w:r>
              <w:rPr>
                <w:rFonts w:eastAsia="Carlito"/>
                <w:b/>
                <w:color w:val="17324D"/>
                <w:sz w:val="18"/>
              </w:rPr>
              <w:t>Space Resources Roundtable XXVI  |  June 2026</w:t>
            </w:r>
          </w:p>
        </w:tc>
        <w:tc>
          <w:tcPr>
            <w:tcW w:w="6480" w:type="dxa"/>
            <w:tcBorders>
              <w:bottom w:val="single" w:sz="3" w:space="0" w:color="DDE4E8"/>
            </w:tcBorders>
            <w:tcMar>
              <w:top w:w="90" w:type="dxa"/>
              <w:left w:w="0" w:type="dxa"/>
              <w:bottom w:w="90" w:type="dxa"/>
              <w:right w:w="120" w:type="dxa"/>
            </w:tcMar>
          </w:tcPr>
          <w:p w14:paraId="779D8354" w14:textId="77777777" w:rsidR="00607D9E" w:rsidRDefault="00000000">
            <w:pPr>
              <w:spacing w:after="0" w:line="247" w:lineRule="auto"/>
              <w:rPr>
                <w:rFonts w:hint="eastAsia"/>
              </w:rPr>
            </w:pPr>
            <w:r>
              <w:rPr>
                <w:rFonts w:eastAsia="Carlito"/>
                <w:sz w:val="18"/>
              </w:rPr>
              <w:t>Colorado School of Mines. Presented lunar exploration and commitment research.  STATUS: Completed.</w:t>
            </w:r>
          </w:p>
        </w:tc>
      </w:tr>
      <w:tr w:rsidR="00607D9E" w14:paraId="3A3ECA8E" w14:textId="77777777">
        <w:trPr>
          <w:jc w:val="center"/>
        </w:trPr>
        <w:tc>
          <w:tcPr>
            <w:tcW w:w="3672" w:type="dxa"/>
            <w:tcBorders>
              <w:bottom w:val="single" w:sz="3" w:space="0" w:color="DDE4E8"/>
            </w:tcBorders>
            <w:tcMar>
              <w:top w:w="90" w:type="dxa"/>
              <w:left w:w="0" w:type="dxa"/>
              <w:bottom w:w="90" w:type="dxa"/>
              <w:right w:w="120" w:type="dxa"/>
            </w:tcMar>
          </w:tcPr>
          <w:p w14:paraId="2F06F571" w14:textId="77777777" w:rsidR="00607D9E" w:rsidRDefault="00000000">
            <w:pPr>
              <w:spacing w:after="0"/>
              <w:rPr>
                <w:rFonts w:hint="eastAsia"/>
              </w:rPr>
            </w:pPr>
            <w:r>
              <w:rPr>
                <w:rFonts w:eastAsia="Carlito"/>
                <w:b/>
                <w:color w:val="17324D"/>
                <w:sz w:val="18"/>
              </w:rPr>
              <w:t>Lunar Surface Innovation Consortium-related autonomy engagement</w:t>
            </w:r>
          </w:p>
        </w:tc>
        <w:tc>
          <w:tcPr>
            <w:tcW w:w="6480" w:type="dxa"/>
            <w:tcBorders>
              <w:bottom w:val="single" w:sz="3" w:space="0" w:color="DDE4E8"/>
            </w:tcBorders>
            <w:tcMar>
              <w:top w:w="90" w:type="dxa"/>
              <w:left w:w="0" w:type="dxa"/>
              <w:bottom w:w="90" w:type="dxa"/>
              <w:right w:w="120" w:type="dxa"/>
            </w:tcMar>
          </w:tcPr>
          <w:p w14:paraId="3902C4A5" w14:textId="77777777" w:rsidR="00607D9E" w:rsidRDefault="00000000">
            <w:pPr>
              <w:spacing w:after="0" w:line="247" w:lineRule="auto"/>
              <w:rPr>
                <w:rFonts w:hint="eastAsia"/>
              </w:rPr>
            </w:pPr>
            <w:r>
              <w:rPr>
                <w:rFonts w:eastAsia="Carlito"/>
                <w:sz w:val="18"/>
              </w:rPr>
              <w:t>From Perception to Permission: governed exploration autonomy, evidence thresholds, and bounded permission.  STATUS: Invited; in development.</w:t>
            </w:r>
          </w:p>
        </w:tc>
      </w:tr>
      <w:tr w:rsidR="00607D9E" w14:paraId="095AFA03" w14:textId="77777777">
        <w:trPr>
          <w:jc w:val="center"/>
        </w:trPr>
        <w:tc>
          <w:tcPr>
            <w:tcW w:w="3672" w:type="dxa"/>
            <w:tcBorders>
              <w:bottom w:val="single" w:sz="3" w:space="0" w:color="DDE4E8"/>
            </w:tcBorders>
            <w:tcMar>
              <w:top w:w="90" w:type="dxa"/>
              <w:left w:w="0" w:type="dxa"/>
              <w:bottom w:w="90" w:type="dxa"/>
              <w:right w:w="120" w:type="dxa"/>
            </w:tcMar>
          </w:tcPr>
          <w:p w14:paraId="15ED708C" w14:textId="77777777" w:rsidR="00607D9E" w:rsidRDefault="00000000">
            <w:pPr>
              <w:spacing w:after="0"/>
              <w:rPr>
                <w:rFonts w:hint="eastAsia"/>
              </w:rPr>
            </w:pPr>
            <w:r>
              <w:rPr>
                <w:rFonts w:eastAsia="Carlito"/>
                <w:b/>
                <w:color w:val="17324D"/>
                <w:sz w:val="18"/>
              </w:rPr>
              <w:t>American Geophysical Union Fall Meeting  |  2011, 2012, 2013</w:t>
            </w:r>
          </w:p>
        </w:tc>
        <w:tc>
          <w:tcPr>
            <w:tcW w:w="6480" w:type="dxa"/>
            <w:tcBorders>
              <w:bottom w:val="single" w:sz="3" w:space="0" w:color="DDE4E8"/>
            </w:tcBorders>
            <w:tcMar>
              <w:top w:w="90" w:type="dxa"/>
              <w:left w:w="0" w:type="dxa"/>
              <w:bottom w:w="90" w:type="dxa"/>
              <w:right w:w="120" w:type="dxa"/>
            </w:tcMar>
          </w:tcPr>
          <w:p w14:paraId="51035EDC" w14:textId="77777777" w:rsidR="00607D9E" w:rsidRDefault="00000000">
            <w:pPr>
              <w:spacing w:after="0" w:line="247" w:lineRule="auto"/>
              <w:rPr>
                <w:rFonts w:hint="eastAsia"/>
              </w:rPr>
            </w:pPr>
            <w:r>
              <w:rPr>
                <w:rFonts w:eastAsia="Carlito"/>
                <w:sz w:val="18"/>
              </w:rPr>
              <w:t>Historical presentations / abstracts.  STATUS: Completed.</w:t>
            </w:r>
          </w:p>
        </w:tc>
      </w:tr>
      <w:tr w:rsidR="00607D9E" w14:paraId="532ED07E" w14:textId="77777777">
        <w:trPr>
          <w:jc w:val="center"/>
        </w:trPr>
        <w:tc>
          <w:tcPr>
            <w:tcW w:w="3672" w:type="dxa"/>
            <w:tcBorders>
              <w:bottom w:val="single" w:sz="3" w:space="0" w:color="DDE4E8"/>
            </w:tcBorders>
            <w:tcMar>
              <w:top w:w="90" w:type="dxa"/>
              <w:left w:w="0" w:type="dxa"/>
              <w:bottom w:w="90" w:type="dxa"/>
              <w:right w:w="120" w:type="dxa"/>
            </w:tcMar>
          </w:tcPr>
          <w:p w14:paraId="023601A3" w14:textId="77777777" w:rsidR="00607D9E" w:rsidRDefault="00000000">
            <w:pPr>
              <w:spacing w:after="0"/>
              <w:rPr>
                <w:rFonts w:hint="eastAsia"/>
              </w:rPr>
            </w:pPr>
            <w:r>
              <w:rPr>
                <w:rFonts w:eastAsia="Carlito"/>
                <w:b/>
                <w:color w:val="17324D"/>
                <w:sz w:val="18"/>
              </w:rPr>
              <w:t>International Conference on Porous Media  |  2013</w:t>
            </w:r>
          </w:p>
        </w:tc>
        <w:tc>
          <w:tcPr>
            <w:tcW w:w="6480" w:type="dxa"/>
            <w:tcBorders>
              <w:bottom w:val="single" w:sz="3" w:space="0" w:color="DDE4E8"/>
            </w:tcBorders>
            <w:tcMar>
              <w:top w:w="90" w:type="dxa"/>
              <w:left w:w="0" w:type="dxa"/>
              <w:bottom w:w="90" w:type="dxa"/>
              <w:right w:w="120" w:type="dxa"/>
            </w:tcMar>
          </w:tcPr>
          <w:p w14:paraId="6CE974B2" w14:textId="77777777" w:rsidR="00607D9E" w:rsidRDefault="00000000">
            <w:pPr>
              <w:spacing w:after="0" w:line="247" w:lineRule="auto"/>
              <w:rPr>
                <w:rFonts w:hint="eastAsia"/>
              </w:rPr>
            </w:pPr>
            <w:r>
              <w:rPr>
                <w:rFonts w:eastAsia="Carlito"/>
                <w:sz w:val="18"/>
              </w:rPr>
              <w:t>Historical presentation / abstract.  STATUS: Completed.</w:t>
            </w:r>
          </w:p>
        </w:tc>
      </w:tr>
      <w:tr w:rsidR="00607D9E" w14:paraId="57EBC177" w14:textId="77777777">
        <w:trPr>
          <w:jc w:val="center"/>
        </w:trPr>
        <w:tc>
          <w:tcPr>
            <w:tcW w:w="3672" w:type="dxa"/>
            <w:tcBorders>
              <w:bottom w:val="single" w:sz="3" w:space="0" w:color="DDE4E8"/>
            </w:tcBorders>
            <w:tcMar>
              <w:top w:w="90" w:type="dxa"/>
              <w:left w:w="0" w:type="dxa"/>
              <w:bottom w:w="90" w:type="dxa"/>
              <w:right w:w="120" w:type="dxa"/>
            </w:tcMar>
          </w:tcPr>
          <w:p w14:paraId="46015DE5" w14:textId="77777777" w:rsidR="00607D9E" w:rsidRDefault="00000000">
            <w:pPr>
              <w:spacing w:after="0"/>
              <w:rPr>
                <w:rFonts w:hint="eastAsia"/>
              </w:rPr>
            </w:pPr>
            <w:r>
              <w:rPr>
                <w:rFonts w:eastAsia="Carlito"/>
                <w:b/>
                <w:color w:val="17324D"/>
                <w:sz w:val="18"/>
              </w:rPr>
              <w:t>AGU-oriented Exploration Systems poster</w:t>
            </w:r>
          </w:p>
        </w:tc>
        <w:tc>
          <w:tcPr>
            <w:tcW w:w="6480" w:type="dxa"/>
            <w:tcBorders>
              <w:bottom w:val="single" w:sz="3" w:space="0" w:color="DDE4E8"/>
            </w:tcBorders>
            <w:tcMar>
              <w:top w:w="90" w:type="dxa"/>
              <w:left w:w="0" w:type="dxa"/>
              <w:bottom w:w="90" w:type="dxa"/>
              <w:right w:w="120" w:type="dxa"/>
            </w:tcMar>
          </w:tcPr>
          <w:p w14:paraId="3D7BF827" w14:textId="77777777" w:rsidR="00607D9E" w:rsidRDefault="00000000">
            <w:pPr>
              <w:spacing w:after="0" w:line="247" w:lineRule="auto"/>
              <w:rPr>
                <w:rFonts w:hint="eastAsia"/>
              </w:rPr>
            </w:pPr>
            <w:r>
              <w:rPr>
                <w:rFonts w:eastAsia="Carlito"/>
                <w:sz w:val="18"/>
              </w:rPr>
              <w:t>Current research communication.  STATUS: In development; not represented as submitted or accepted.</w:t>
            </w:r>
          </w:p>
        </w:tc>
      </w:tr>
    </w:tbl>
    <w:p w14:paraId="0A69CF25" w14:textId="77777777" w:rsidR="00607D9E" w:rsidRDefault="00000000">
      <w:pPr>
        <w:pStyle w:val="SESection"/>
        <w:keepNext/>
        <w:spacing w:before="220" w:after="80"/>
        <w:rPr>
          <w:rFonts w:hint="eastAsia"/>
        </w:rPr>
      </w:pPr>
      <w:r>
        <w:rPr>
          <w:rFonts w:eastAsia="Carlito"/>
          <w:b/>
          <w:color w:val="2A6573"/>
          <w:sz w:val="18"/>
        </w:rPr>
        <w:t>PUBLIC RESEARCH COMMUNICATION</w:t>
      </w:r>
    </w:p>
    <w:p w14:paraId="183C7AE9" w14:textId="77777777" w:rsidR="00607D9E" w:rsidRDefault="00000000">
      <w:pPr>
        <w:pStyle w:val="SEBody"/>
        <w:spacing w:after="0" w:line="254" w:lineRule="auto"/>
        <w:rPr>
          <w:rFonts w:hint="eastAsia"/>
        </w:rPr>
      </w:pPr>
      <w:r>
        <w:rPr>
          <w:rFonts w:eastAsia="Carlito"/>
          <w:color w:val="17212B"/>
          <w:sz w:val="18"/>
        </w:rPr>
        <w:t>Decision Boundaries series: ongoing cross-domain communication on evidence, infrastructure, autonomy, and commitment. From Perception to Permission materials translate governed-autonomy research for technical audiences. Public communication is treated as translation and question-generation, not peer review.</w:t>
      </w:r>
    </w:p>
    <w:p w14:paraId="63440686" w14:textId="77777777" w:rsidR="00607D9E" w:rsidRDefault="00000000">
      <w:pPr>
        <w:rPr>
          <w:rFonts w:hint="eastAsia"/>
        </w:rPr>
      </w:pPr>
      <w:r>
        <w:br w:type="page"/>
      </w:r>
    </w:p>
    <w:p w14:paraId="43BB2044" w14:textId="77777777" w:rsidR="00607D9E" w:rsidRDefault="00000000">
      <w:pPr>
        <w:pStyle w:val="SESection"/>
        <w:keepNext/>
        <w:spacing w:before="220" w:after="80"/>
        <w:rPr>
          <w:rFonts w:hint="eastAsia"/>
        </w:rPr>
      </w:pPr>
      <w:r>
        <w:rPr>
          <w:rFonts w:eastAsia="Carlito"/>
          <w:b/>
          <w:color w:val="2A6573"/>
          <w:sz w:val="18"/>
        </w:rPr>
        <w:lastRenderedPageBreak/>
        <w:t>SELECTED RESEARCH ARCHITECTURE &amp; WORKS</w:t>
      </w:r>
    </w:p>
    <w:p w14:paraId="7CD1A585" w14:textId="77777777" w:rsidR="00607D9E" w:rsidRDefault="00000000">
      <w:pPr>
        <w:pStyle w:val="SESubhead"/>
        <w:keepNext/>
        <w:spacing w:before="110" w:after="30"/>
        <w:rPr>
          <w:rFonts w:hint="eastAsia"/>
        </w:rPr>
      </w:pPr>
      <w:r>
        <w:rPr>
          <w:rFonts w:eastAsia="Carlito"/>
          <w:b/>
          <w:color w:val="17324D"/>
          <w:sz w:val="21"/>
        </w:rPr>
        <w:t>Exploration Systems Under Persistent Uncertainty</w:t>
      </w:r>
    </w:p>
    <w:p w14:paraId="11C7D0D6" w14:textId="77777777" w:rsidR="00607D9E" w:rsidRDefault="00000000">
      <w:pPr>
        <w:pStyle w:val="SEBody"/>
        <w:spacing w:after="30" w:line="245" w:lineRule="auto"/>
        <w:rPr>
          <w:rFonts w:hint="eastAsia"/>
        </w:rPr>
      </w:pPr>
      <w:r>
        <w:rPr>
          <w:rFonts w:eastAsia="Carlito"/>
          <w:color w:val="17212B"/>
          <w:sz w:val="18"/>
        </w:rPr>
        <w:t>Defines the scientific object, thesis, research questions, constructs, comparative methods, lunar forcing case, and research archive for exploration systems under persistent uncertainty.</w:t>
      </w:r>
    </w:p>
    <w:p w14:paraId="39A35C69" w14:textId="77777777" w:rsidR="00607D9E" w:rsidRDefault="00000000">
      <w:pPr>
        <w:pStyle w:val="SEBody"/>
        <w:spacing w:after="68"/>
        <w:rPr>
          <w:rFonts w:hint="eastAsia"/>
        </w:rPr>
      </w:pPr>
      <w:r>
        <w:rPr>
          <w:rFonts w:eastAsia="Carlito"/>
          <w:b/>
          <w:color w:val="2A6573"/>
          <w:sz w:val="16"/>
        </w:rPr>
        <w:t xml:space="preserve">STATUS  </w:t>
      </w:r>
      <w:r>
        <w:rPr>
          <w:rFonts w:eastAsia="Carlito"/>
          <w:color w:val="596775"/>
          <w:sz w:val="17"/>
        </w:rPr>
        <w:t>Developed research architecture; empirical and external validation in progress.</w:t>
      </w:r>
    </w:p>
    <w:p w14:paraId="4B1D0A9A" w14:textId="77777777" w:rsidR="00607D9E" w:rsidRDefault="00000000">
      <w:pPr>
        <w:pStyle w:val="SESubhead"/>
        <w:keepNext/>
        <w:spacing w:before="110" w:after="30"/>
        <w:rPr>
          <w:rFonts w:hint="eastAsia"/>
        </w:rPr>
      </w:pPr>
      <w:r>
        <w:rPr>
          <w:rFonts w:eastAsia="Carlito"/>
          <w:b/>
          <w:color w:val="17324D"/>
          <w:sz w:val="21"/>
        </w:rPr>
        <w:t>Constitution, Ontology, Axiomatic &amp; Mathematical Foundations</w:t>
      </w:r>
    </w:p>
    <w:p w14:paraId="342C8359" w14:textId="77777777" w:rsidR="00607D9E" w:rsidRDefault="00000000">
      <w:pPr>
        <w:pStyle w:val="SEBody"/>
        <w:spacing w:after="30" w:line="245" w:lineRule="auto"/>
        <w:rPr>
          <w:rFonts w:hint="eastAsia"/>
        </w:rPr>
      </w:pPr>
      <w:r>
        <w:rPr>
          <w:rFonts w:eastAsia="Carlito"/>
          <w:color w:val="17212B"/>
          <w:sz w:val="18"/>
        </w:rPr>
        <w:t>Formal structural corpus defining ontology, axioms, algorithms, audit records, witnesses, and proof obligations for the research architecture.</w:t>
      </w:r>
    </w:p>
    <w:p w14:paraId="2AB7B929" w14:textId="77777777" w:rsidR="00607D9E" w:rsidRDefault="00000000">
      <w:pPr>
        <w:pStyle w:val="SEBody"/>
        <w:spacing w:after="68"/>
        <w:rPr>
          <w:rFonts w:hint="eastAsia"/>
        </w:rPr>
      </w:pPr>
      <w:r>
        <w:rPr>
          <w:rFonts w:eastAsia="Carlito"/>
          <w:b/>
          <w:color w:val="2A6573"/>
          <w:sz w:val="16"/>
        </w:rPr>
        <w:t xml:space="preserve">STATUS  </w:t>
      </w:r>
      <w:r>
        <w:rPr>
          <w:rFonts w:eastAsia="Carlito"/>
          <w:color w:val="596775"/>
          <w:sz w:val="17"/>
        </w:rPr>
        <w:t>Remediated candidate corpus.</w:t>
      </w:r>
    </w:p>
    <w:p w14:paraId="65472CD7" w14:textId="77777777" w:rsidR="00607D9E" w:rsidRDefault="00000000">
      <w:pPr>
        <w:pStyle w:val="SESubhead"/>
        <w:keepNext/>
        <w:spacing w:before="110" w:after="30"/>
        <w:rPr>
          <w:rFonts w:hint="eastAsia"/>
        </w:rPr>
      </w:pPr>
      <w:r>
        <w:rPr>
          <w:rFonts w:eastAsia="Carlito"/>
          <w:b/>
          <w:color w:val="17324D"/>
          <w:sz w:val="21"/>
        </w:rPr>
        <w:t>Evidence-State Sufficiency: Scientific Theory &amp; Mathematics</w:t>
      </w:r>
    </w:p>
    <w:p w14:paraId="769010DD" w14:textId="77777777" w:rsidR="00607D9E" w:rsidRDefault="00000000">
      <w:pPr>
        <w:pStyle w:val="SEBody"/>
        <w:spacing w:after="30" w:line="245" w:lineRule="auto"/>
        <w:rPr>
          <w:rFonts w:hint="eastAsia"/>
        </w:rPr>
      </w:pPr>
      <w:r>
        <w:rPr>
          <w:rFonts w:eastAsia="Carlito"/>
          <w:color w:val="17212B"/>
          <w:sz w:val="18"/>
        </w:rPr>
        <w:t>Specialized module spanning probability space, stochastic kernels, causal architecture, estimands, assumptions, theorem architecture, estimators, counterexamples, and confirmation gates.</w:t>
      </w:r>
    </w:p>
    <w:p w14:paraId="0FE3E98C" w14:textId="77777777" w:rsidR="00607D9E" w:rsidRDefault="00000000">
      <w:pPr>
        <w:pStyle w:val="SEBody"/>
        <w:spacing w:after="68"/>
        <w:rPr>
          <w:rFonts w:hint="eastAsia"/>
        </w:rPr>
      </w:pPr>
      <w:r>
        <w:rPr>
          <w:rFonts w:eastAsia="Carlito"/>
          <w:b/>
          <w:color w:val="2A6573"/>
          <w:sz w:val="16"/>
        </w:rPr>
        <w:t xml:space="preserve">STATUS  </w:t>
      </w:r>
      <w:r>
        <w:rPr>
          <w:rFonts w:eastAsia="Carlito"/>
          <w:color w:val="596775"/>
          <w:sz w:val="17"/>
        </w:rPr>
        <w:t>Developed specialized module; integration and proof obligations remain open.</w:t>
      </w:r>
    </w:p>
    <w:p w14:paraId="35834BB2" w14:textId="77777777" w:rsidR="00607D9E" w:rsidRDefault="00000000">
      <w:pPr>
        <w:pStyle w:val="SESubhead"/>
        <w:keepNext/>
        <w:spacing w:before="110" w:after="30"/>
        <w:rPr>
          <w:rFonts w:hint="eastAsia"/>
        </w:rPr>
      </w:pPr>
      <w:r>
        <w:rPr>
          <w:rFonts w:eastAsia="Carlito"/>
          <w:b/>
          <w:color w:val="17324D"/>
          <w:sz w:val="21"/>
        </w:rPr>
        <w:t>From Perception to Permission: Governed Geophysical Autonomy for Hidden Worlds</w:t>
      </w:r>
    </w:p>
    <w:p w14:paraId="08FBA91C" w14:textId="77777777" w:rsidR="00607D9E" w:rsidRDefault="00000000">
      <w:pPr>
        <w:pStyle w:val="SEBody"/>
        <w:spacing w:after="30" w:line="245" w:lineRule="auto"/>
        <w:rPr>
          <w:rFonts w:hint="eastAsia"/>
        </w:rPr>
      </w:pPr>
      <w:r>
        <w:rPr>
          <w:rFonts w:eastAsia="Carlito"/>
          <w:color w:val="17212B"/>
          <w:sz w:val="18"/>
        </w:rPr>
        <w:t>Flagship research program for turning incomplete, non-unique physical evidence into a bounded and revocable permission for the next exploration action in inaccessible and difficult-to-reverse environments.</w:t>
      </w:r>
    </w:p>
    <w:p w14:paraId="3993488D" w14:textId="77777777" w:rsidR="00607D9E" w:rsidRDefault="00000000">
      <w:pPr>
        <w:pStyle w:val="SEBody"/>
        <w:spacing w:after="68"/>
        <w:rPr>
          <w:rFonts w:hint="eastAsia"/>
        </w:rPr>
      </w:pPr>
      <w:r>
        <w:rPr>
          <w:rFonts w:eastAsia="Carlito"/>
          <w:b/>
          <w:color w:val="2A6573"/>
          <w:sz w:val="16"/>
        </w:rPr>
        <w:t xml:space="preserve">STATUS  </w:t>
      </w:r>
      <w:r>
        <w:rPr>
          <w:rFonts w:eastAsia="Carlito"/>
          <w:color w:val="596775"/>
          <w:sz w:val="17"/>
        </w:rPr>
        <w:t>Canonical research reference v1.1; conceptually defined and research-ready, not operationally validated or suitable for autonomous reliance.</w:t>
      </w:r>
    </w:p>
    <w:p w14:paraId="62531799" w14:textId="77777777" w:rsidR="00607D9E" w:rsidRDefault="00000000">
      <w:pPr>
        <w:pStyle w:val="SESubhead"/>
        <w:keepNext/>
        <w:spacing w:before="110" w:after="30"/>
        <w:rPr>
          <w:rFonts w:hint="eastAsia"/>
        </w:rPr>
      </w:pPr>
      <w:r>
        <w:rPr>
          <w:rFonts w:eastAsia="Carlito"/>
          <w:b/>
          <w:color w:val="17324D"/>
          <w:sz w:val="21"/>
        </w:rPr>
        <w:t>GEAE: Governed Exploration Autonomy Engine</w:t>
      </w:r>
    </w:p>
    <w:p w14:paraId="28BD2246" w14:textId="77777777" w:rsidR="00607D9E" w:rsidRDefault="00000000">
      <w:pPr>
        <w:pStyle w:val="SEBody"/>
        <w:spacing w:after="30" w:line="245" w:lineRule="auto"/>
        <w:rPr>
          <w:rFonts w:hint="eastAsia"/>
        </w:rPr>
      </w:pPr>
      <w:r>
        <w:rPr>
          <w:rFonts w:eastAsia="Carlito"/>
          <w:color w:val="17212B"/>
          <w:sz w:val="18"/>
        </w:rPr>
        <w:t>Governance and authority kernel nested within From Perception to Permission. It preserves plausible interpretations, identifies decision-dominant uncertainty, ranks disturbance-adjusted measurements, constrains delegated authority, issues Exploration Action Permits, and records post-action provenance.</w:t>
      </w:r>
    </w:p>
    <w:p w14:paraId="7AD89B29" w14:textId="77777777" w:rsidR="00607D9E" w:rsidRDefault="00000000">
      <w:pPr>
        <w:pStyle w:val="SEBody"/>
        <w:spacing w:after="68"/>
        <w:rPr>
          <w:rFonts w:hint="eastAsia"/>
        </w:rPr>
      </w:pPr>
      <w:r>
        <w:rPr>
          <w:rFonts w:eastAsia="Carlito"/>
          <w:b/>
          <w:color w:val="2A6573"/>
          <w:sz w:val="16"/>
        </w:rPr>
        <w:t xml:space="preserve">STATUS  </w:t>
      </w:r>
      <w:r>
        <w:rPr>
          <w:rFonts w:eastAsia="Carlito"/>
          <w:color w:val="596775"/>
          <w:sz w:val="17"/>
        </w:rPr>
        <w:t>Proposed / pre-validation; formal architecture and historical-replay demonstration specification developed.</w:t>
      </w:r>
    </w:p>
    <w:p w14:paraId="62C57BE3" w14:textId="77777777" w:rsidR="00607D9E" w:rsidRDefault="00000000">
      <w:pPr>
        <w:pStyle w:val="SESubhead"/>
        <w:keepNext/>
        <w:spacing w:before="110" w:after="30"/>
        <w:rPr>
          <w:rFonts w:hint="eastAsia"/>
        </w:rPr>
      </w:pPr>
      <w:r>
        <w:rPr>
          <w:rFonts w:eastAsia="Carlito"/>
          <w:b/>
          <w:color w:val="17324D"/>
          <w:sz w:val="21"/>
        </w:rPr>
        <w:t>Lunar Resource Signal to Infrastructure Commitment</w:t>
      </w:r>
    </w:p>
    <w:p w14:paraId="4D2EA761" w14:textId="77777777" w:rsidR="00607D9E" w:rsidRDefault="00000000">
      <w:pPr>
        <w:pStyle w:val="SEBody"/>
        <w:spacing w:after="30" w:line="245" w:lineRule="auto"/>
        <w:rPr>
          <w:rFonts w:hint="eastAsia"/>
        </w:rPr>
      </w:pPr>
      <w:r>
        <w:rPr>
          <w:rFonts w:eastAsia="Carlito"/>
          <w:color w:val="17212B"/>
          <w:sz w:val="18"/>
        </w:rPr>
        <w:t>Flagship lunar case connecting plausible resource states to architecture divergence, precursor-mission logic, evidence thresholds, and commitment-boundary analysis.</w:t>
      </w:r>
    </w:p>
    <w:p w14:paraId="11D80E01" w14:textId="77777777" w:rsidR="00607D9E" w:rsidRDefault="00000000">
      <w:pPr>
        <w:pStyle w:val="SEBody"/>
        <w:spacing w:after="68"/>
        <w:rPr>
          <w:rFonts w:hint="eastAsia"/>
        </w:rPr>
      </w:pPr>
      <w:r>
        <w:rPr>
          <w:rFonts w:eastAsia="Carlito"/>
          <w:b/>
          <w:color w:val="2A6573"/>
          <w:sz w:val="16"/>
        </w:rPr>
        <w:t xml:space="preserve">STATUS  </w:t>
      </w:r>
      <w:r>
        <w:rPr>
          <w:rFonts w:eastAsia="Carlito"/>
          <w:color w:val="596775"/>
          <w:sz w:val="17"/>
        </w:rPr>
        <w:t>Flagship representative research case.</w:t>
      </w:r>
    </w:p>
    <w:p w14:paraId="289E0712" w14:textId="77777777" w:rsidR="00607D9E" w:rsidRDefault="00000000">
      <w:pPr>
        <w:pStyle w:val="SESubhead"/>
        <w:keepNext/>
        <w:spacing w:before="110" w:after="30"/>
        <w:rPr>
          <w:rFonts w:hint="eastAsia"/>
        </w:rPr>
      </w:pPr>
      <w:r>
        <w:rPr>
          <w:rFonts w:eastAsia="Carlito"/>
          <w:b/>
          <w:color w:val="17324D"/>
          <w:sz w:val="21"/>
        </w:rPr>
        <w:t>Precursor Mission / Demonstration Defensibility Program</w:t>
      </w:r>
    </w:p>
    <w:p w14:paraId="5181F4AF" w14:textId="77777777" w:rsidR="00607D9E" w:rsidRDefault="00000000">
      <w:pPr>
        <w:pStyle w:val="SEBody"/>
        <w:spacing w:after="30" w:line="245" w:lineRule="auto"/>
        <w:rPr>
          <w:rFonts w:hint="eastAsia"/>
        </w:rPr>
      </w:pPr>
      <w:r>
        <w:rPr>
          <w:rFonts w:eastAsia="Carlito"/>
          <w:color w:val="17212B"/>
          <w:sz w:val="18"/>
        </w:rPr>
        <w:t>Method for staged evidence, failure classes, stop/reframe/escalate logic, claim controls, and reliance boundaries in precursor missions and demonstrations.</w:t>
      </w:r>
    </w:p>
    <w:p w14:paraId="0194D1CB" w14:textId="77777777" w:rsidR="00607D9E" w:rsidRDefault="00000000">
      <w:pPr>
        <w:pStyle w:val="SEBody"/>
        <w:spacing w:after="68"/>
        <w:rPr>
          <w:rFonts w:hint="eastAsia"/>
        </w:rPr>
      </w:pPr>
      <w:r>
        <w:rPr>
          <w:rFonts w:eastAsia="Carlito"/>
          <w:b/>
          <w:color w:val="2A6573"/>
          <w:sz w:val="16"/>
        </w:rPr>
        <w:t xml:space="preserve">STATUS  </w:t>
      </w:r>
      <w:r>
        <w:rPr>
          <w:rFonts w:eastAsia="Carlito"/>
          <w:color w:val="596775"/>
          <w:sz w:val="17"/>
        </w:rPr>
        <w:t>Developed method / template.</w:t>
      </w:r>
    </w:p>
    <w:p w14:paraId="454101A8" w14:textId="77777777" w:rsidR="00607D9E" w:rsidRDefault="00000000">
      <w:pPr>
        <w:pStyle w:val="SESection"/>
        <w:keepNext/>
        <w:spacing w:before="220" w:after="80"/>
        <w:rPr>
          <w:rFonts w:hint="eastAsia"/>
        </w:rPr>
      </w:pPr>
      <w:r>
        <w:rPr>
          <w:rFonts w:eastAsia="Carlito"/>
          <w:b/>
          <w:color w:val="2A6573"/>
          <w:sz w:val="18"/>
        </w:rPr>
        <w:t>FORMAL BOUNDARY</w:t>
      </w:r>
    </w:p>
    <w:p w14:paraId="69E96A9D" w14:textId="77777777" w:rsidR="00607D9E" w:rsidRDefault="00000000">
      <w:pPr>
        <w:pStyle w:val="SEBody"/>
        <w:spacing w:after="70" w:line="254" w:lineRule="auto"/>
        <w:rPr>
          <w:rFonts w:hint="eastAsia"/>
        </w:rPr>
      </w:pPr>
      <w:r>
        <w:rPr>
          <w:rFonts w:eastAsia="Carlito"/>
          <w:color w:val="17212B"/>
          <w:sz w:val="18"/>
        </w:rPr>
        <w:t>The research program distinguishes structural development from empirical and operational validation. Current artifacts are not claims of complete joint consistency, axiom independence, machine-checked proof, empirical adequacy, universal transfer, field or flight qualification, or validated autonomous control.</w:t>
      </w:r>
    </w:p>
    <w:tbl>
      <w:tblPr>
        <w:tblW w:w="0" w:type="auto"/>
        <w:jc w:val="center"/>
        <w:tblLayout w:type="fixed"/>
        <w:tblLook w:val="04A0" w:firstRow="1" w:lastRow="0" w:firstColumn="1" w:lastColumn="0" w:noHBand="0" w:noVBand="1"/>
      </w:tblPr>
      <w:tblGrid>
        <w:gridCol w:w="10224"/>
      </w:tblGrid>
      <w:tr w:rsidR="00607D9E" w14:paraId="1378E27B" w14:textId="77777777">
        <w:trPr>
          <w:jc w:val="center"/>
        </w:trPr>
        <w:tc>
          <w:tcPr>
            <w:tcW w:w="10224" w:type="dxa"/>
            <w:tcBorders>
              <w:top w:val="nil"/>
              <w:left w:val="single" w:sz="18" w:space="0" w:color="2A6573"/>
              <w:bottom w:val="nil"/>
              <w:right w:val="nil"/>
            </w:tcBorders>
            <w:shd w:val="clear" w:color="auto" w:fill="F5F7F8"/>
            <w:tcMar>
              <w:top w:w="110" w:type="dxa"/>
              <w:left w:w="140" w:type="dxa"/>
              <w:bottom w:w="110" w:type="dxa"/>
              <w:right w:w="140" w:type="dxa"/>
            </w:tcMar>
          </w:tcPr>
          <w:p w14:paraId="3AABF382" w14:textId="77777777" w:rsidR="00607D9E" w:rsidRDefault="00000000">
            <w:pPr>
              <w:spacing w:after="40"/>
              <w:rPr>
                <w:rFonts w:hint="eastAsia"/>
              </w:rPr>
            </w:pPr>
            <w:r>
              <w:rPr>
                <w:rFonts w:eastAsia="Carlito"/>
                <w:b/>
                <w:color w:val="2A6573"/>
                <w:sz w:val="17"/>
              </w:rPr>
              <w:t>RESEARCH OBJECTIVE</w:t>
            </w:r>
          </w:p>
          <w:p w14:paraId="71A9A055" w14:textId="77777777" w:rsidR="00607D9E" w:rsidRDefault="00000000">
            <w:pPr>
              <w:spacing w:after="0" w:line="247" w:lineRule="auto"/>
              <w:rPr>
                <w:rFonts w:hint="eastAsia"/>
              </w:rPr>
            </w:pPr>
            <w:r>
              <w:rPr>
                <w:rFonts w:eastAsia="Carlito"/>
                <w:sz w:val="19"/>
              </w:rPr>
              <w:t>Develop bounded, testable contributions that survive independent domain and methods review, including negative results and documented pauses when the evidence does not support further formalization.</w:t>
            </w:r>
          </w:p>
        </w:tc>
      </w:tr>
    </w:tbl>
    <w:p w14:paraId="1F953711" w14:textId="77777777" w:rsidR="00607D9E" w:rsidRDefault="00000000">
      <w:pPr>
        <w:pStyle w:val="SESection"/>
        <w:keepNext/>
        <w:spacing w:before="220" w:after="80"/>
        <w:rPr>
          <w:rFonts w:hint="eastAsia"/>
        </w:rPr>
      </w:pPr>
      <w:r>
        <w:rPr>
          <w:rFonts w:eastAsia="Carlito"/>
          <w:b/>
          <w:color w:val="2A6573"/>
          <w:sz w:val="18"/>
        </w:rPr>
        <w:t>MECHANISM OF COMPARISON</w:t>
      </w:r>
    </w:p>
    <w:p w14:paraId="3A6E4B5C" w14:textId="77777777" w:rsidR="00607D9E" w:rsidRDefault="00000000">
      <w:pPr>
        <w:pStyle w:val="SEBody"/>
        <w:spacing w:after="0" w:line="254" w:lineRule="auto"/>
        <w:rPr>
          <w:rFonts w:hint="eastAsia"/>
        </w:rPr>
      </w:pPr>
      <w:r>
        <w:rPr>
          <w:rFonts w:eastAsia="Carlito"/>
          <w:color w:val="17212B"/>
          <w:sz w:val="18"/>
        </w:rPr>
        <w:t>Comparison is organized around mechanisms rather than superficial domain similarity: how evidence is generated, how actions alter future evidence, how dependencies form, how optionality is lost, how authority changes, and how commitment conditions evolve through time.</w:t>
      </w:r>
    </w:p>
    <w:p w14:paraId="344DED80" w14:textId="77777777" w:rsidR="00607D9E" w:rsidRDefault="00000000">
      <w:pPr>
        <w:rPr>
          <w:rFonts w:hint="eastAsia"/>
        </w:rPr>
      </w:pPr>
      <w:r>
        <w:br w:type="page"/>
      </w:r>
    </w:p>
    <w:p w14:paraId="2C9D229D" w14:textId="77777777" w:rsidR="00607D9E" w:rsidRDefault="00000000">
      <w:pPr>
        <w:pStyle w:val="SESection"/>
        <w:keepNext/>
        <w:spacing w:before="220" w:after="80"/>
        <w:rPr>
          <w:rFonts w:hint="eastAsia"/>
        </w:rPr>
      </w:pPr>
      <w:r>
        <w:rPr>
          <w:rFonts w:eastAsia="Carlito"/>
          <w:b/>
          <w:color w:val="2A6573"/>
          <w:sz w:val="18"/>
        </w:rPr>
        <w:lastRenderedPageBreak/>
        <w:t>GOVERNED EXPLORATION AUTONOMY RESEARCH DIRECTION</w:t>
      </w:r>
    </w:p>
    <w:p w14:paraId="2345B615" w14:textId="77777777" w:rsidR="00607D9E" w:rsidRDefault="00000000">
      <w:pPr>
        <w:pStyle w:val="SEBody"/>
        <w:spacing w:after="30" w:line="245" w:lineRule="auto"/>
        <w:rPr>
          <w:rFonts w:hint="eastAsia"/>
        </w:rPr>
      </w:pPr>
      <w:r>
        <w:rPr>
          <w:rFonts w:eastAsia="Carlito"/>
          <w:color w:val="17212B"/>
          <w:sz w:val="18"/>
        </w:rPr>
        <w:t>From Perception to Permission is the flagship research program for governed geophysical autonomy in inaccessible, hazardous, communications-constrained, or difficult-to-reverse environments. GEAE is the proposed governance and authority kernel nested within the broader program. It does not replace sensing, inversion, navigation, planning, runtime safety assurance, field operations, institutional decision authority, or domain-specific scientific expertise.</w:t>
      </w:r>
    </w:p>
    <w:tbl>
      <w:tblPr>
        <w:tblW w:w="0" w:type="auto"/>
        <w:jc w:val="center"/>
        <w:tblLayout w:type="fixed"/>
        <w:tblLook w:val="04A0" w:firstRow="1" w:lastRow="0" w:firstColumn="1" w:lastColumn="0" w:noHBand="0" w:noVBand="1"/>
      </w:tblPr>
      <w:tblGrid>
        <w:gridCol w:w="10224"/>
      </w:tblGrid>
      <w:tr w:rsidR="00607D9E" w14:paraId="3414D500" w14:textId="77777777">
        <w:trPr>
          <w:jc w:val="center"/>
        </w:trPr>
        <w:tc>
          <w:tcPr>
            <w:tcW w:w="10224" w:type="dxa"/>
            <w:tcBorders>
              <w:top w:val="nil"/>
              <w:left w:val="single" w:sz="18" w:space="0" w:color="2A6573"/>
              <w:bottom w:val="nil"/>
              <w:right w:val="nil"/>
            </w:tcBorders>
            <w:shd w:val="clear" w:color="auto" w:fill="F5F7F8"/>
            <w:tcMar>
              <w:top w:w="110" w:type="dxa"/>
              <w:left w:w="140" w:type="dxa"/>
              <w:bottom w:w="110" w:type="dxa"/>
              <w:right w:w="140" w:type="dxa"/>
            </w:tcMar>
          </w:tcPr>
          <w:p w14:paraId="4466FD53" w14:textId="77777777" w:rsidR="00607D9E" w:rsidRDefault="00000000">
            <w:pPr>
              <w:spacing w:after="40"/>
              <w:rPr>
                <w:rFonts w:hint="eastAsia"/>
              </w:rPr>
            </w:pPr>
            <w:r>
              <w:rPr>
                <w:rFonts w:eastAsia="Carlito"/>
                <w:b/>
                <w:color w:val="2A6573"/>
                <w:sz w:val="17"/>
              </w:rPr>
              <w:t>RESEARCH HYPOTHESIS</w:t>
            </w:r>
          </w:p>
          <w:p w14:paraId="3E112DBF" w14:textId="77777777" w:rsidR="00607D9E" w:rsidRDefault="00000000">
            <w:pPr>
              <w:spacing w:after="0" w:line="247" w:lineRule="auto"/>
              <w:rPr>
                <w:rFonts w:hint="eastAsia"/>
              </w:rPr>
            </w:pPr>
            <w:r>
              <w:rPr>
                <w:rFonts w:eastAsia="Carlito"/>
                <w:sz w:val="19"/>
              </w:rPr>
              <w:t>Conditioning action authority on decision-specific evidence sufficiency will reduce premature escalation and irreversible commitment without materially degrading science return or mission efficiency.</w:t>
            </w:r>
          </w:p>
        </w:tc>
      </w:tr>
    </w:tbl>
    <w:p w14:paraId="1E3C27F6" w14:textId="77777777" w:rsidR="00607D9E" w:rsidRDefault="00000000">
      <w:pPr>
        <w:pStyle w:val="SESection"/>
        <w:keepNext/>
        <w:spacing w:before="220" w:after="80"/>
        <w:rPr>
          <w:rFonts w:hint="eastAsia"/>
        </w:rPr>
      </w:pPr>
      <w:r>
        <w:rPr>
          <w:rFonts w:eastAsia="Carlito"/>
          <w:b/>
          <w:color w:val="2A6573"/>
          <w:sz w:val="18"/>
        </w:rPr>
        <w:t>SIGNATURE RESEARCH OBJECTS</w:t>
      </w:r>
    </w:p>
    <w:p w14:paraId="04D5BC5F"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Plausible-state preservation: maintain multiple physical interpretations plus an unknown state when evidence remains non-unique.</w:t>
      </w:r>
    </w:p>
    <w:p w14:paraId="16A83E3D"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Decision-dominant uncertainty: identify the uncertainty capable of changing the next action, authority class, or commitment.</w:t>
      </w:r>
    </w:p>
    <w:p w14:paraId="4F6866B4"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Disturbance-adjusted measurement selection: prioritize decision value while accounting for cost, risk, disturbance, and commitment exposure.</w:t>
      </w:r>
    </w:p>
    <w:p w14:paraId="7338D83C"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Authority envelopes and human escalation: expand or contract autonomy only within delegated bounds.</w:t>
      </w:r>
    </w:p>
    <w:p w14:paraId="66CC759F"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Exploration Action Permit and provenance: bind one action to the evidence state, spatial and time limits, disturbance limits, approvers, revocation conditions, and post-action verification.</w:t>
      </w:r>
    </w:p>
    <w:p w14:paraId="4CC95051" w14:textId="77777777" w:rsidR="00607D9E" w:rsidRDefault="00000000">
      <w:pPr>
        <w:pStyle w:val="SESection"/>
        <w:keepNext/>
        <w:spacing w:before="220" w:after="80"/>
        <w:rPr>
          <w:rFonts w:hint="eastAsia"/>
        </w:rPr>
      </w:pPr>
      <w:r>
        <w:rPr>
          <w:rFonts w:eastAsia="Carlito"/>
          <w:b/>
          <w:color w:val="2A6573"/>
          <w:sz w:val="18"/>
        </w:rPr>
        <w:t>VALIDATION LADDER</w:t>
      </w:r>
    </w:p>
    <w:p w14:paraId="621B216B"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0. Formal specification: requirements, schemas, authority boundaries, acceptance tests, and failure models.</w:t>
      </w:r>
    </w:p>
    <w:p w14:paraId="45DDF896"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1. Historical replay: reveal survey data sequentially and compare decisions with fixed-plan, information-gain, anomaly-score, and human-expert baselines.</w:t>
      </w:r>
    </w:p>
    <w:p w14:paraId="6F966FDA"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2. Simulated closed loop: test permit enforcement, model failure, communications loss, sensor degradation, disturbance, and revocation.</w:t>
      </w:r>
    </w:p>
    <w:p w14:paraId="794DE478"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3. Shadow mode: run beside human operators without controlling actions and compare recommendations, workload, and timing.</w:t>
      </w:r>
    </w:p>
    <w:p w14:paraId="3C42CD8C"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4-5. Bounded sensing to reversible interaction: permit passive adaptation first, then recoverable deployment or low-impact contact within approved envelopes.</w:t>
      </w:r>
    </w:p>
    <w:p w14:paraId="69D45ABC"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6-7. Supervised disturbance to operational integration: require human authorization and specialist review before progressively harder-to-reverse action classes.</w:t>
      </w:r>
    </w:p>
    <w:p w14:paraId="12A9C733" w14:textId="77777777" w:rsidR="00607D9E" w:rsidRDefault="00000000">
      <w:pPr>
        <w:pStyle w:val="SESection"/>
        <w:keepNext/>
        <w:spacing w:before="220" w:after="80"/>
        <w:rPr>
          <w:rFonts w:hint="eastAsia"/>
        </w:rPr>
      </w:pPr>
      <w:r>
        <w:rPr>
          <w:rFonts w:eastAsia="Carlito"/>
          <w:b/>
          <w:color w:val="2A6573"/>
          <w:sz w:val="18"/>
        </w:rPr>
        <w:t>REFERENCE MISSION FAMILY</w:t>
      </w:r>
    </w:p>
    <w:p w14:paraId="164BAE65"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Lunar volatile anomaly: primary forcing case.</w:t>
      </w:r>
    </w:p>
    <w:p w14:paraId="706E1B60"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Distributed lunar geophysical array: geophysics sister case.</w:t>
      </w:r>
    </w:p>
    <w:p w14:paraId="4B1D250A"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Marine adaptive geophysical survey: operational proving ground.</w:t>
      </w:r>
    </w:p>
    <w:p w14:paraId="3822D184"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Geothermal and critical minerals: selected transfer domains for decision assurance research.</w:t>
      </w:r>
    </w:p>
    <w:tbl>
      <w:tblPr>
        <w:tblW w:w="0" w:type="auto"/>
        <w:jc w:val="center"/>
        <w:tblLayout w:type="fixed"/>
        <w:tblLook w:val="04A0" w:firstRow="1" w:lastRow="0" w:firstColumn="1" w:lastColumn="0" w:noHBand="0" w:noVBand="1"/>
      </w:tblPr>
      <w:tblGrid>
        <w:gridCol w:w="10224"/>
      </w:tblGrid>
      <w:tr w:rsidR="00607D9E" w14:paraId="60CA2B06" w14:textId="77777777">
        <w:trPr>
          <w:jc w:val="center"/>
        </w:trPr>
        <w:tc>
          <w:tcPr>
            <w:tcW w:w="10224" w:type="dxa"/>
            <w:tcBorders>
              <w:top w:val="nil"/>
              <w:left w:val="single" w:sz="18" w:space="0" w:color="2A6573"/>
              <w:bottom w:val="nil"/>
              <w:right w:val="nil"/>
            </w:tcBorders>
            <w:shd w:val="clear" w:color="auto" w:fill="F5F7F8"/>
            <w:tcMar>
              <w:top w:w="110" w:type="dxa"/>
              <w:left w:w="140" w:type="dxa"/>
              <w:bottom w:w="110" w:type="dxa"/>
              <w:right w:w="140" w:type="dxa"/>
            </w:tcMar>
          </w:tcPr>
          <w:p w14:paraId="2ACC8979" w14:textId="77777777" w:rsidR="00607D9E" w:rsidRDefault="00000000">
            <w:pPr>
              <w:spacing w:after="40"/>
              <w:rPr>
                <w:rFonts w:hint="eastAsia"/>
              </w:rPr>
            </w:pPr>
            <w:r>
              <w:rPr>
                <w:rFonts w:eastAsia="Carlito"/>
                <w:b/>
                <w:color w:val="2A6573"/>
                <w:sz w:val="17"/>
              </w:rPr>
              <w:t>CURRENT EXECUTION FOCUS</w:t>
            </w:r>
          </w:p>
          <w:p w14:paraId="03C2BC9B" w14:textId="77777777" w:rsidR="00607D9E" w:rsidRDefault="00000000">
            <w:pPr>
              <w:spacing w:after="0" w:line="247" w:lineRule="auto"/>
              <w:rPr>
                <w:rFonts w:hint="eastAsia"/>
              </w:rPr>
            </w:pPr>
            <w:r>
              <w:rPr>
                <w:rFonts w:eastAsia="Carlito"/>
                <w:sz w:val="19"/>
              </w:rPr>
              <w:t>Implement and test the historical-replay workbench, compare it against stated baselines, and use the evidence to decide whether the architecture should advance to simulated closed-loop and shadow-mode validation.</w:t>
            </w:r>
          </w:p>
        </w:tc>
      </w:tr>
    </w:tbl>
    <w:p w14:paraId="46E15F2B" w14:textId="77777777" w:rsidR="00607D9E" w:rsidRDefault="00000000">
      <w:pPr>
        <w:rPr>
          <w:rFonts w:hint="eastAsia"/>
        </w:rPr>
      </w:pPr>
      <w:r>
        <w:br w:type="page"/>
      </w:r>
    </w:p>
    <w:p w14:paraId="4F0CD43B" w14:textId="77777777" w:rsidR="00607D9E" w:rsidRDefault="00000000">
      <w:pPr>
        <w:pStyle w:val="SESection"/>
        <w:keepNext/>
        <w:spacing w:before="220" w:after="80"/>
        <w:rPr>
          <w:rFonts w:hint="eastAsia"/>
        </w:rPr>
      </w:pPr>
      <w:r>
        <w:rPr>
          <w:rFonts w:eastAsia="Carlito"/>
          <w:b/>
          <w:color w:val="2A6573"/>
          <w:sz w:val="18"/>
        </w:rPr>
        <w:lastRenderedPageBreak/>
        <w:t>RESEARCH &amp; ANALYTICAL METHODS</w:t>
      </w:r>
    </w:p>
    <w:p w14:paraId="3A36AC95"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Bounded system case studies and progression reconstruction.</w:t>
      </w:r>
    </w:p>
    <w:p w14:paraId="5E879F1A"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Evidence-stack and plausible-state analysis.</w:t>
      </w:r>
    </w:p>
    <w:p w14:paraId="13EF9385"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Disturbance and evidence-pathway analysis.</w:t>
      </w:r>
    </w:p>
    <w:p w14:paraId="68FB1E72"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Architecture, dependency, optionality, and reversal mapping.</w:t>
      </w:r>
    </w:p>
    <w:p w14:paraId="04CBE00C"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Commitment-condition and integrity analysis.</w:t>
      </w:r>
    </w:p>
    <w:p w14:paraId="1C5EDDAA"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Decision-dominant uncertainty, adaptive measurement, and action-permission analysis.</w:t>
      </w:r>
    </w:p>
    <w:p w14:paraId="7E6A8A29"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Structured comparison, negative transfer, and recursive learning.</w:t>
      </w:r>
    </w:p>
    <w:p w14:paraId="58434B11"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Probabilistic, causal, statistical, and experimental design for evidence-state sufficiency.</w:t>
      </w:r>
    </w:p>
    <w:p w14:paraId="28A3B4E7" w14:textId="77777777" w:rsidR="00607D9E" w:rsidRDefault="00000000">
      <w:pPr>
        <w:pStyle w:val="SESection"/>
        <w:keepNext/>
        <w:spacing w:before="220" w:after="80"/>
        <w:rPr>
          <w:rFonts w:hint="eastAsia"/>
        </w:rPr>
      </w:pPr>
      <w:r>
        <w:rPr>
          <w:rFonts w:eastAsia="Carlito"/>
          <w:b/>
          <w:color w:val="2A6573"/>
          <w:sz w:val="18"/>
        </w:rPr>
        <w:t>TECHNICAL CAPABILITY</w:t>
      </w:r>
    </w:p>
    <w:tbl>
      <w:tblPr>
        <w:tblW w:w="10038" w:type="dxa"/>
        <w:jc w:val="center"/>
        <w:tblLayout w:type="fixed"/>
        <w:tblLook w:val="04A0" w:firstRow="1" w:lastRow="0" w:firstColumn="1" w:lastColumn="0" w:noHBand="0" w:noVBand="1"/>
      </w:tblPr>
      <w:tblGrid>
        <w:gridCol w:w="4143"/>
        <w:gridCol w:w="5895"/>
      </w:tblGrid>
      <w:tr w:rsidR="00607D9E" w14:paraId="67C8FFAA" w14:textId="77777777" w:rsidTr="00FF303B">
        <w:trPr>
          <w:trHeight w:val="440"/>
          <w:jc w:val="center"/>
        </w:trPr>
        <w:tc>
          <w:tcPr>
            <w:tcW w:w="4143" w:type="dxa"/>
            <w:tcBorders>
              <w:bottom w:val="single" w:sz="3" w:space="0" w:color="DDE4E8"/>
            </w:tcBorders>
            <w:tcMar>
              <w:top w:w="90" w:type="dxa"/>
              <w:left w:w="0" w:type="dxa"/>
              <w:bottom w:w="90" w:type="dxa"/>
              <w:right w:w="120" w:type="dxa"/>
            </w:tcMar>
          </w:tcPr>
          <w:p w14:paraId="2B5FC0B6" w14:textId="77777777" w:rsidR="00607D9E" w:rsidRDefault="00000000">
            <w:pPr>
              <w:spacing w:after="0"/>
              <w:rPr>
                <w:rFonts w:hint="eastAsia"/>
              </w:rPr>
            </w:pPr>
            <w:r>
              <w:rPr>
                <w:rFonts w:eastAsia="Carlito"/>
                <w:b/>
                <w:color w:val="17324D"/>
                <w:sz w:val="18"/>
              </w:rPr>
              <w:t>Geophysics</w:t>
            </w:r>
          </w:p>
        </w:tc>
        <w:tc>
          <w:tcPr>
            <w:tcW w:w="5895" w:type="dxa"/>
            <w:tcBorders>
              <w:bottom w:val="single" w:sz="3" w:space="0" w:color="DDE4E8"/>
            </w:tcBorders>
            <w:tcMar>
              <w:top w:w="90" w:type="dxa"/>
              <w:left w:w="0" w:type="dxa"/>
              <w:bottom w:w="90" w:type="dxa"/>
              <w:right w:w="120" w:type="dxa"/>
            </w:tcMar>
          </w:tcPr>
          <w:p w14:paraId="1370C1D7" w14:textId="77777777" w:rsidR="00607D9E" w:rsidRDefault="00000000">
            <w:pPr>
              <w:spacing w:after="0" w:line="247" w:lineRule="auto"/>
              <w:rPr>
                <w:rFonts w:hint="eastAsia"/>
              </w:rPr>
            </w:pPr>
            <w:r>
              <w:rPr>
                <w:rFonts w:eastAsia="Carlito"/>
                <w:sz w:val="18"/>
              </w:rPr>
              <w:t>Subsurface reasoning, porous media, physical interpretation, indirect sensing, and experimental uncertainty.</w:t>
            </w:r>
          </w:p>
        </w:tc>
      </w:tr>
      <w:tr w:rsidR="00607D9E" w14:paraId="72248661" w14:textId="77777777" w:rsidTr="00FF303B">
        <w:trPr>
          <w:trHeight w:val="419"/>
          <w:jc w:val="center"/>
        </w:trPr>
        <w:tc>
          <w:tcPr>
            <w:tcW w:w="4143" w:type="dxa"/>
            <w:tcBorders>
              <w:bottom w:val="single" w:sz="3" w:space="0" w:color="DDE4E8"/>
            </w:tcBorders>
            <w:tcMar>
              <w:top w:w="90" w:type="dxa"/>
              <w:left w:w="0" w:type="dxa"/>
              <w:bottom w:w="90" w:type="dxa"/>
              <w:right w:w="120" w:type="dxa"/>
            </w:tcMar>
          </w:tcPr>
          <w:p w14:paraId="2504FD31" w14:textId="77777777" w:rsidR="00607D9E" w:rsidRDefault="00000000">
            <w:pPr>
              <w:spacing w:after="0"/>
              <w:rPr>
                <w:rFonts w:hint="eastAsia"/>
              </w:rPr>
            </w:pPr>
            <w:r>
              <w:rPr>
                <w:rFonts w:eastAsia="Carlito"/>
                <w:b/>
                <w:color w:val="17324D"/>
                <w:sz w:val="18"/>
              </w:rPr>
              <w:t>Geospatial / Remote Sensing</w:t>
            </w:r>
          </w:p>
        </w:tc>
        <w:tc>
          <w:tcPr>
            <w:tcW w:w="5895" w:type="dxa"/>
            <w:tcBorders>
              <w:bottom w:val="single" w:sz="3" w:space="0" w:color="DDE4E8"/>
            </w:tcBorders>
            <w:tcMar>
              <w:top w:w="90" w:type="dxa"/>
              <w:left w:w="0" w:type="dxa"/>
              <w:bottom w:w="90" w:type="dxa"/>
              <w:right w:w="120" w:type="dxa"/>
            </w:tcMar>
          </w:tcPr>
          <w:p w14:paraId="4B7211DF" w14:textId="77777777" w:rsidR="00607D9E" w:rsidRDefault="00000000">
            <w:pPr>
              <w:spacing w:after="0" w:line="247" w:lineRule="auto"/>
              <w:rPr>
                <w:rFonts w:hint="eastAsia"/>
              </w:rPr>
            </w:pPr>
            <w:r>
              <w:rPr>
                <w:rFonts w:eastAsia="Carlito"/>
                <w:sz w:val="18"/>
              </w:rPr>
              <w:t>ArcGIS Pro, QGIS, terrain analysis, remote-sensing interpretation, and FAA Part 107 operations.</w:t>
            </w:r>
          </w:p>
        </w:tc>
      </w:tr>
      <w:tr w:rsidR="00607D9E" w14:paraId="20319C7E" w14:textId="77777777" w:rsidTr="00FF303B">
        <w:trPr>
          <w:trHeight w:val="440"/>
          <w:jc w:val="center"/>
        </w:trPr>
        <w:tc>
          <w:tcPr>
            <w:tcW w:w="4143" w:type="dxa"/>
            <w:tcBorders>
              <w:bottom w:val="single" w:sz="3" w:space="0" w:color="DDE4E8"/>
            </w:tcBorders>
            <w:tcMar>
              <w:top w:w="90" w:type="dxa"/>
              <w:left w:w="0" w:type="dxa"/>
              <w:bottom w:w="90" w:type="dxa"/>
              <w:right w:w="120" w:type="dxa"/>
            </w:tcMar>
          </w:tcPr>
          <w:p w14:paraId="7E44266E" w14:textId="77777777" w:rsidR="00607D9E" w:rsidRDefault="00000000">
            <w:pPr>
              <w:spacing w:after="0"/>
              <w:rPr>
                <w:rFonts w:hint="eastAsia"/>
              </w:rPr>
            </w:pPr>
            <w:r>
              <w:rPr>
                <w:rFonts w:eastAsia="Carlito"/>
                <w:b/>
                <w:color w:val="17324D"/>
                <w:sz w:val="18"/>
              </w:rPr>
              <w:t>Computation</w:t>
            </w:r>
          </w:p>
        </w:tc>
        <w:tc>
          <w:tcPr>
            <w:tcW w:w="5895" w:type="dxa"/>
            <w:tcBorders>
              <w:bottom w:val="single" w:sz="3" w:space="0" w:color="DDE4E8"/>
            </w:tcBorders>
            <w:tcMar>
              <w:top w:w="90" w:type="dxa"/>
              <w:left w:w="0" w:type="dxa"/>
              <w:bottom w:w="90" w:type="dxa"/>
              <w:right w:w="120" w:type="dxa"/>
            </w:tcMar>
          </w:tcPr>
          <w:p w14:paraId="17833915" w14:textId="77777777" w:rsidR="00607D9E" w:rsidRDefault="00000000">
            <w:pPr>
              <w:spacing w:after="0" w:line="247" w:lineRule="auto"/>
              <w:rPr>
                <w:rFonts w:hint="eastAsia"/>
              </w:rPr>
            </w:pPr>
            <w:r>
              <w:rPr>
                <w:rFonts w:eastAsia="Carlito"/>
                <w:sz w:val="18"/>
              </w:rPr>
              <w:t>Python scientific analysis and modeling; data science and AI development; prototype and historical-replay architecture design.</w:t>
            </w:r>
          </w:p>
        </w:tc>
      </w:tr>
      <w:tr w:rsidR="00607D9E" w14:paraId="0BA74110" w14:textId="77777777" w:rsidTr="00FF303B">
        <w:trPr>
          <w:trHeight w:val="440"/>
          <w:jc w:val="center"/>
        </w:trPr>
        <w:tc>
          <w:tcPr>
            <w:tcW w:w="4143" w:type="dxa"/>
            <w:tcBorders>
              <w:bottom w:val="single" w:sz="3" w:space="0" w:color="DDE4E8"/>
            </w:tcBorders>
            <w:tcMar>
              <w:top w:w="90" w:type="dxa"/>
              <w:left w:w="0" w:type="dxa"/>
              <w:bottom w:w="90" w:type="dxa"/>
              <w:right w:w="120" w:type="dxa"/>
            </w:tcMar>
          </w:tcPr>
          <w:p w14:paraId="2A4D5AA7" w14:textId="77777777" w:rsidR="00607D9E" w:rsidRDefault="00000000">
            <w:pPr>
              <w:spacing w:after="0"/>
              <w:rPr>
                <w:rFonts w:hint="eastAsia"/>
              </w:rPr>
            </w:pPr>
            <w:r>
              <w:rPr>
                <w:rFonts w:eastAsia="Carlito"/>
                <w:b/>
                <w:color w:val="17324D"/>
                <w:sz w:val="18"/>
              </w:rPr>
              <w:t>Planetary / Field Development</w:t>
            </w:r>
          </w:p>
        </w:tc>
        <w:tc>
          <w:tcPr>
            <w:tcW w:w="5895" w:type="dxa"/>
            <w:tcBorders>
              <w:bottom w:val="single" w:sz="3" w:space="0" w:color="DDE4E8"/>
            </w:tcBorders>
            <w:tcMar>
              <w:top w:w="90" w:type="dxa"/>
              <w:left w:w="0" w:type="dxa"/>
              <w:bottom w:w="90" w:type="dxa"/>
              <w:right w:w="120" w:type="dxa"/>
            </w:tcMar>
          </w:tcPr>
          <w:p w14:paraId="749B7A14" w14:textId="77777777" w:rsidR="00607D9E" w:rsidRDefault="00000000">
            <w:pPr>
              <w:spacing w:after="0" w:line="247" w:lineRule="auto"/>
              <w:rPr>
                <w:rFonts w:hint="eastAsia"/>
              </w:rPr>
            </w:pPr>
            <w:r>
              <w:rPr>
                <w:rFonts w:eastAsia="Carlito"/>
                <w:sz w:val="18"/>
              </w:rPr>
              <w:t>Lunar regolith and volatile uncertainty, remote operations, marine and seabed analog thinking; technical-diving development remains in progress.</w:t>
            </w:r>
          </w:p>
        </w:tc>
      </w:tr>
      <w:tr w:rsidR="00607D9E" w14:paraId="3BB6F68A" w14:textId="77777777" w:rsidTr="00FF303B">
        <w:trPr>
          <w:trHeight w:val="712"/>
          <w:jc w:val="center"/>
        </w:trPr>
        <w:tc>
          <w:tcPr>
            <w:tcW w:w="4143" w:type="dxa"/>
          </w:tcPr>
          <w:p w14:paraId="2A77B697" w14:textId="77777777" w:rsidR="00607D9E" w:rsidRDefault="00000000">
            <w:pPr>
              <w:rPr>
                <w:rFonts w:hint="eastAsia"/>
              </w:rPr>
            </w:pPr>
            <w:r>
              <w:rPr>
                <w:rFonts w:eastAsia="Carlito"/>
                <w:b/>
                <w:color w:val="17324D"/>
                <w:sz w:val="18"/>
              </w:rPr>
              <w:t>Governed Autonomy / Decision Systems</w:t>
            </w:r>
          </w:p>
        </w:tc>
        <w:tc>
          <w:tcPr>
            <w:tcW w:w="5895" w:type="dxa"/>
          </w:tcPr>
          <w:p w14:paraId="4DA48609" w14:textId="77777777" w:rsidR="00607D9E" w:rsidRDefault="00000000">
            <w:pPr>
              <w:rPr>
                <w:rFonts w:hint="eastAsia"/>
              </w:rPr>
            </w:pPr>
            <w:r>
              <w:rPr>
                <w:rFonts w:eastAsia="Carlito"/>
                <w:sz w:val="18"/>
              </w:rPr>
              <w:t>Open-world interpretation, decision-dominant uncertainty, disturbance-adjusted value of information, authority envelopes, action permits, provenance, and staged validation design.</w:t>
            </w:r>
          </w:p>
        </w:tc>
      </w:tr>
    </w:tbl>
    <w:p w14:paraId="751CDBDB" w14:textId="77777777" w:rsidR="00607D9E" w:rsidRDefault="00000000">
      <w:pPr>
        <w:pStyle w:val="SESection"/>
        <w:keepNext/>
        <w:spacing w:before="220" w:after="80"/>
        <w:rPr>
          <w:rFonts w:hint="eastAsia"/>
        </w:rPr>
      </w:pPr>
      <w:r>
        <w:rPr>
          <w:rFonts w:eastAsia="Carlito"/>
          <w:b/>
          <w:color w:val="2A6573"/>
          <w:sz w:val="18"/>
        </w:rPr>
        <w:t>IMMEDIATE RESEARCH AGENDA</w:t>
      </w:r>
    </w:p>
    <w:p w14:paraId="6F2B4496" w14:textId="77777777" w:rsidR="00607D9E" w:rsidRDefault="00000000">
      <w:pPr>
        <w:pStyle w:val="SEBullet"/>
        <w:spacing w:after="46" w:line="245" w:lineRule="auto"/>
        <w:ind w:left="259" w:hanging="173"/>
        <w:rPr>
          <w:rFonts w:hint="eastAsia"/>
        </w:rPr>
      </w:pPr>
      <w:r>
        <w:rPr>
          <w:rFonts w:eastAsia="Carlito"/>
          <w:b/>
          <w:color w:val="2A6573"/>
          <w:sz w:val="19"/>
        </w:rPr>
        <w:t xml:space="preserve">• </w:t>
      </w:r>
      <w:r>
        <w:rPr>
          <w:rFonts w:eastAsia="Carlito"/>
          <w:color w:val="17212B"/>
          <w:sz w:val="19"/>
        </w:rPr>
        <w:t>Secure independent methods and domain review for one bounded research track.</w:t>
      </w:r>
    </w:p>
    <w:p w14:paraId="69F31B36" w14:textId="77777777" w:rsidR="00607D9E" w:rsidRDefault="00000000">
      <w:pPr>
        <w:pStyle w:val="SEBullet"/>
        <w:spacing w:after="46" w:line="245" w:lineRule="auto"/>
        <w:ind w:left="259" w:hanging="173"/>
        <w:rPr>
          <w:rFonts w:hint="eastAsia"/>
        </w:rPr>
      </w:pPr>
      <w:r>
        <w:rPr>
          <w:rFonts w:eastAsia="Carlito"/>
          <w:b/>
          <w:color w:val="2A6573"/>
          <w:sz w:val="19"/>
        </w:rPr>
        <w:t xml:space="preserve">• </w:t>
      </w:r>
      <w:r>
        <w:rPr>
          <w:rFonts w:eastAsia="Carlito"/>
          <w:color w:val="17212B"/>
          <w:sz w:val="19"/>
        </w:rPr>
        <w:t>Implement and test the From Perception to Permission / GEAE historical-replay workbench against fixed-plan, information-gain, anomaly-score, and human-expert baselines.</w:t>
      </w:r>
    </w:p>
    <w:p w14:paraId="2E67D609" w14:textId="77777777" w:rsidR="00607D9E" w:rsidRDefault="00000000">
      <w:pPr>
        <w:pStyle w:val="SEBullet"/>
        <w:spacing w:after="46" w:line="245" w:lineRule="auto"/>
        <w:ind w:left="259" w:hanging="173"/>
        <w:rPr>
          <w:rFonts w:hint="eastAsia"/>
        </w:rPr>
      </w:pPr>
      <w:r>
        <w:rPr>
          <w:rFonts w:eastAsia="Carlito"/>
          <w:b/>
          <w:color w:val="2A6573"/>
          <w:sz w:val="19"/>
        </w:rPr>
        <w:t xml:space="preserve">• </w:t>
      </w:r>
      <w:r>
        <w:rPr>
          <w:rFonts w:eastAsia="Carlito"/>
          <w:color w:val="17212B"/>
          <w:sz w:val="19"/>
        </w:rPr>
        <w:t>Produce a manuscript-ready contribution, benchmark, protocol, negative result, or documented pause from the current evidence program.</w:t>
      </w:r>
    </w:p>
    <w:p w14:paraId="608AF4EE" w14:textId="77777777" w:rsidR="00607D9E" w:rsidRDefault="00000000">
      <w:pPr>
        <w:pStyle w:val="SEBullet"/>
        <w:spacing w:after="46" w:line="245" w:lineRule="auto"/>
        <w:ind w:left="259" w:hanging="173"/>
        <w:rPr>
          <w:rFonts w:hint="eastAsia"/>
        </w:rPr>
      </w:pPr>
      <w:r>
        <w:rPr>
          <w:rFonts w:eastAsia="Carlito"/>
          <w:b/>
          <w:color w:val="2A6573"/>
          <w:sz w:val="19"/>
        </w:rPr>
        <w:t xml:space="preserve">• </w:t>
      </w:r>
      <w:r>
        <w:rPr>
          <w:rFonts w:eastAsia="Carlito"/>
          <w:color w:val="17212B"/>
          <w:sz w:val="19"/>
        </w:rPr>
        <w:t>Develop empirical cases and inter-rater evidence rather than expanding the formal architecture indefinitely.</w:t>
      </w:r>
    </w:p>
    <w:p w14:paraId="4DE32A3F" w14:textId="77777777" w:rsidR="00607D9E" w:rsidRDefault="00000000">
      <w:pPr>
        <w:pStyle w:val="SEBullet"/>
        <w:spacing w:after="40" w:line="245" w:lineRule="auto"/>
        <w:ind w:left="259" w:hanging="173"/>
        <w:rPr>
          <w:rFonts w:hint="eastAsia"/>
        </w:rPr>
      </w:pPr>
      <w:r>
        <w:rPr>
          <w:rFonts w:eastAsia="Carlito"/>
          <w:b/>
          <w:color w:val="2A6573"/>
          <w:sz w:val="19"/>
        </w:rPr>
        <w:t xml:space="preserve">• </w:t>
      </w:r>
      <w:r>
        <w:rPr>
          <w:rFonts w:eastAsia="Carlito"/>
          <w:color w:val="17212B"/>
          <w:sz w:val="19"/>
        </w:rPr>
        <w:t>Integrate the structural mathematical kernel with the deeper probabilistic and causal Evidence-State Sufficiency program.</w:t>
      </w:r>
    </w:p>
    <w:p w14:paraId="1ED8A049" w14:textId="77777777" w:rsidR="00607D9E" w:rsidRDefault="00000000">
      <w:pPr>
        <w:pStyle w:val="SESection"/>
        <w:keepNext/>
        <w:spacing w:before="220" w:after="80"/>
        <w:rPr>
          <w:rFonts w:hint="eastAsia"/>
        </w:rPr>
      </w:pPr>
      <w:r>
        <w:rPr>
          <w:rFonts w:eastAsia="Carlito"/>
          <w:b/>
          <w:color w:val="2A6573"/>
          <w:sz w:val="18"/>
        </w:rPr>
        <w:t>RESEARCH POSITION</w:t>
      </w:r>
    </w:p>
    <w:p w14:paraId="7789CB7C" w14:textId="77777777" w:rsidR="00607D9E" w:rsidRDefault="00000000">
      <w:pPr>
        <w:pStyle w:val="SEBody"/>
        <w:spacing w:after="80" w:line="254" w:lineRule="auto"/>
        <w:rPr>
          <w:rFonts w:hint="eastAsia"/>
        </w:rPr>
      </w:pPr>
      <w:r>
        <w:rPr>
          <w:rFonts w:eastAsia="Carlito"/>
          <w:color w:val="17212B"/>
          <w:sz w:val="18"/>
        </w:rPr>
        <w:t>The program asks how exploration systems should move from evidence to action when observation is incomplete, interpretation remains non-unique, and verification can change both the physical system and the future decision space. Governed autonomy is treated as an evidence-and-authority problem before execution, not as a replacement for navigation, planning, or runtime safety assurance.</w:t>
      </w:r>
    </w:p>
    <w:tbl>
      <w:tblPr>
        <w:tblW w:w="0" w:type="auto"/>
        <w:jc w:val="center"/>
        <w:tblLayout w:type="fixed"/>
        <w:tblLook w:val="04A0" w:firstRow="1" w:lastRow="0" w:firstColumn="1" w:lastColumn="0" w:noHBand="0" w:noVBand="1"/>
      </w:tblPr>
      <w:tblGrid>
        <w:gridCol w:w="10224"/>
      </w:tblGrid>
      <w:tr w:rsidR="00607D9E" w14:paraId="15F99BEF" w14:textId="77777777">
        <w:trPr>
          <w:jc w:val="center"/>
        </w:trPr>
        <w:tc>
          <w:tcPr>
            <w:tcW w:w="10224" w:type="dxa"/>
            <w:tcBorders>
              <w:top w:val="nil"/>
              <w:left w:val="single" w:sz="18" w:space="0" w:color="2A6573"/>
              <w:bottom w:val="nil"/>
              <w:right w:val="nil"/>
            </w:tcBorders>
            <w:shd w:val="clear" w:color="auto" w:fill="F5F7F8"/>
            <w:tcMar>
              <w:top w:w="110" w:type="dxa"/>
              <w:left w:w="140" w:type="dxa"/>
              <w:bottom w:w="110" w:type="dxa"/>
              <w:right w:w="140" w:type="dxa"/>
            </w:tcMar>
          </w:tcPr>
          <w:p w14:paraId="7C50525F" w14:textId="77777777" w:rsidR="00607D9E" w:rsidRDefault="00000000">
            <w:pPr>
              <w:spacing w:after="40"/>
              <w:rPr>
                <w:rFonts w:hint="eastAsia"/>
              </w:rPr>
            </w:pPr>
            <w:r>
              <w:rPr>
                <w:rFonts w:eastAsia="Carlito"/>
                <w:b/>
                <w:color w:val="2A6573"/>
                <w:sz w:val="17"/>
              </w:rPr>
              <w:t>CURRENT FOCUS</w:t>
            </w:r>
          </w:p>
          <w:p w14:paraId="30751028" w14:textId="77777777" w:rsidR="00607D9E" w:rsidRDefault="00000000">
            <w:pPr>
              <w:spacing w:after="0" w:line="247" w:lineRule="auto"/>
              <w:rPr>
                <w:rFonts w:hint="eastAsia"/>
              </w:rPr>
            </w:pPr>
            <w:r>
              <w:rPr>
                <w:rFonts w:eastAsia="Carlito"/>
                <w:sz w:val="19"/>
              </w:rPr>
              <w:t>Move from formal architecture toward historical replay, simulation, external methods review, empirical cases, and publishable scientific contributions.</w:t>
            </w:r>
          </w:p>
        </w:tc>
      </w:tr>
    </w:tbl>
    <w:p w14:paraId="23DFEBA7" w14:textId="77777777" w:rsidR="00607D9E" w:rsidRDefault="00000000">
      <w:pPr>
        <w:pStyle w:val="SESection"/>
        <w:keepNext/>
        <w:spacing w:before="220" w:after="80"/>
        <w:rPr>
          <w:rFonts w:hint="eastAsia"/>
        </w:rPr>
      </w:pPr>
      <w:r>
        <w:rPr>
          <w:rFonts w:eastAsia="Carlito"/>
          <w:b/>
          <w:color w:val="2A6573"/>
          <w:sz w:val="18"/>
        </w:rPr>
        <w:t>CURRENT ROLES</w:t>
      </w:r>
    </w:p>
    <w:p w14:paraId="6060389D" w14:textId="77777777" w:rsidR="00607D9E" w:rsidRDefault="00000000">
      <w:pPr>
        <w:pStyle w:val="SEBody"/>
        <w:spacing w:after="44" w:line="245" w:lineRule="auto"/>
        <w:rPr>
          <w:rFonts w:hint="eastAsia"/>
        </w:rPr>
      </w:pPr>
      <w:r>
        <w:rPr>
          <w:rFonts w:eastAsia="Carlito"/>
          <w:b/>
          <w:color w:val="2A6573"/>
          <w:sz w:val="17"/>
        </w:rPr>
        <w:t xml:space="preserve">EXPLORATION GEOPHYSICIST &amp; EXPLORATION SYSTEMS ARCHITECT  </w:t>
      </w:r>
      <w:r>
        <w:rPr>
          <w:rFonts w:eastAsia="Carlito"/>
          <w:color w:val="17212B"/>
          <w:sz w:val="19"/>
        </w:rPr>
        <w:t>Developing Exploration Systems and From Perception to Permission.</w:t>
      </w:r>
    </w:p>
    <w:p w14:paraId="6668BBCB" w14:textId="77777777" w:rsidR="00607D9E" w:rsidRDefault="00000000">
      <w:pPr>
        <w:pStyle w:val="SEBody"/>
        <w:spacing w:after="44" w:line="245" w:lineRule="auto"/>
        <w:rPr>
          <w:rFonts w:hint="eastAsia"/>
        </w:rPr>
      </w:pPr>
      <w:r>
        <w:rPr>
          <w:rFonts w:eastAsia="Carlito"/>
          <w:b/>
          <w:color w:val="2A6573"/>
          <w:sz w:val="17"/>
        </w:rPr>
        <w:t xml:space="preserve">FOUNDER  </w:t>
      </w:r>
      <w:r>
        <w:rPr>
          <w:rFonts w:eastAsia="Carlito"/>
          <w:color w:val="17212B"/>
          <w:sz w:val="19"/>
        </w:rPr>
        <w:t>Sustainable Exploration.</w:t>
      </w:r>
    </w:p>
    <w:sectPr w:rsidR="00607D9E" w:rsidSect="00034616">
      <w:footerReference w:type="default" r:id="rId8"/>
      <w:pgSz w:w="12240" w:h="15840"/>
      <w:pgMar w:top="835" w:right="1008" w:bottom="835"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8531A3" w14:textId="77777777" w:rsidR="007C715B" w:rsidRDefault="007C715B">
      <w:pPr>
        <w:spacing w:after="0" w:line="240" w:lineRule="auto"/>
        <w:rPr>
          <w:rFonts w:hint="eastAsia"/>
        </w:rPr>
      </w:pPr>
      <w:r>
        <w:separator/>
      </w:r>
    </w:p>
  </w:endnote>
  <w:endnote w:type="continuationSeparator" w:id="0">
    <w:p w14:paraId="35C7C712" w14:textId="77777777" w:rsidR="007C715B" w:rsidRDefault="007C715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0694E" w14:textId="77777777" w:rsidR="00607D9E" w:rsidRDefault="00000000">
    <w:pPr>
      <w:pStyle w:val="Footer"/>
      <w:spacing w:before="80"/>
      <w:jc w:val="center"/>
      <w:rPr>
        <w:rFonts w:hint="eastAsia"/>
      </w:rPr>
    </w:pPr>
    <w:r>
      <w:rPr>
        <w:rFonts w:eastAsia="Carlito"/>
        <w:color w:val="596775"/>
        <w:sz w:val="15"/>
      </w:rPr>
      <w:t xml:space="preserve">NIKO </w:t>
    </w:r>
    <w:proofErr w:type="gramStart"/>
    <w:r>
      <w:rPr>
        <w:rFonts w:eastAsia="Carlito"/>
        <w:color w:val="596775"/>
        <w:sz w:val="15"/>
      </w:rPr>
      <w:t>GRAPSAS  |</w:t>
    </w:r>
    <w:proofErr w:type="gramEnd"/>
    <w:r>
      <w:rPr>
        <w:rFonts w:eastAsia="Carlito"/>
        <w:color w:val="596775"/>
        <w:sz w:val="15"/>
      </w:rPr>
      <w:t xml:space="preserve">  RESEARCH &amp; EXPLORATION SYSTEMS </w:t>
    </w:r>
    <w:proofErr w:type="gramStart"/>
    <w:r>
      <w:rPr>
        <w:rFonts w:eastAsia="Carlito"/>
        <w:color w:val="596775"/>
        <w:sz w:val="15"/>
      </w:rPr>
      <w:t>CV  |</w:t>
    </w:r>
    <w:proofErr w:type="gramEnd"/>
    <w:r>
      <w:rPr>
        <w:rFonts w:eastAsia="Carlito"/>
        <w:color w:val="596775"/>
        <w:sz w:val="15"/>
      </w:rPr>
      <w:t xml:space="preserve">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29DB8B" w14:textId="77777777" w:rsidR="007C715B" w:rsidRDefault="007C715B">
      <w:pPr>
        <w:spacing w:after="0" w:line="240" w:lineRule="auto"/>
        <w:rPr>
          <w:rFonts w:hint="eastAsia"/>
        </w:rPr>
      </w:pPr>
      <w:r>
        <w:separator/>
      </w:r>
    </w:p>
  </w:footnote>
  <w:footnote w:type="continuationSeparator" w:id="0">
    <w:p w14:paraId="00774ECE" w14:textId="77777777" w:rsidR="007C715B" w:rsidRDefault="007C715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4305144">
    <w:abstractNumId w:val="8"/>
  </w:num>
  <w:num w:numId="2" w16cid:durableId="1412043467">
    <w:abstractNumId w:val="6"/>
  </w:num>
  <w:num w:numId="3" w16cid:durableId="1908420106">
    <w:abstractNumId w:val="5"/>
  </w:num>
  <w:num w:numId="4" w16cid:durableId="1476332197">
    <w:abstractNumId w:val="4"/>
  </w:num>
  <w:num w:numId="5" w16cid:durableId="1685669138">
    <w:abstractNumId w:val="7"/>
  </w:num>
  <w:num w:numId="6" w16cid:durableId="332494997">
    <w:abstractNumId w:val="3"/>
  </w:num>
  <w:num w:numId="7" w16cid:durableId="1081028308">
    <w:abstractNumId w:val="2"/>
  </w:num>
  <w:num w:numId="8" w16cid:durableId="602493517">
    <w:abstractNumId w:val="1"/>
  </w:num>
  <w:num w:numId="9" w16cid:durableId="1157565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07D9E"/>
    <w:rsid w:val="007C715B"/>
    <w:rsid w:val="009E5D82"/>
    <w:rsid w:val="00AA1D8D"/>
    <w:rsid w:val="00B47730"/>
    <w:rsid w:val="00CB0664"/>
    <w:rsid w:val="00DF0F31"/>
    <w:rsid w:val="00FC693F"/>
    <w:rsid w:val="00FF3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958F92B-A846-1147-8994-20F9B51A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rlito" w:hAnsi="Carlito"/>
      <w:color w:val="17212B"/>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Body">
    <w:name w:val="SE Body"/>
    <w:rPr>
      <w:rFonts w:ascii="Carlito" w:hAnsi="Carlito"/>
      <w:sz w:val="20"/>
    </w:rPr>
  </w:style>
  <w:style w:type="paragraph" w:customStyle="1" w:styleId="SEBullet">
    <w:name w:val="SE Bullet"/>
    <w:rPr>
      <w:rFonts w:ascii="Carlito" w:hAnsi="Carlito"/>
      <w:sz w:val="20"/>
    </w:rPr>
  </w:style>
  <w:style w:type="paragraph" w:customStyle="1" w:styleId="SESection">
    <w:name w:val="SE Section"/>
    <w:rPr>
      <w:rFonts w:ascii="Carlito" w:hAnsi="Carlito"/>
      <w:sz w:val="20"/>
    </w:rPr>
  </w:style>
  <w:style w:type="paragraph" w:customStyle="1" w:styleId="SESubhead">
    <w:name w:val="SE Subhead"/>
    <w:rPr>
      <w:rFonts w:ascii="Carlito" w:hAnsi="Carli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2127</Words>
  <Characters>12124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Niko Grapsas - Research &amp; Exploration Systems CV</dc:title>
  <dc:subject>Research CV: exploration geophysics, Exploration Systems, evidence sufficiency, and governed geophysical autonomy</dc:subject>
  <dc:creator>python-docx</dc:creator>
  <cp:keywords/>
  <dc:description>generated by python-docx</dc:description>
  <cp:lastModifiedBy>Nicholas Grapsas</cp:lastModifiedBy>
  <cp:revision>3</cp:revision>
  <cp:lastPrinted>2026-08-12T02:51:00Z</cp:lastPrinted>
  <dcterms:created xsi:type="dcterms:W3CDTF">2013-12-23T23:15:00Z</dcterms:created>
  <dcterms:modified xsi:type="dcterms:W3CDTF">2026-08-12T02:58:00Z</dcterms:modified>
  <cp:category/>
</cp:coreProperties>
</file>