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3" w:name="tranquil-parenting-programs-at-a-glance"/>
    <w:p>
      <w:pPr>
        <w:pStyle w:val="Heading1"/>
      </w:pPr>
      <w:r>
        <w:t xml:space="preserve">Tranquil Parenting® Programs at a Glance</w:t>
      </w:r>
    </w:p>
    <w:p>
      <w:pPr>
        <w:pStyle w:val="FirstParagraph"/>
      </w:pPr>
      <w:r>
        <w:rPr>
          <w:b/>
          <w:bCs/>
        </w:rPr>
        <w:t xml:space="preserve">Court-Approved Parent Education • Trauma-Informed Support • Family-Centered Guidance</w:t>
      </w:r>
    </w:p>
    <w:p>
      <w:pPr>
        <w:pStyle w:val="BodyText"/>
      </w:pPr>
      <w:r>
        <w:t xml:space="preserve">Founded in 2015, Tranquil Parenting® provides court-approved, evidence-based parent education designed around the unique needs of each family.</w:t>
      </w:r>
    </w:p>
    <w:p>
      <w:pPr>
        <w:pStyle w:val="BodyText"/>
      </w:pPr>
      <w:r>
        <w:t xml:space="preserve">Programs are</w:t>
      </w:r>
      <w:r>
        <w:t xml:space="preserve"> </w:t>
      </w:r>
      <w:r>
        <w:rPr>
          <w:b/>
          <w:bCs/>
        </w:rPr>
        <w:t xml:space="preserve">individualized, trauma-informed, strengths-based, relationship-focused, developmentally appropriate, and age-appropriate</w:t>
      </w:r>
      <w:r>
        <w:t xml:space="preserve">. Educational plans are created based on the parent’s needs, children’s ages and developmental stages, family circumstances, referral concerns, and any court or agency expectations.</w:t>
      </w:r>
    </w:p>
    <w:p>
      <w:pPr>
        <w:pStyle w:val="BodyText"/>
      </w:pPr>
      <w:r>
        <w:t xml:space="preserve">Tranquil Parenting® is</w:t>
      </w:r>
      <w:r>
        <w:t xml:space="preserve"> </w:t>
      </w:r>
      <w:r>
        <w:rPr>
          <w:b/>
          <w:bCs/>
        </w:rPr>
        <w:t xml:space="preserve">not a one-size-fits-all, self-paced online course completed without instructor involvement</w:t>
      </w:r>
      <w:r>
        <w:t xml:space="preserve">. Programs include instructor guidance, individualized educational support, and learning activities selected for the participant’s needs.</w:t>
      </w:r>
    </w:p>
    <w:p>
      <w:pPr>
        <w:pStyle w:val="BodyText"/>
      </w:pPr>
      <w:r>
        <w:t xml:space="preserve">Course content is available online to accommodate work, parenting, transportation, and family schedules while allowing participants to access educational materials</w:t>
      </w:r>
      <w:r>
        <w:t xml:space="preserve"> </w:t>
      </w:r>
      <w:r>
        <w:rPr>
          <w:b/>
          <w:bCs/>
        </w:rPr>
        <w:t xml:space="preserve">24 hours a day, 7 days a week throughout their program</w:t>
      </w:r>
      <w:r>
        <w:t xml:space="preserve">.</w:t>
      </w:r>
    </w:p>
    <w:bookmarkStart w:id="9" w:name="parenting-foundations"/>
    <w:p>
      <w:pPr>
        <w:pStyle w:val="Heading2"/>
      </w:pPr>
      <w:r>
        <w:t xml:space="preserve">Parenting Foundations</w:t>
      </w:r>
    </w:p>
    <w:p>
      <w:pPr>
        <w:pStyle w:val="FirstParagraph"/>
      </w:pPr>
      <w:r>
        <w:rPr>
          <w:b/>
          <w:bCs/>
        </w:rPr>
        <w:t xml:space="preserve">Best for:</w:t>
      </w:r>
      <w:r>
        <w:t xml:space="preserve"> </w:t>
      </w:r>
      <w:r>
        <w:t xml:space="preserve">Everyday parenting concerns and strengthening essential parenting skills.</w:t>
      </w:r>
    </w:p>
    <w:p>
      <w:pPr>
        <w:pStyle w:val="BodyText"/>
      </w:pPr>
      <w:r>
        <w:rPr>
          <w:b/>
          <w:bCs/>
        </w:rPr>
        <w:t xml:space="preserve">Focus Areas</w:t>
      </w:r>
    </w:p>
    <w:p>
      <w:pPr>
        <w:pStyle w:val="Compact"/>
        <w:numPr>
          <w:ilvl w:val="0"/>
          <w:numId w:val="1001"/>
        </w:numPr>
      </w:pPr>
      <w:r>
        <w:t xml:space="preserve">Parent-child communication</w:t>
      </w:r>
    </w:p>
    <w:p>
      <w:pPr>
        <w:pStyle w:val="Compact"/>
        <w:numPr>
          <w:ilvl w:val="0"/>
          <w:numId w:val="1001"/>
        </w:numPr>
      </w:pPr>
      <w:r>
        <w:t xml:space="preserve">Understanding behavior and emotional needs</w:t>
      </w:r>
    </w:p>
    <w:p>
      <w:pPr>
        <w:pStyle w:val="Compact"/>
        <w:numPr>
          <w:ilvl w:val="0"/>
          <w:numId w:val="1001"/>
        </w:numPr>
      </w:pPr>
      <w:r>
        <w:t xml:space="preserve">Healthy boundaries and expectations</w:t>
      </w:r>
    </w:p>
    <w:p>
      <w:pPr>
        <w:pStyle w:val="Compact"/>
        <w:numPr>
          <w:ilvl w:val="0"/>
          <w:numId w:val="1001"/>
        </w:numPr>
      </w:pPr>
      <w:r>
        <w:t xml:space="preserve">Positive and appropriate discipline</w:t>
      </w:r>
    </w:p>
    <w:p>
      <w:pPr>
        <w:pStyle w:val="Compact"/>
        <w:numPr>
          <w:ilvl w:val="0"/>
          <w:numId w:val="1001"/>
        </w:numPr>
      </w:pPr>
      <w:r>
        <w:t xml:space="preserve">Consistency and follow-through</w:t>
      </w:r>
    </w:p>
    <w:p>
      <w:pPr>
        <w:pStyle w:val="Compact"/>
        <w:numPr>
          <w:ilvl w:val="0"/>
          <w:numId w:val="1001"/>
        </w:numPr>
      </w:pPr>
      <w:r>
        <w:t xml:space="preserve">Problem-solving and conflict resolution</w:t>
      </w:r>
    </w:p>
    <w:p>
      <w:pPr>
        <w:pStyle w:val="Compact"/>
        <w:numPr>
          <w:ilvl w:val="0"/>
          <w:numId w:val="1001"/>
        </w:numPr>
      </w:pPr>
      <w:r>
        <w:t xml:space="preserve">Emotional regulation</w:t>
      </w:r>
    </w:p>
    <w:p>
      <w:pPr>
        <w:pStyle w:val="Compact"/>
        <w:numPr>
          <w:ilvl w:val="0"/>
          <w:numId w:val="1001"/>
        </w:numPr>
      </w:pPr>
      <w:r>
        <w:t xml:space="preserve">Independence and responsibility</w:t>
      </w:r>
    </w:p>
    <w:p>
      <w:pPr>
        <w:pStyle w:val="Compact"/>
        <w:numPr>
          <w:ilvl w:val="0"/>
          <w:numId w:val="1001"/>
        </w:numPr>
      </w:pPr>
      <w:r>
        <w:t xml:space="preserve">Responding instead of reacting</w:t>
      </w:r>
    </w:p>
    <w:p>
      <w:pPr>
        <w:pStyle w:val="Compact"/>
        <w:numPr>
          <w:ilvl w:val="0"/>
          <w:numId w:val="1001"/>
        </w:numPr>
      </w:pPr>
      <w:r>
        <w:t xml:space="preserve">Strengthening parent-child relationships</w:t>
      </w:r>
    </w:p>
    <w:p>
      <w:pPr>
        <w:pStyle w:val="FirstParagraph"/>
      </w:pPr>
      <w:r>
        <w:rPr>
          <w:b/>
          <w:bCs/>
        </w:rPr>
        <w:t xml:space="preserve">Good Fit For:</w:t>
      </w:r>
      <w:r>
        <w:t xml:space="preserve"> </w:t>
      </w:r>
      <w:r>
        <w:t xml:space="preserve">Parents seeking practical parenting education, court-required parenting support, or stronger skills for everyday family life.</w:t>
      </w:r>
    </w:p>
    <w:bookmarkEnd w:id="9"/>
    <w:bookmarkStart w:id="10" w:name="family-transitions"/>
    <w:p>
      <w:pPr>
        <w:pStyle w:val="Heading2"/>
      </w:pPr>
      <w:r>
        <w:t xml:space="preserve">Family Transitions</w:t>
      </w:r>
    </w:p>
    <w:p>
      <w:pPr>
        <w:pStyle w:val="FirstParagraph"/>
      </w:pPr>
      <w:r>
        <w:rPr>
          <w:b/>
          <w:bCs/>
        </w:rPr>
        <w:t xml:space="preserve">Best for:</w:t>
      </w:r>
      <w:r>
        <w:t xml:space="preserve"> </w:t>
      </w:r>
      <w:r>
        <w:t xml:space="preserve">Families navigating significant changes.</w:t>
      </w:r>
    </w:p>
    <w:p>
      <w:pPr>
        <w:pStyle w:val="BodyText"/>
      </w:pPr>
      <w:r>
        <w:rPr>
          <w:b/>
          <w:bCs/>
        </w:rPr>
        <w:t xml:space="preserve">Focus Areas</w:t>
      </w:r>
    </w:p>
    <w:p>
      <w:pPr>
        <w:pStyle w:val="Compact"/>
        <w:numPr>
          <w:ilvl w:val="0"/>
          <w:numId w:val="1002"/>
        </w:numPr>
      </w:pPr>
      <w:r>
        <w:t xml:space="preserve">Separation and divorce</w:t>
      </w:r>
    </w:p>
    <w:p>
      <w:pPr>
        <w:pStyle w:val="Compact"/>
        <w:numPr>
          <w:ilvl w:val="0"/>
          <w:numId w:val="1002"/>
        </w:numPr>
      </w:pPr>
      <w:r>
        <w:t xml:space="preserve">Co-parenting</w:t>
      </w:r>
    </w:p>
    <w:p>
      <w:pPr>
        <w:pStyle w:val="Compact"/>
        <w:numPr>
          <w:ilvl w:val="0"/>
          <w:numId w:val="1002"/>
        </w:numPr>
      </w:pPr>
      <w:r>
        <w:t xml:space="preserve">Parenting-time transitions</w:t>
      </w:r>
    </w:p>
    <w:p>
      <w:pPr>
        <w:pStyle w:val="Compact"/>
        <w:numPr>
          <w:ilvl w:val="0"/>
          <w:numId w:val="1002"/>
        </w:numPr>
      </w:pPr>
      <w:r>
        <w:t xml:space="preserve">Blended families</w:t>
      </w:r>
    </w:p>
    <w:p>
      <w:pPr>
        <w:pStyle w:val="Compact"/>
        <w:numPr>
          <w:ilvl w:val="0"/>
          <w:numId w:val="1002"/>
        </w:numPr>
      </w:pPr>
      <w:r>
        <w:t xml:space="preserve">Relocation</w:t>
      </w:r>
    </w:p>
    <w:p>
      <w:pPr>
        <w:pStyle w:val="Compact"/>
        <w:numPr>
          <w:ilvl w:val="0"/>
          <w:numId w:val="1002"/>
        </w:numPr>
      </w:pPr>
      <w:r>
        <w:t xml:space="preserve">Financial and household changes</w:t>
      </w:r>
    </w:p>
    <w:p>
      <w:pPr>
        <w:pStyle w:val="Compact"/>
        <w:numPr>
          <w:ilvl w:val="0"/>
          <w:numId w:val="1002"/>
        </w:numPr>
      </w:pPr>
      <w:r>
        <w:t xml:space="preserve">Reducing parental conflict</w:t>
      </w:r>
    </w:p>
    <w:p>
      <w:pPr>
        <w:pStyle w:val="Compact"/>
        <w:numPr>
          <w:ilvl w:val="0"/>
          <w:numId w:val="1002"/>
        </w:numPr>
      </w:pPr>
      <w:r>
        <w:t xml:space="preserve">Protecting children from adult conflict</w:t>
      </w:r>
    </w:p>
    <w:p>
      <w:pPr>
        <w:pStyle w:val="Compact"/>
        <w:numPr>
          <w:ilvl w:val="0"/>
          <w:numId w:val="1002"/>
        </w:numPr>
      </w:pPr>
      <w:r>
        <w:t xml:space="preserve">Helping children adjust to change</w:t>
      </w:r>
    </w:p>
    <w:p>
      <w:pPr>
        <w:pStyle w:val="Compact"/>
        <w:numPr>
          <w:ilvl w:val="0"/>
          <w:numId w:val="1002"/>
        </w:numPr>
      </w:pPr>
      <w:r>
        <w:t xml:space="preserve">Maintaining consistency and stability</w:t>
      </w:r>
    </w:p>
    <w:p>
      <w:pPr>
        <w:pStyle w:val="Compact"/>
        <w:numPr>
          <w:ilvl w:val="0"/>
          <w:numId w:val="1002"/>
        </w:numPr>
      </w:pPr>
      <w:r>
        <w:t xml:space="preserve">Healthy boundaries between households</w:t>
      </w:r>
    </w:p>
    <w:p>
      <w:pPr>
        <w:pStyle w:val="FirstParagraph"/>
      </w:pPr>
      <w:r>
        <w:rPr>
          <w:b/>
          <w:bCs/>
        </w:rPr>
        <w:t xml:space="preserve">Good Fit For:</w:t>
      </w:r>
      <w:r>
        <w:t xml:space="preserve"> </w:t>
      </w:r>
      <w:r>
        <w:t xml:space="preserve">Parents experiencing divorce, separation, co-parenting concerns, blended-family changes, relocation, or other major family transitions.</w:t>
      </w:r>
    </w:p>
    <w:bookmarkEnd w:id="10"/>
    <w:bookmarkStart w:id="11" w:name="trauma-child-welfare"/>
    <w:p>
      <w:pPr>
        <w:pStyle w:val="Heading2"/>
      </w:pPr>
      <w:r>
        <w:t xml:space="preserve">Trauma &amp; Child Welfare</w:t>
      </w:r>
    </w:p>
    <w:p>
      <w:pPr>
        <w:pStyle w:val="FirstParagraph"/>
      </w:pPr>
      <w:r>
        <w:rPr>
          <w:b/>
          <w:bCs/>
        </w:rPr>
        <w:t xml:space="preserve">Best for:</w:t>
      </w:r>
      <w:r>
        <w:t xml:space="preserve"> </w:t>
      </w:r>
      <w:r>
        <w:t xml:space="preserve">Families affected by trauma, instability, child welfare involvement, foster care, or reunification.</w:t>
      </w:r>
    </w:p>
    <w:p>
      <w:pPr>
        <w:pStyle w:val="BodyText"/>
      </w:pPr>
      <w:r>
        <w:rPr>
          <w:b/>
          <w:bCs/>
        </w:rPr>
        <w:t xml:space="preserve">Focus Areas</w:t>
      </w:r>
    </w:p>
    <w:p>
      <w:pPr>
        <w:pStyle w:val="Compact"/>
        <w:numPr>
          <w:ilvl w:val="0"/>
          <w:numId w:val="1003"/>
        </w:numPr>
      </w:pPr>
      <w:r>
        <w:t xml:space="preserve">Understanding trauma and behavior</w:t>
      </w:r>
    </w:p>
    <w:p>
      <w:pPr>
        <w:pStyle w:val="Compact"/>
        <w:numPr>
          <w:ilvl w:val="0"/>
          <w:numId w:val="1003"/>
        </w:numPr>
      </w:pPr>
      <w:r>
        <w:t xml:space="preserve">Recognizing behavior as communication</w:t>
      </w:r>
    </w:p>
    <w:p>
      <w:pPr>
        <w:pStyle w:val="Compact"/>
        <w:numPr>
          <w:ilvl w:val="0"/>
          <w:numId w:val="1003"/>
        </w:numPr>
      </w:pPr>
      <w:r>
        <w:t xml:space="preserve">Emotional and physical safety</w:t>
      </w:r>
    </w:p>
    <w:p>
      <w:pPr>
        <w:pStyle w:val="Compact"/>
        <w:numPr>
          <w:ilvl w:val="0"/>
          <w:numId w:val="1003"/>
        </w:numPr>
      </w:pPr>
      <w:r>
        <w:t xml:space="preserve">Attachment, connection, and trust</w:t>
      </w:r>
    </w:p>
    <w:p>
      <w:pPr>
        <w:pStyle w:val="Compact"/>
        <w:numPr>
          <w:ilvl w:val="0"/>
          <w:numId w:val="1003"/>
        </w:numPr>
      </w:pPr>
      <w:r>
        <w:t xml:space="preserve">Predictable routines</w:t>
      </w:r>
    </w:p>
    <w:p>
      <w:pPr>
        <w:pStyle w:val="Compact"/>
        <w:numPr>
          <w:ilvl w:val="0"/>
          <w:numId w:val="1003"/>
        </w:numPr>
      </w:pPr>
      <w:r>
        <w:t xml:space="preserve">Trauma-responsive parenting</w:t>
      </w:r>
    </w:p>
    <w:p>
      <w:pPr>
        <w:pStyle w:val="Compact"/>
        <w:numPr>
          <w:ilvl w:val="0"/>
          <w:numId w:val="1003"/>
        </w:numPr>
      </w:pPr>
      <w:r>
        <w:t xml:space="preserve">Emotional regulation</w:t>
      </w:r>
    </w:p>
    <w:p>
      <w:pPr>
        <w:pStyle w:val="Compact"/>
        <w:numPr>
          <w:ilvl w:val="0"/>
          <w:numId w:val="1003"/>
        </w:numPr>
      </w:pPr>
      <w:r>
        <w:t xml:space="preserve">Challenging behavior</w:t>
      </w:r>
    </w:p>
    <w:p>
      <w:pPr>
        <w:pStyle w:val="Compact"/>
        <w:numPr>
          <w:ilvl w:val="0"/>
          <w:numId w:val="1003"/>
        </w:numPr>
      </w:pPr>
      <w:r>
        <w:t xml:space="preserve">Healthy boundaries and accountability</w:t>
      </w:r>
    </w:p>
    <w:p>
      <w:pPr>
        <w:pStyle w:val="Compact"/>
        <w:numPr>
          <w:ilvl w:val="0"/>
          <w:numId w:val="1003"/>
        </w:numPr>
      </w:pPr>
      <w:r>
        <w:t xml:space="preserve">Child welfare system navigation</w:t>
      </w:r>
    </w:p>
    <w:p>
      <w:pPr>
        <w:pStyle w:val="Compact"/>
        <w:numPr>
          <w:ilvl w:val="0"/>
          <w:numId w:val="1003"/>
        </w:numPr>
      </w:pPr>
      <w:r>
        <w:t xml:space="preserve">Parenting-time support</w:t>
      </w:r>
    </w:p>
    <w:p>
      <w:pPr>
        <w:pStyle w:val="Compact"/>
        <w:numPr>
          <w:ilvl w:val="0"/>
          <w:numId w:val="1003"/>
        </w:numPr>
      </w:pPr>
      <w:r>
        <w:t xml:space="preserve">Reunification</w:t>
      </w:r>
    </w:p>
    <w:p>
      <w:pPr>
        <w:pStyle w:val="FirstParagraph"/>
      </w:pPr>
      <w:r>
        <w:rPr>
          <w:b/>
          <w:bCs/>
        </w:rPr>
        <w:t xml:space="preserve">Good Fit For:</w:t>
      </w:r>
      <w:r>
        <w:t xml:space="preserve"> </w:t>
      </w:r>
      <w:r>
        <w:t xml:space="preserve">Parents involved with child welfare, foster care, supervised or changing parenting time, reunification, court services, or significant family instability or trauma.</w:t>
      </w:r>
    </w:p>
    <w:bookmarkEnd w:id="11"/>
    <w:bookmarkStart w:id="12" w:name="teen-family-challenges"/>
    <w:p>
      <w:pPr>
        <w:pStyle w:val="Heading2"/>
      </w:pPr>
      <w:r>
        <w:t xml:space="preserve">Teen &amp; Family Challenges</w:t>
      </w:r>
    </w:p>
    <w:p>
      <w:pPr>
        <w:pStyle w:val="FirstParagraph"/>
      </w:pPr>
      <w:r>
        <w:rPr>
          <w:b/>
          <w:bCs/>
        </w:rPr>
        <w:t xml:space="preserve">Best for:</w:t>
      </w:r>
      <w:r>
        <w:t xml:space="preserve"> </w:t>
      </w:r>
      <w:r>
        <w:t xml:space="preserve">Parents navigating adolescence, growing independence, and changing family relationships.</w:t>
      </w:r>
    </w:p>
    <w:p>
      <w:pPr>
        <w:pStyle w:val="BodyText"/>
      </w:pPr>
      <w:r>
        <w:rPr>
          <w:b/>
          <w:bCs/>
        </w:rPr>
        <w:t xml:space="preserve">Focus Areas</w:t>
      </w:r>
    </w:p>
    <w:p>
      <w:pPr>
        <w:pStyle w:val="Compact"/>
        <w:numPr>
          <w:ilvl w:val="0"/>
          <w:numId w:val="1004"/>
        </w:numPr>
      </w:pPr>
      <w:r>
        <w:t xml:space="preserve">Parent-teen communication</w:t>
      </w:r>
    </w:p>
    <w:p>
      <w:pPr>
        <w:pStyle w:val="Compact"/>
        <w:numPr>
          <w:ilvl w:val="0"/>
          <w:numId w:val="1004"/>
        </w:numPr>
      </w:pPr>
      <w:r>
        <w:t xml:space="preserve">Independence and responsibility</w:t>
      </w:r>
    </w:p>
    <w:p>
      <w:pPr>
        <w:pStyle w:val="Compact"/>
        <w:numPr>
          <w:ilvl w:val="0"/>
          <w:numId w:val="1004"/>
        </w:numPr>
      </w:pPr>
      <w:r>
        <w:t xml:space="preserve">Boundaries and expectations</w:t>
      </w:r>
    </w:p>
    <w:p>
      <w:pPr>
        <w:pStyle w:val="Compact"/>
        <w:numPr>
          <w:ilvl w:val="0"/>
          <w:numId w:val="1004"/>
        </w:numPr>
      </w:pPr>
      <w:r>
        <w:t xml:space="preserve">Emotional regulation</w:t>
      </w:r>
    </w:p>
    <w:p>
      <w:pPr>
        <w:pStyle w:val="Compact"/>
        <w:numPr>
          <w:ilvl w:val="0"/>
          <w:numId w:val="1004"/>
        </w:numPr>
      </w:pPr>
      <w:r>
        <w:t xml:space="preserve">Peer influence</w:t>
      </w:r>
    </w:p>
    <w:p>
      <w:pPr>
        <w:pStyle w:val="Compact"/>
        <w:numPr>
          <w:ilvl w:val="0"/>
          <w:numId w:val="1004"/>
        </w:numPr>
      </w:pPr>
      <w:r>
        <w:t xml:space="preserve">Technology and gaming</w:t>
      </w:r>
    </w:p>
    <w:p>
      <w:pPr>
        <w:pStyle w:val="Compact"/>
        <w:numPr>
          <w:ilvl w:val="0"/>
          <w:numId w:val="1004"/>
        </w:numPr>
      </w:pPr>
      <w:r>
        <w:t xml:space="preserve">Digital safety</w:t>
      </w:r>
    </w:p>
    <w:p>
      <w:pPr>
        <w:pStyle w:val="Compact"/>
        <w:numPr>
          <w:ilvl w:val="0"/>
          <w:numId w:val="1004"/>
        </w:numPr>
      </w:pPr>
      <w:r>
        <w:t xml:space="preserve">Risky choices</w:t>
      </w:r>
    </w:p>
    <w:p>
      <w:pPr>
        <w:pStyle w:val="Compact"/>
        <w:numPr>
          <w:ilvl w:val="0"/>
          <w:numId w:val="1004"/>
        </w:numPr>
      </w:pPr>
      <w:r>
        <w:t xml:space="preserve">Substance use concerns</w:t>
      </w:r>
    </w:p>
    <w:p>
      <w:pPr>
        <w:pStyle w:val="Compact"/>
        <w:numPr>
          <w:ilvl w:val="0"/>
          <w:numId w:val="1004"/>
        </w:numPr>
      </w:pPr>
      <w:r>
        <w:t xml:space="preserve">School and motivation</w:t>
      </w:r>
    </w:p>
    <w:p>
      <w:pPr>
        <w:pStyle w:val="Compact"/>
        <w:numPr>
          <w:ilvl w:val="0"/>
          <w:numId w:val="1004"/>
        </w:numPr>
      </w:pPr>
      <w:r>
        <w:t xml:space="preserve">Identity, relationships, and belonging</w:t>
      </w:r>
    </w:p>
    <w:p>
      <w:pPr>
        <w:pStyle w:val="Compact"/>
        <w:numPr>
          <w:ilvl w:val="0"/>
          <w:numId w:val="1004"/>
        </w:numPr>
      </w:pPr>
      <w:r>
        <w:t xml:space="preserve">Maintaining connection during conflict</w:t>
      </w:r>
    </w:p>
    <w:p>
      <w:pPr>
        <w:pStyle w:val="FirstParagraph"/>
      </w:pPr>
      <w:r>
        <w:rPr>
          <w:b/>
          <w:bCs/>
        </w:rPr>
        <w:t xml:space="preserve">Good Fit For:</w:t>
      </w:r>
      <w:r>
        <w:t xml:space="preserve"> </w:t>
      </w:r>
      <w:r>
        <w:t xml:space="preserve">Parents of teens experiencing communication difficulties, technology concerns, peer pressure, risky choices, substance use, school concerns, or parent-teen conflict.</w:t>
      </w:r>
    </w:p>
    <w:bookmarkEnd w:id="12"/>
    <w:bookmarkEnd w:id="13"/>
    <w:bookmarkStart w:id="14" w:name="X32f49f5b8362d2858a4f375249becf7b82e11b4"/>
    <w:p>
      <w:pPr>
        <w:pStyle w:val="Heading1"/>
      </w:pPr>
      <w:r>
        <w:t xml:space="preserve">Individualized, Instructor-Supported Learning</w:t>
      </w:r>
    </w:p>
    <w:p>
      <w:pPr>
        <w:pStyle w:val="FirstParagraph"/>
      </w:pPr>
      <w:r>
        <w:t xml:space="preserve">Tranquil Parenting® programs are developed around the</w:t>
      </w:r>
      <w:r>
        <w:t xml:space="preserve"> </w:t>
      </w:r>
      <w:r>
        <w:rPr>
          <w:b/>
          <w:bCs/>
        </w:rPr>
        <w:t xml:space="preserve">identified needs of the parent, child, family, court, agency, or referring professional</w:t>
      </w:r>
      <w:r>
        <w:t xml:space="preserve">.</w:t>
      </w:r>
    </w:p>
    <w:p>
      <w:pPr>
        <w:pStyle w:val="BodyText"/>
      </w:pPr>
      <w:r>
        <w:t xml:space="preserve">The educational pathway may be adjusted based on:</w:t>
      </w:r>
    </w:p>
    <w:p>
      <w:pPr>
        <w:pStyle w:val="Compact"/>
        <w:numPr>
          <w:ilvl w:val="0"/>
          <w:numId w:val="1005"/>
        </w:numPr>
      </w:pPr>
      <w:r>
        <w:t xml:space="preserve">Child age and developmental stage</w:t>
      </w:r>
    </w:p>
    <w:p>
      <w:pPr>
        <w:pStyle w:val="Compact"/>
        <w:numPr>
          <w:ilvl w:val="0"/>
          <w:numId w:val="1005"/>
        </w:numPr>
      </w:pPr>
      <w:r>
        <w:t xml:space="preserve">Parent and caregiver needs</w:t>
      </w:r>
    </w:p>
    <w:p>
      <w:pPr>
        <w:pStyle w:val="Compact"/>
        <w:numPr>
          <w:ilvl w:val="0"/>
          <w:numId w:val="1005"/>
        </w:numPr>
      </w:pPr>
      <w:r>
        <w:t xml:space="preserve">Family structure</w:t>
      </w:r>
    </w:p>
    <w:p>
      <w:pPr>
        <w:pStyle w:val="Compact"/>
        <w:numPr>
          <w:ilvl w:val="0"/>
          <w:numId w:val="1005"/>
        </w:numPr>
      </w:pPr>
      <w:r>
        <w:t xml:space="preserve">Behavioral concerns</w:t>
      </w:r>
    </w:p>
    <w:p>
      <w:pPr>
        <w:pStyle w:val="Compact"/>
        <w:numPr>
          <w:ilvl w:val="0"/>
          <w:numId w:val="1005"/>
        </w:numPr>
      </w:pPr>
      <w:r>
        <w:t xml:space="preserve">Trauma history and current family experiences</w:t>
      </w:r>
    </w:p>
    <w:p>
      <w:pPr>
        <w:pStyle w:val="Compact"/>
        <w:numPr>
          <w:ilvl w:val="0"/>
          <w:numId w:val="1005"/>
        </w:numPr>
      </w:pPr>
      <w:r>
        <w:t xml:space="preserve">Communication patterns</w:t>
      </w:r>
    </w:p>
    <w:p>
      <w:pPr>
        <w:pStyle w:val="Compact"/>
        <w:numPr>
          <w:ilvl w:val="0"/>
          <w:numId w:val="1005"/>
        </w:numPr>
      </w:pPr>
      <w:r>
        <w:t xml:space="preserve">Court or agency requirements</w:t>
      </w:r>
    </w:p>
    <w:p>
      <w:pPr>
        <w:pStyle w:val="Compact"/>
        <w:numPr>
          <w:ilvl w:val="0"/>
          <w:numId w:val="1005"/>
        </w:numPr>
      </w:pPr>
      <w:r>
        <w:t xml:space="preserve">Child welfare involvement</w:t>
      </w:r>
    </w:p>
    <w:p>
      <w:pPr>
        <w:pStyle w:val="Compact"/>
        <w:numPr>
          <w:ilvl w:val="0"/>
          <w:numId w:val="1005"/>
        </w:numPr>
      </w:pPr>
      <w:r>
        <w:t xml:space="preserve">Parenting-time arrangements</w:t>
      </w:r>
    </w:p>
    <w:p>
      <w:pPr>
        <w:pStyle w:val="Compact"/>
        <w:numPr>
          <w:ilvl w:val="0"/>
          <w:numId w:val="1005"/>
        </w:numPr>
      </w:pPr>
      <w:r>
        <w:t xml:space="preserve">Family transitions</w:t>
      </w:r>
    </w:p>
    <w:p>
      <w:pPr>
        <w:pStyle w:val="Compact"/>
        <w:numPr>
          <w:ilvl w:val="0"/>
          <w:numId w:val="1005"/>
        </w:numPr>
      </w:pPr>
      <w:r>
        <w:t xml:space="preserve">Adolescent concerns</w:t>
      </w:r>
    </w:p>
    <w:p>
      <w:pPr>
        <w:pStyle w:val="Compact"/>
        <w:numPr>
          <w:ilvl w:val="0"/>
          <w:numId w:val="1005"/>
        </w:numPr>
      </w:pPr>
      <w:r>
        <w:t xml:space="preserve">Strengths and protective factors</w:t>
      </w:r>
    </w:p>
    <w:p>
      <w:pPr>
        <w:pStyle w:val="FirstParagraph"/>
      </w:pPr>
      <w:r>
        <w:t xml:space="preserve">Participants receive</w:t>
      </w:r>
      <w:r>
        <w:t xml:space="preserve"> </w:t>
      </w:r>
      <w:r>
        <w:rPr>
          <w:b/>
          <w:bCs/>
        </w:rPr>
        <w:t xml:space="preserve">instructor-supported education rather than being provided a manufactured online course and left to complete it independently</w:t>
      </w:r>
      <w:r>
        <w:t xml:space="preserve">.</w:t>
      </w:r>
    </w:p>
    <w:p>
      <w:pPr>
        <w:pStyle w:val="BodyText"/>
      </w:pPr>
      <w:r>
        <w:t xml:space="preserve">The online learning environment is used to increase accessibility and flexibility. Participants can work with program materials around employment, parenting, court, transportation, and family obligations while retaining access to course content throughout the program.</w:t>
      </w:r>
    </w:p>
    <w:p>
      <w:pPr>
        <w:pStyle w:val="BodyText"/>
      </w:pPr>
      <w:r>
        <w:rPr>
          <w:b/>
          <w:bCs/>
        </w:rPr>
        <w:t xml:space="preserve">Online availability provides flexibility. Instructor involvement provides individualized guidance.</w:t>
      </w:r>
    </w:p>
    <w:bookmarkEnd w:id="14"/>
    <w:bookmarkStart w:id="15" w:name="our-approach"/>
    <w:p>
      <w:pPr>
        <w:pStyle w:val="Heading1"/>
      </w:pPr>
      <w:r>
        <w:t xml:space="preserve">Our Approach</w:t>
      </w:r>
    </w:p>
    <w:p>
      <w:pPr>
        <w:pStyle w:val="FirstParagraph"/>
      </w:pPr>
      <w:r>
        <w:t xml:space="preserve">Tranquil Parenting® integrates:</w:t>
      </w:r>
    </w:p>
    <w:p>
      <w:pPr>
        <w:pStyle w:val="BodyText"/>
      </w:pPr>
      <w:r>
        <w:rPr>
          <w:b/>
          <w:bCs/>
        </w:rPr>
        <w:t xml:space="preserve">Trauma-Informed Practice</w:t>
      </w:r>
      <w:r>
        <w:br/>
      </w:r>
      <w:r>
        <w:t xml:space="preserve">Understanding how past and present experiences can influence behavior, relationships, emotional responses, and parenting.</w:t>
      </w:r>
    </w:p>
    <w:p>
      <w:pPr>
        <w:pStyle w:val="BodyText"/>
      </w:pPr>
      <w:r>
        <w:rPr>
          <w:b/>
          <w:bCs/>
        </w:rPr>
        <w:t xml:space="preserve">Evidence-Based Parent Education</w:t>
      </w:r>
      <w:r>
        <w:br/>
      </w:r>
      <w:r>
        <w:t xml:space="preserve">Connecting research-informed concepts with practical strategies families can use in everyday situations.</w:t>
      </w:r>
    </w:p>
    <w:p>
      <w:pPr>
        <w:pStyle w:val="BodyText"/>
      </w:pPr>
      <w:r>
        <w:rPr>
          <w:b/>
          <w:bCs/>
        </w:rPr>
        <w:t xml:space="preserve">Family-Centered Practice</w:t>
      </w:r>
      <w:r>
        <w:br/>
      </w:r>
      <w:r>
        <w:t xml:space="preserve">Recognizing that each family’s structure, circumstances, strengths, and challenges are different.</w:t>
      </w:r>
    </w:p>
    <w:p>
      <w:pPr>
        <w:pStyle w:val="BodyText"/>
      </w:pPr>
      <w:r>
        <w:rPr>
          <w:b/>
          <w:bCs/>
        </w:rPr>
        <w:t xml:space="preserve">Strengths-Based Support</w:t>
      </w:r>
      <w:r>
        <w:br/>
      </w:r>
      <w:r>
        <w:t xml:space="preserve">Building upon existing abilities, protective factors, resources, and relationships.</w:t>
      </w:r>
    </w:p>
    <w:p>
      <w:pPr>
        <w:pStyle w:val="BodyText"/>
      </w:pPr>
      <w:r>
        <w:rPr>
          <w:b/>
          <w:bCs/>
        </w:rPr>
        <w:t xml:space="preserve">Developmentally and Age-Appropriate Guidance</w:t>
      </w:r>
      <w:r>
        <w:br/>
      </w:r>
      <w:r>
        <w:t xml:space="preserve">Matching parenting expectations and strategies to the child’s developmental level and individual needs.</w:t>
      </w:r>
    </w:p>
    <w:p>
      <w:pPr>
        <w:pStyle w:val="BodyText"/>
      </w:pPr>
      <w:r>
        <w:rPr>
          <w:b/>
          <w:bCs/>
        </w:rPr>
        <w:t xml:space="preserve">Relationship-Focused Practice</w:t>
      </w:r>
      <w:r>
        <w:br/>
      </w:r>
      <w:r>
        <w:t xml:space="preserve">Strengthening communication, trust, connection, boundaries, and healthy parent-child relationships.</w:t>
      </w:r>
    </w:p>
    <w:p>
      <w:pPr>
        <w:pStyle w:val="BodyText"/>
      </w:pPr>
      <w:r>
        <w:rPr>
          <w:b/>
          <w:bCs/>
        </w:rPr>
        <w:t xml:space="preserve">Responsive Parenting</w:t>
      </w:r>
      <w:r>
        <w:br/>
      </w:r>
      <w:r>
        <w:t xml:space="preserve">Helping parents understand behavior and make intentional decisions instead of relying primarily on automatic or reactive responses.</w:t>
      </w:r>
    </w:p>
    <w:p>
      <w:pPr>
        <w:pStyle w:val="BodyText"/>
      </w:pPr>
      <w:r>
        <w:rPr>
          <w:b/>
          <w:bCs/>
        </w:rPr>
        <w:t xml:space="preserve">Individualized Learning</w:t>
      </w:r>
      <w:r>
        <w:br/>
      </w:r>
      <w:r>
        <w:t xml:space="preserve">Selecting education, activities, resources, and areas of focus according to the participant’s identified needs.</w:t>
      </w:r>
    </w:p>
    <w:p>
      <w:pPr>
        <w:pStyle w:val="BodyText"/>
      </w:pPr>
      <w:r>
        <w:rPr>
          <w:b/>
          <w:bCs/>
        </w:rPr>
        <w:t xml:space="preserve">Accessible Learning</w:t>
      </w:r>
      <w:r>
        <w:br/>
      </w:r>
      <w:r>
        <w:t xml:space="preserve">Providing online access to educational content 24/7 so participants can continue learning around real-world schedules and responsibilities.</w:t>
      </w:r>
    </w:p>
    <w:bookmarkEnd w:id="15"/>
    <w:bookmarkStart w:id="17" w:name="about-tranquil-parenting"/>
    <w:p>
      <w:pPr>
        <w:pStyle w:val="Heading1"/>
      </w:pPr>
      <w:r>
        <w:t xml:space="preserve">About Tranquil Parenting®</w:t>
      </w:r>
    </w:p>
    <w:p>
      <w:pPr>
        <w:pStyle w:val="FirstParagraph"/>
      </w:pPr>
      <w:r>
        <w:t xml:space="preserve">Established in 2015, Tranquil Parenting® is the original trauma-informed parenting framework developed by</w:t>
      </w:r>
      <w:r>
        <w:t xml:space="preserve"> </w:t>
      </w:r>
      <w:r>
        <w:rPr>
          <w:b/>
          <w:bCs/>
        </w:rPr>
        <w:t xml:space="preserve">Sonja L. Howell, PhD</w:t>
      </w:r>
      <w:r>
        <w:t xml:space="preserve">.</w:t>
      </w:r>
    </w:p>
    <w:p>
      <w:pPr>
        <w:pStyle w:val="BodyText"/>
      </w:pPr>
      <w:r>
        <w:t xml:space="preserve">The framework combines trauma-informed and evidence-based parent education with Transformative Mindset Instructional Design (TMID), mindfulness, positive discipline, relationship-centered strategies, and creative solutions to help families move from reactive patterns toward greater stability, connection, accountability, and intentional parenting.</w:t>
      </w:r>
    </w:p>
    <w:p>
      <w:pPr>
        <w:pStyle w:val="BodyText"/>
      </w:pPr>
      <w:r>
        <w:t xml:space="preserve">Tranquil Parenting® provides</w:t>
      </w:r>
      <w:r>
        <w:t xml:space="preserve"> </w:t>
      </w:r>
      <w:r>
        <w:rPr>
          <w:b/>
          <w:bCs/>
        </w:rPr>
        <w:t xml:space="preserve">court-approved parent education</w:t>
      </w:r>
      <w:r>
        <w:t xml:space="preserve"> </w:t>
      </w:r>
      <w:r>
        <w:t xml:space="preserve">for families referred by courts, attorneys, child welfare professionals, agencies, counselors, and other helping professionals, as well as parents seeking support independently.</w:t>
      </w:r>
    </w:p>
    <w:p>
      <w:pPr>
        <w:pStyle w:val="BodyText"/>
      </w:pPr>
      <w:r>
        <w:t xml:space="preserve">Programs are individualized and instructor-supported while using an online learning environment to provide flexible scheduling and continuous access to educational materials.</w:t>
      </w:r>
    </w:p>
    <w:p>
      <w:pPr>
        <w:pStyle w:val="BodyText"/>
      </w:pPr>
      <w:r>
        <w:t xml:space="preserve">Tranquil Parenting® is supported through</w:t>
      </w:r>
      <w:r>
        <w:t xml:space="preserve"> </w:t>
      </w:r>
      <w:r>
        <w:rPr>
          <w:b/>
          <w:bCs/>
        </w:rPr>
        <w:t xml:space="preserve">Tranquil Studio, Inc.</w:t>
      </w:r>
      <w:r>
        <w:t xml:space="preserve">, a nonprofit organization focused on education, creativity, and community-centered learning.</w:t>
      </w:r>
    </w:p>
    <w:bookmarkStart w:id="16" w:name="contact-tranquil-parenting"/>
    <w:p>
      <w:pPr>
        <w:pStyle w:val="Heading2"/>
      </w:pPr>
      <w:r>
        <w:t xml:space="preserve">Contact Tranquil Parenting®</w:t>
      </w:r>
    </w:p>
    <w:p>
      <w:pPr>
        <w:pStyle w:val="FirstParagraph"/>
      </w:pPr>
      <w:r>
        <w:rPr>
          <w:b/>
          <w:bCs/>
        </w:rPr>
        <w:t xml:space="preserve">Sonja L. Howell, PhD</w:t>
      </w:r>
      <w:r>
        <w:br/>
      </w:r>
      <w:r>
        <w:t xml:space="preserve">Tranquil Parenting®</w:t>
      </w:r>
    </w:p>
    <w:p>
      <w:pPr>
        <w:pStyle w:val="BodyText"/>
      </w:pPr>
      <w:r>
        <w:rPr>
          <w:b/>
          <w:bCs/>
        </w:rPr>
        <w:t xml:space="preserve">Email:</w:t>
      </w:r>
      <w:r>
        <w:t xml:space="preserve"> </w:t>
      </w:r>
      <w:r>
        <w:t xml:space="preserve">Sonja@TranquilStudio.org</w:t>
      </w:r>
      <w:r>
        <w:br/>
      </w:r>
      <w:r>
        <w:rPr>
          <w:b/>
          <w:bCs/>
        </w:rPr>
        <w:t xml:space="preserve">Phone:</w:t>
      </w:r>
      <w:r>
        <w:t xml:space="preserve"> </w:t>
      </w:r>
      <w:r>
        <w:t xml:space="preserve">517-431-3000</w:t>
      </w:r>
      <w:r>
        <w:br/>
      </w:r>
      <w:r>
        <w:rPr>
          <w:b/>
          <w:bCs/>
        </w:rPr>
        <w:t xml:space="preserve">Website:</w:t>
      </w:r>
      <w:r>
        <w:t xml:space="preserve"> </w:t>
      </w:r>
      <w:r>
        <w:t xml:space="preserve">TranquilParenting.com</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