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attachment-aces-trauma-definitions"/>
    <w:p>
      <w:pPr>
        <w:pStyle w:val="Heading1"/>
      </w:pPr>
      <w:r>
        <w:t xml:space="preserve">Attachment, ACEs &amp; Trauma Definitions</w:t>
      </w:r>
    </w:p>
    <w:p>
      <w:pPr>
        <w:pStyle w:val="FirstParagraph"/>
      </w:pPr>
      <w:r>
        <w:rPr>
          <w:b/>
          <w:bCs/>
        </w:rPr>
        <w:t xml:space="preserve">Tranquil Parenting®</w:t>
      </w:r>
    </w:p>
    <w:p>
      <w:pPr>
        <w:pStyle w:val="BodyText"/>
      </w:pPr>
      <w:r>
        <w:t xml:space="preserve">Use this reference sheet to review the key concepts used throughout the attachment, trauma, ACEs, and role-play activities.</w:t>
      </w:r>
    </w:p>
    <w:bookmarkStart w:id="9" w:name="attachment"/>
    <w:p>
      <w:pPr>
        <w:pStyle w:val="Heading2"/>
      </w:pPr>
      <w:r>
        <w:t xml:space="preserve">Attachment</w:t>
      </w:r>
    </w:p>
    <w:p>
      <w:pPr>
        <w:pStyle w:val="FirstParagraph"/>
      </w:pPr>
      <w:r>
        <w:rPr>
          <w:b/>
          <w:bCs/>
        </w:rPr>
        <w:t xml:space="preserve">Attachment</w:t>
      </w:r>
      <w:r>
        <w:t xml:space="preserve"> </w:t>
      </w:r>
      <w:r>
        <w:t xml:space="preserve">refers to patterns involving emotional connection, trust, closeness, independence, support, separation, conflict, and relationship repair.</w:t>
      </w:r>
    </w:p>
    <w:p>
      <w:pPr>
        <w:pStyle w:val="BodyText"/>
      </w:pPr>
      <w:r>
        <w:t xml:space="preserve">Attachment patterns often begin developing through repeated childhood experiences with caregivers, but they can continue to change throughout life.</w:t>
      </w:r>
    </w:p>
    <w:p>
      <w:pPr>
        <w:pStyle w:val="BodyText"/>
      </w:pPr>
      <w:r>
        <w:t xml:space="preserve">Attachment style is</w:t>
      </w:r>
      <w:r>
        <w:t xml:space="preserve"> </w:t>
      </w:r>
      <w:r>
        <w:rPr>
          <w:b/>
          <w:bCs/>
        </w:rPr>
        <w:t xml:space="preserve">not a mental health diagnosis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0" w:name="secure-attachment"/>
    <w:p>
      <w:pPr>
        <w:pStyle w:val="Heading2"/>
      </w:pPr>
      <w:r>
        <w:t xml:space="preserve">Secure Attachment</w:t>
      </w:r>
    </w:p>
    <w:p>
      <w:pPr>
        <w:pStyle w:val="FirstParagraph"/>
      </w:pPr>
      <w:r>
        <w:rPr>
          <w:b/>
          <w:bCs/>
        </w:rPr>
        <w:t xml:space="preserve">Secure attachment</w:t>
      </w:r>
      <w:r>
        <w:t xml:space="preserve"> </w:t>
      </w:r>
      <w:r>
        <w:t xml:space="preserve">is generally associated with comfort with both closeness and independence.</w:t>
      </w:r>
    </w:p>
    <w:p>
      <w:pPr>
        <w:pStyle w:val="BodyText"/>
      </w:pPr>
      <w:r>
        <w:t xml:space="preserve">A person with secure attachment characteristics may:</w:t>
      </w:r>
    </w:p>
    <w:p>
      <w:pPr>
        <w:pStyle w:val="Compact"/>
        <w:numPr>
          <w:ilvl w:val="0"/>
          <w:numId w:val="1001"/>
        </w:numPr>
      </w:pPr>
      <w:r>
        <w:t xml:space="preserve">Trust people who consistently demonstrate trustworthiness</w:t>
      </w:r>
    </w:p>
    <w:p>
      <w:pPr>
        <w:pStyle w:val="Compact"/>
        <w:numPr>
          <w:ilvl w:val="0"/>
          <w:numId w:val="1001"/>
        </w:numPr>
      </w:pPr>
      <w:r>
        <w:t xml:space="preserve">Ask for help when needed</w:t>
      </w:r>
    </w:p>
    <w:p>
      <w:pPr>
        <w:pStyle w:val="Compact"/>
        <w:numPr>
          <w:ilvl w:val="0"/>
          <w:numId w:val="1001"/>
        </w:numPr>
      </w:pPr>
      <w:r>
        <w:t xml:space="preserve">Express emotions and needs</w:t>
      </w:r>
    </w:p>
    <w:p>
      <w:pPr>
        <w:pStyle w:val="Compact"/>
        <w:numPr>
          <w:ilvl w:val="0"/>
          <w:numId w:val="1001"/>
        </w:numPr>
      </w:pPr>
      <w:r>
        <w:t xml:space="preserve">Maintain healthy boundaries</w:t>
      </w:r>
    </w:p>
    <w:p>
      <w:pPr>
        <w:pStyle w:val="Compact"/>
        <w:numPr>
          <w:ilvl w:val="0"/>
          <w:numId w:val="1001"/>
        </w:numPr>
      </w:pPr>
      <w:r>
        <w:t xml:space="preserve">Allow others appropriate independence</w:t>
      </w:r>
    </w:p>
    <w:p>
      <w:pPr>
        <w:pStyle w:val="Compact"/>
        <w:numPr>
          <w:ilvl w:val="0"/>
          <w:numId w:val="1001"/>
        </w:numPr>
      </w:pPr>
      <w:r>
        <w:t xml:space="preserve">Manage disagreement without immediately fearing abandonment</w:t>
      </w:r>
    </w:p>
    <w:p>
      <w:pPr>
        <w:pStyle w:val="Compact"/>
        <w:numPr>
          <w:ilvl w:val="0"/>
          <w:numId w:val="1001"/>
        </w:numPr>
      </w:pPr>
      <w:r>
        <w:t xml:space="preserve">Repair relationships after conflict</w:t>
      </w:r>
    </w:p>
    <w:p>
      <w:pPr>
        <w:pStyle w:val="FirstParagraph"/>
      </w:pPr>
      <w:r>
        <w:t xml:space="preserve">Secure attachment does not mean a person never experiences fear, conflict, or relationship difficulties.</w:t>
      </w:r>
    </w:p>
    <w:p>
      <w:r>
        <w:pict>
          <v:rect style="width:0;height:1.5pt" o:hralign="center" o:hrstd="t" o:hr="t"/>
        </w:pict>
      </w:r>
    </w:p>
    <w:bookmarkEnd w:id="10"/>
    <w:bookmarkStart w:id="11" w:name="anxious-attachment"/>
    <w:p>
      <w:pPr>
        <w:pStyle w:val="Heading2"/>
      </w:pPr>
      <w:r>
        <w:t xml:space="preserve">Anxious Attachment</w:t>
      </w:r>
    </w:p>
    <w:p>
      <w:pPr>
        <w:pStyle w:val="FirstParagraph"/>
      </w:pPr>
      <w:r>
        <w:rPr>
          <w:b/>
          <w:bCs/>
        </w:rPr>
        <w:t xml:space="preserve">Anxious attachment</w:t>
      </w:r>
      <w:r>
        <w:t xml:space="preserve"> </w:t>
      </w:r>
      <w:r>
        <w:t xml:space="preserve">is generally associated with a strong desire for connection combined with increased sensitivity to rejection, separation, or abandonment.</w:t>
      </w:r>
    </w:p>
    <w:p>
      <w:pPr>
        <w:pStyle w:val="BodyText"/>
      </w:pPr>
      <w:r>
        <w:t xml:space="preserve">A person may:</w:t>
      </w:r>
    </w:p>
    <w:p>
      <w:pPr>
        <w:pStyle w:val="Compact"/>
        <w:numPr>
          <w:ilvl w:val="0"/>
          <w:numId w:val="1002"/>
        </w:numPr>
      </w:pPr>
      <w:r>
        <w:t xml:space="preserve">Frequently seek reassurance</w:t>
      </w:r>
    </w:p>
    <w:p>
      <w:pPr>
        <w:pStyle w:val="Compact"/>
        <w:numPr>
          <w:ilvl w:val="0"/>
          <w:numId w:val="1002"/>
        </w:numPr>
      </w:pPr>
      <w:r>
        <w:t xml:space="preserve">Worry that others will leave</w:t>
      </w:r>
    </w:p>
    <w:p>
      <w:pPr>
        <w:pStyle w:val="Compact"/>
        <w:numPr>
          <w:ilvl w:val="0"/>
          <w:numId w:val="1002"/>
        </w:numPr>
      </w:pPr>
      <w:r>
        <w:t xml:space="preserve">Become distressed when someone becomes distant</w:t>
      </w:r>
    </w:p>
    <w:p>
      <w:pPr>
        <w:pStyle w:val="Compact"/>
        <w:numPr>
          <w:ilvl w:val="0"/>
          <w:numId w:val="1002"/>
        </w:numPr>
      </w:pPr>
      <w:r>
        <w:t xml:space="preserve">Closely monitor changes in another person’s mood or behavior</w:t>
      </w:r>
    </w:p>
    <w:p>
      <w:pPr>
        <w:pStyle w:val="Compact"/>
        <w:numPr>
          <w:ilvl w:val="0"/>
          <w:numId w:val="1002"/>
        </w:numPr>
      </w:pPr>
      <w:r>
        <w:t xml:space="preserve">Interpret silence or space as rejection</w:t>
      </w:r>
    </w:p>
    <w:p>
      <w:pPr>
        <w:pStyle w:val="Compact"/>
        <w:numPr>
          <w:ilvl w:val="0"/>
          <w:numId w:val="1002"/>
        </w:numPr>
      </w:pPr>
      <w:r>
        <w:t xml:space="preserve">Have difficulty tolerating uncertainty in relationships</w:t>
      </w:r>
    </w:p>
    <w:p>
      <w:pPr>
        <w:pStyle w:val="Compact"/>
        <w:numPr>
          <w:ilvl w:val="0"/>
          <w:numId w:val="1002"/>
        </w:numPr>
      </w:pPr>
      <w:r>
        <w:t xml:space="preserve">Put personal needs aside to preserve connection</w:t>
      </w:r>
    </w:p>
    <w:p>
      <w:pPr>
        <w:pStyle w:val="FirstParagraph"/>
      </w:pPr>
      <w:r>
        <w:t xml:space="preserve">A common underlying concern may be:</w:t>
      </w:r>
    </w:p>
    <w:p>
      <w:pPr>
        <w:pStyle w:val="BodyText"/>
      </w:pPr>
      <w:r>
        <w:rPr>
          <w:b/>
          <w:bCs/>
        </w:rPr>
        <w:t xml:space="preserve">“Are we okay, and are you still here?”</w:t>
      </w:r>
    </w:p>
    <w:p>
      <w:r>
        <w:pict>
          <v:rect style="width:0;height:1.5pt" o:hralign="center" o:hrstd="t" o:hr="t"/>
        </w:pict>
      </w:r>
    </w:p>
    <w:bookmarkEnd w:id="11"/>
    <w:bookmarkStart w:id="12" w:name="avoidant-attachment"/>
    <w:p>
      <w:pPr>
        <w:pStyle w:val="Heading2"/>
      </w:pPr>
      <w:r>
        <w:t xml:space="preserve">Avoidant Attachment</w:t>
      </w:r>
    </w:p>
    <w:p>
      <w:pPr>
        <w:pStyle w:val="FirstParagraph"/>
      </w:pPr>
      <w:r>
        <w:rPr>
          <w:b/>
          <w:bCs/>
        </w:rPr>
        <w:t xml:space="preserve">Avoidant attachment</w:t>
      </w:r>
      <w:r>
        <w:t xml:space="preserve"> </w:t>
      </w:r>
      <w:r>
        <w:t xml:space="preserve">is generally associated with strong self-reliance and discomfort with emotional dependence or vulnerability.</w:t>
      </w:r>
    </w:p>
    <w:p>
      <w:pPr>
        <w:pStyle w:val="BodyText"/>
      </w:pPr>
      <w:r>
        <w:t xml:space="preserve">A person may:</w:t>
      </w:r>
    </w:p>
    <w:p>
      <w:pPr>
        <w:pStyle w:val="Compact"/>
        <w:numPr>
          <w:ilvl w:val="0"/>
          <w:numId w:val="1003"/>
        </w:numPr>
      </w:pPr>
      <w:r>
        <w:t xml:space="preserve">Prefer solving problems alone</w:t>
      </w:r>
    </w:p>
    <w:p>
      <w:pPr>
        <w:pStyle w:val="Compact"/>
        <w:numPr>
          <w:ilvl w:val="0"/>
          <w:numId w:val="1003"/>
        </w:numPr>
      </w:pPr>
      <w:r>
        <w:t xml:space="preserve">Have difficulty asking for support</w:t>
      </w:r>
    </w:p>
    <w:p>
      <w:pPr>
        <w:pStyle w:val="Compact"/>
        <w:numPr>
          <w:ilvl w:val="0"/>
          <w:numId w:val="1003"/>
        </w:numPr>
      </w:pPr>
      <w:r>
        <w:t xml:space="preserve">Withdraw during emotional conflict</w:t>
      </w:r>
    </w:p>
    <w:p>
      <w:pPr>
        <w:pStyle w:val="Compact"/>
        <w:numPr>
          <w:ilvl w:val="0"/>
          <w:numId w:val="1003"/>
        </w:numPr>
      </w:pPr>
      <w:r>
        <w:t xml:space="preserve">Minimize emotional needs</w:t>
      </w:r>
    </w:p>
    <w:p>
      <w:pPr>
        <w:pStyle w:val="Compact"/>
        <w:numPr>
          <w:ilvl w:val="0"/>
          <w:numId w:val="1003"/>
        </w:numPr>
      </w:pPr>
      <w:r>
        <w:t xml:space="preserve">Feel uncomfortable depending on others</w:t>
      </w:r>
    </w:p>
    <w:p>
      <w:pPr>
        <w:pStyle w:val="Compact"/>
        <w:numPr>
          <w:ilvl w:val="0"/>
          <w:numId w:val="1003"/>
        </w:numPr>
      </w:pPr>
      <w:r>
        <w:t xml:space="preserve">Distance themselves when relationships become emotionally intense</w:t>
      </w:r>
    </w:p>
    <w:p>
      <w:pPr>
        <w:pStyle w:val="Compact"/>
        <w:numPr>
          <w:ilvl w:val="0"/>
          <w:numId w:val="1003"/>
        </w:numPr>
      </w:pPr>
      <w:r>
        <w:t xml:space="preserve">Have difficulty discussing vulnerable feelings</w:t>
      </w:r>
    </w:p>
    <w:p>
      <w:pPr>
        <w:pStyle w:val="FirstParagraph"/>
      </w:pPr>
      <w:r>
        <w:t xml:space="preserve">A common underlying strategy may be:</w:t>
      </w:r>
    </w:p>
    <w:p>
      <w:pPr>
        <w:pStyle w:val="BodyText"/>
      </w:pPr>
      <w:r>
        <w:rPr>
          <w:b/>
          <w:bCs/>
        </w:rPr>
        <w:t xml:space="preserve">“I am safer if I depend on myself.”</w:t>
      </w:r>
    </w:p>
    <w:p>
      <w:r>
        <w:pict>
          <v:rect style="width:0;height:1.5pt" o:hralign="center" o:hrstd="t" o:hr="t"/>
        </w:pict>
      </w:r>
    </w:p>
    <w:bookmarkEnd w:id="12"/>
    <w:bookmarkStart w:id="13" w:name="fearfuldisorganized-attachment"/>
    <w:p>
      <w:pPr>
        <w:pStyle w:val="Heading2"/>
      </w:pPr>
      <w:r>
        <w:t xml:space="preserve">Fearful/Disorganized Attachment</w:t>
      </w:r>
    </w:p>
    <w:p>
      <w:pPr>
        <w:pStyle w:val="FirstParagraph"/>
      </w:pPr>
      <w:r>
        <w:rPr>
          <w:b/>
          <w:bCs/>
        </w:rPr>
        <w:t xml:space="preserve">Fearful or disorganized attachment</w:t>
      </w:r>
      <w:r>
        <w:t xml:space="preserve"> </w:t>
      </w:r>
      <w:r>
        <w:t xml:space="preserve">may involve wanting emotional connection while also experiencing closeness as frightening, unpredictable, or unsafe.</w:t>
      </w:r>
    </w:p>
    <w:p>
      <w:pPr>
        <w:pStyle w:val="BodyText"/>
      </w:pPr>
      <w:r>
        <w:t xml:space="preserve">A person may:</w:t>
      </w:r>
    </w:p>
    <w:p>
      <w:pPr>
        <w:pStyle w:val="Compact"/>
        <w:numPr>
          <w:ilvl w:val="0"/>
          <w:numId w:val="1004"/>
        </w:numPr>
      </w:pPr>
      <w:r>
        <w:t xml:space="preserve">Desire closeness and then withdraw</w:t>
      </w:r>
    </w:p>
    <w:p>
      <w:pPr>
        <w:pStyle w:val="Compact"/>
        <w:numPr>
          <w:ilvl w:val="0"/>
          <w:numId w:val="1004"/>
        </w:numPr>
      </w:pPr>
      <w:r>
        <w:t xml:space="preserve">Fear both rejection and intimacy</w:t>
      </w:r>
    </w:p>
    <w:p>
      <w:pPr>
        <w:pStyle w:val="Compact"/>
        <w:numPr>
          <w:ilvl w:val="0"/>
          <w:numId w:val="1004"/>
        </w:numPr>
      </w:pPr>
      <w:r>
        <w:t xml:space="preserve">Have difficulty trusting others</w:t>
      </w:r>
    </w:p>
    <w:p>
      <w:pPr>
        <w:pStyle w:val="Compact"/>
        <w:numPr>
          <w:ilvl w:val="0"/>
          <w:numId w:val="1004"/>
        </w:numPr>
      </w:pPr>
      <w:r>
        <w:t xml:space="preserve">Push someone away and later fear losing them</w:t>
      </w:r>
    </w:p>
    <w:p>
      <w:pPr>
        <w:pStyle w:val="Compact"/>
        <w:numPr>
          <w:ilvl w:val="0"/>
          <w:numId w:val="1004"/>
        </w:numPr>
      </w:pPr>
      <w:r>
        <w:t xml:space="preserve">Become overwhelmed during conflict</w:t>
      </w:r>
    </w:p>
    <w:p>
      <w:pPr>
        <w:pStyle w:val="Compact"/>
        <w:numPr>
          <w:ilvl w:val="0"/>
          <w:numId w:val="1004"/>
        </w:numPr>
      </w:pPr>
      <w:r>
        <w:t xml:space="preserve">Alternate between seeking reassurance and creating distance</w:t>
      </w:r>
    </w:p>
    <w:p>
      <w:pPr>
        <w:pStyle w:val="Compact"/>
        <w:numPr>
          <w:ilvl w:val="0"/>
          <w:numId w:val="1004"/>
        </w:numPr>
      </w:pPr>
      <w:r>
        <w:t xml:space="preserve">Experience relationships as both comforting and threatening</w:t>
      </w:r>
    </w:p>
    <w:p>
      <w:pPr>
        <w:pStyle w:val="FirstParagraph"/>
      </w:pPr>
      <w:r>
        <w:t xml:space="preserve">A common internal conflict may be:</w:t>
      </w:r>
    </w:p>
    <w:p>
      <w:pPr>
        <w:pStyle w:val="BodyText"/>
      </w:pPr>
      <w:r>
        <w:rPr>
          <w:b/>
          <w:bCs/>
        </w:rPr>
        <w:t xml:space="preserve">“I need connection, but connection may not be safe.”</w:t>
      </w:r>
    </w:p>
    <w:p>
      <w:r>
        <w:pict>
          <v:rect style="width:0;height:1.5pt" o:hralign="center" o:hrstd="t" o:hr="t"/>
        </w:pict>
      </w:r>
    </w:p>
    <w:bookmarkEnd w:id="13"/>
    <w:bookmarkStart w:id="14" w:name="attachment-pattern"/>
    <w:p>
      <w:pPr>
        <w:pStyle w:val="Heading2"/>
      </w:pPr>
      <w:r>
        <w:t xml:space="preserve">Attachment Pattern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/>
          <w:bCs/>
        </w:rPr>
        <w:t xml:space="preserve">attachment pattern</w:t>
      </w:r>
      <w:r>
        <w:t xml:space="preserve"> </w:t>
      </w:r>
      <w:r>
        <w:t xml:space="preserve">is a recurring way a person tends to respond to closeness, separation, trust, vulnerability, conflict, or dependence.</w:t>
      </w:r>
    </w:p>
    <w:p>
      <w:pPr>
        <w:pStyle w:val="BodyText"/>
      </w:pPr>
      <w:r>
        <w:t xml:space="preserve">People may demonstrate characteristics from more than one attachment style.</w:t>
      </w:r>
    </w:p>
    <w:p>
      <w:pPr>
        <w:pStyle w:val="BodyText"/>
      </w:pPr>
      <w:r>
        <w:t xml:space="preserve">Attachment patterns can also change depending on:</w:t>
      </w:r>
    </w:p>
    <w:p>
      <w:pPr>
        <w:pStyle w:val="Compact"/>
        <w:numPr>
          <w:ilvl w:val="0"/>
          <w:numId w:val="1005"/>
        </w:numPr>
      </w:pPr>
      <w:r>
        <w:t xml:space="preserve">The relationship</w:t>
      </w:r>
    </w:p>
    <w:p>
      <w:pPr>
        <w:pStyle w:val="Compact"/>
        <w:numPr>
          <w:ilvl w:val="0"/>
          <w:numId w:val="1005"/>
        </w:numPr>
      </w:pPr>
      <w:r>
        <w:t xml:space="preserve">Stress level</w:t>
      </w:r>
    </w:p>
    <w:p>
      <w:pPr>
        <w:pStyle w:val="Compact"/>
        <w:numPr>
          <w:ilvl w:val="0"/>
          <w:numId w:val="1005"/>
        </w:numPr>
      </w:pPr>
      <w:r>
        <w:t xml:space="preserve">Environment</w:t>
      </w:r>
    </w:p>
    <w:p>
      <w:pPr>
        <w:pStyle w:val="Compact"/>
        <w:numPr>
          <w:ilvl w:val="0"/>
          <w:numId w:val="1005"/>
        </w:numPr>
      </w:pPr>
      <w:r>
        <w:t xml:space="preserve">Life experiences</w:t>
      </w:r>
    </w:p>
    <w:p>
      <w:pPr>
        <w:pStyle w:val="Compact"/>
        <w:numPr>
          <w:ilvl w:val="0"/>
          <w:numId w:val="1005"/>
        </w:numPr>
      </w:pPr>
      <w:r>
        <w:t xml:space="preserve">Support systems</w:t>
      </w:r>
    </w:p>
    <w:p>
      <w:pPr>
        <w:pStyle w:val="Compact"/>
        <w:numPr>
          <w:ilvl w:val="0"/>
          <w:numId w:val="1005"/>
        </w:numPr>
      </w:pPr>
      <w:r>
        <w:t xml:space="preserve">Personal growth</w:t>
      </w:r>
    </w:p>
    <w:p>
      <w:r>
        <w:pict>
          <v:rect style="width:0;height:1.5pt" o:hralign="center" o:hrstd="t" o:hr="t"/>
        </w:pict>
      </w:r>
    </w:p>
    <w:bookmarkEnd w:id="14"/>
    <w:bookmarkStart w:id="15" w:name="adverse-childhood-experiences-aces"/>
    <w:p>
      <w:pPr>
        <w:pStyle w:val="Heading2"/>
      </w:pPr>
      <w:r>
        <w:t xml:space="preserve">Adverse Childhood Experiences (ACEs)</w:t>
      </w:r>
    </w:p>
    <w:p>
      <w:pPr>
        <w:pStyle w:val="FirstParagraph"/>
      </w:pPr>
      <w:r>
        <w:rPr>
          <w:b/>
          <w:bCs/>
        </w:rPr>
        <w:t xml:space="preserve">Adverse Childhood Experiences, or ACEs,</w:t>
      </w:r>
      <w:r>
        <w:t xml:space="preserve"> </w:t>
      </w:r>
      <w:r>
        <w:t xml:space="preserve">are categories of potentially stressful or traumatic experiences occurring before age 18.</w:t>
      </w:r>
    </w:p>
    <w:p>
      <w:pPr>
        <w:pStyle w:val="BodyText"/>
      </w:pPr>
      <w:r>
        <w:t xml:space="preserve">The original ACE framework includes experiences involving:</w:t>
      </w:r>
    </w:p>
    <w:p>
      <w:pPr>
        <w:pStyle w:val="Compact"/>
        <w:numPr>
          <w:ilvl w:val="0"/>
          <w:numId w:val="1006"/>
        </w:numPr>
      </w:pPr>
      <w:r>
        <w:t xml:space="preserve">Abuse</w:t>
      </w:r>
    </w:p>
    <w:p>
      <w:pPr>
        <w:pStyle w:val="Compact"/>
        <w:numPr>
          <w:ilvl w:val="0"/>
          <w:numId w:val="1006"/>
        </w:numPr>
      </w:pPr>
      <w:r>
        <w:t xml:space="preserve">Neglect</w:t>
      </w:r>
    </w:p>
    <w:p>
      <w:pPr>
        <w:pStyle w:val="Compact"/>
        <w:numPr>
          <w:ilvl w:val="0"/>
          <w:numId w:val="1006"/>
        </w:numPr>
      </w:pPr>
      <w:r>
        <w:t xml:space="preserve">Household substance use</w:t>
      </w:r>
    </w:p>
    <w:p>
      <w:pPr>
        <w:pStyle w:val="Compact"/>
        <w:numPr>
          <w:ilvl w:val="0"/>
          <w:numId w:val="1006"/>
        </w:numPr>
      </w:pPr>
      <w:r>
        <w:t xml:space="preserve">Household mental health challenges</w:t>
      </w:r>
    </w:p>
    <w:p>
      <w:pPr>
        <w:pStyle w:val="Compact"/>
        <w:numPr>
          <w:ilvl w:val="0"/>
          <w:numId w:val="1006"/>
        </w:numPr>
      </w:pPr>
      <w:r>
        <w:t xml:space="preserve">Domestic violence</w:t>
      </w:r>
    </w:p>
    <w:p>
      <w:pPr>
        <w:pStyle w:val="Compact"/>
        <w:numPr>
          <w:ilvl w:val="0"/>
          <w:numId w:val="1006"/>
        </w:numPr>
      </w:pPr>
      <w:r>
        <w:t xml:space="preserve">Parental separation or divorce</w:t>
      </w:r>
    </w:p>
    <w:p>
      <w:pPr>
        <w:pStyle w:val="Compact"/>
        <w:numPr>
          <w:ilvl w:val="0"/>
          <w:numId w:val="1006"/>
        </w:numPr>
      </w:pPr>
      <w:r>
        <w:t xml:space="preserve">Household incarceration</w:t>
      </w:r>
    </w:p>
    <w:p>
      <w:pPr>
        <w:pStyle w:val="FirstParagraph"/>
      </w:pPr>
      <w:r>
        <w:t xml:space="preserve">An ACE score represents the</w:t>
      </w:r>
      <w:r>
        <w:t xml:space="preserve"> </w:t>
      </w:r>
      <w:r>
        <w:rPr>
          <w:b/>
          <w:bCs/>
        </w:rPr>
        <w:t xml:space="preserve">number of categories reported</w:t>
      </w:r>
      <w:r>
        <w:t xml:space="preserve">.</w:t>
      </w:r>
    </w:p>
    <w:p>
      <w:pPr>
        <w:pStyle w:val="BodyText"/>
      </w:pPr>
      <w:r>
        <w:t xml:space="preserve">It does not measure:</w:t>
      </w:r>
    </w:p>
    <w:p>
      <w:pPr>
        <w:pStyle w:val="Compact"/>
        <w:numPr>
          <w:ilvl w:val="0"/>
          <w:numId w:val="1007"/>
        </w:numPr>
      </w:pPr>
      <w:r>
        <w:t xml:space="preserve">Severity</w:t>
      </w:r>
    </w:p>
    <w:p>
      <w:pPr>
        <w:pStyle w:val="Compact"/>
        <w:numPr>
          <w:ilvl w:val="0"/>
          <w:numId w:val="1007"/>
        </w:numPr>
      </w:pPr>
      <w:r>
        <w:t xml:space="preserve">Frequency</w:t>
      </w:r>
    </w:p>
    <w:p>
      <w:pPr>
        <w:pStyle w:val="Compact"/>
        <w:numPr>
          <w:ilvl w:val="0"/>
          <w:numId w:val="1007"/>
        </w:numPr>
      </w:pPr>
      <w:r>
        <w:t xml:space="preserve">Every possible childhood trauma</w:t>
      </w:r>
    </w:p>
    <w:p>
      <w:pPr>
        <w:pStyle w:val="Compact"/>
        <w:numPr>
          <w:ilvl w:val="0"/>
          <w:numId w:val="1007"/>
        </w:numPr>
      </w:pPr>
      <w:r>
        <w:t xml:space="preserve">Resilience</w:t>
      </w:r>
    </w:p>
    <w:p>
      <w:pPr>
        <w:pStyle w:val="Compact"/>
        <w:numPr>
          <w:ilvl w:val="0"/>
          <w:numId w:val="1007"/>
        </w:numPr>
      </w:pPr>
      <w:r>
        <w:t xml:space="preserve">Parenting ability</w:t>
      </w:r>
    </w:p>
    <w:p>
      <w:pPr>
        <w:pStyle w:val="Compact"/>
        <w:numPr>
          <w:ilvl w:val="0"/>
          <w:numId w:val="1007"/>
        </w:numPr>
      </w:pPr>
      <w:r>
        <w:t xml:space="preserve">Future outcomes</w:t>
      </w:r>
    </w:p>
    <w:p>
      <w:r>
        <w:pict>
          <v:rect style="width:0;height:1.5pt" o:hralign="center" o:hrstd="t" o:hr="t"/>
        </w:pict>
      </w:r>
    </w:p>
    <w:bookmarkEnd w:id="15"/>
    <w:bookmarkStart w:id="16" w:name="ace-score"/>
    <w:p>
      <w:pPr>
        <w:pStyle w:val="Heading2"/>
      </w:pPr>
      <w:r>
        <w:t xml:space="preserve">ACE Score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/>
          <w:bCs/>
        </w:rPr>
        <w:t xml:space="preserve">ACE score</w:t>
      </w:r>
      <w:r>
        <w:t xml:space="preserve"> </w:t>
      </w:r>
      <w:r>
        <w:t xml:space="preserve">is the total number of ACE categories a person reports experiencing.</w:t>
      </w:r>
    </w:p>
    <w:p>
      <w:pPr>
        <w:pStyle w:val="BodyText"/>
      </w:pPr>
      <w:r>
        <w:t xml:space="preserve">A higher score indicates exposure to more categories of childhood adversity.</w:t>
      </w:r>
    </w:p>
    <w:p>
      <w:pPr>
        <w:pStyle w:val="BodyText"/>
      </w:pPr>
      <w:r>
        <w:t xml:space="preserve">It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automatically mean that someone:</w:t>
      </w:r>
    </w:p>
    <w:p>
      <w:pPr>
        <w:pStyle w:val="Compact"/>
        <w:numPr>
          <w:ilvl w:val="0"/>
          <w:numId w:val="1008"/>
        </w:numPr>
      </w:pPr>
      <w:r>
        <w:t xml:space="preserve">Has PTSD</w:t>
      </w:r>
    </w:p>
    <w:p>
      <w:pPr>
        <w:pStyle w:val="Compact"/>
        <w:numPr>
          <w:ilvl w:val="0"/>
          <w:numId w:val="1008"/>
        </w:numPr>
      </w:pPr>
      <w:r>
        <w:t xml:space="preserve">Has insecure attachment</w:t>
      </w:r>
    </w:p>
    <w:p>
      <w:pPr>
        <w:pStyle w:val="Compact"/>
        <w:numPr>
          <w:ilvl w:val="0"/>
          <w:numId w:val="1008"/>
        </w:numPr>
      </w:pPr>
      <w:r>
        <w:t xml:space="preserve">Will experience relationship difficulties</w:t>
      </w:r>
    </w:p>
    <w:p>
      <w:pPr>
        <w:pStyle w:val="Compact"/>
        <w:numPr>
          <w:ilvl w:val="0"/>
          <w:numId w:val="1008"/>
        </w:numPr>
      </w:pPr>
      <w:r>
        <w:t xml:space="preserve">Has poor parenting skills</w:t>
      </w:r>
    </w:p>
    <w:p>
      <w:pPr>
        <w:pStyle w:val="Compact"/>
        <w:numPr>
          <w:ilvl w:val="0"/>
          <w:numId w:val="1008"/>
        </w:numPr>
      </w:pPr>
      <w:r>
        <w:t xml:space="preserve">Will experience negative outcomes</w:t>
      </w:r>
    </w:p>
    <w:p>
      <w:pPr>
        <w:pStyle w:val="FirstParagraph"/>
      </w:pPr>
      <w:r>
        <w:t xml:space="preserve">ACE scores should always be interpreted alongside other information.</w:t>
      </w:r>
    </w:p>
    <w:p>
      <w:r>
        <w:pict>
          <v:rect style="width:0;height:1.5pt" o:hralign="center" o:hrstd="t" o:hr="t"/>
        </w:pict>
      </w:r>
    </w:p>
    <w:bookmarkEnd w:id="16"/>
    <w:bookmarkStart w:id="17" w:name="trauma"/>
    <w:p>
      <w:pPr>
        <w:pStyle w:val="Heading2"/>
      </w:pPr>
      <w:r>
        <w:t xml:space="preserve">Trauma</w:t>
      </w:r>
    </w:p>
    <w:p>
      <w:pPr>
        <w:pStyle w:val="FirstParagraph"/>
      </w:pPr>
      <w:r>
        <w:rPr>
          <w:b/>
          <w:bCs/>
        </w:rPr>
        <w:t xml:space="preserve">Trauma</w:t>
      </w:r>
      <w:r>
        <w:t xml:space="preserve"> </w:t>
      </w:r>
      <w:r>
        <w:t xml:space="preserve">refers to the emotional, psychological, and physiological impact of experiences that overwhelm a person’s ability to cope or maintain a sense of safety.</w:t>
      </w:r>
    </w:p>
    <w:p>
      <w:pPr>
        <w:pStyle w:val="BodyText"/>
      </w:pPr>
      <w:r>
        <w:t xml:space="preserve">Two people can experience similar events and respond differently.</w:t>
      </w:r>
    </w:p>
    <w:p>
      <w:pPr>
        <w:pStyle w:val="BodyText"/>
      </w:pPr>
      <w:r>
        <w:t xml:space="preserve">Trauma is not determined only by what happened.</w:t>
      </w:r>
    </w:p>
    <w:p>
      <w:pPr>
        <w:pStyle w:val="BodyText"/>
      </w:pPr>
      <w:r>
        <w:t xml:space="preserve">The person’s experience, resources, relationships, developmental stage, and support systems also matter.</w:t>
      </w:r>
    </w:p>
    <w:p>
      <w:r>
        <w:pict>
          <v:rect style="width:0;height:1.5pt" o:hralign="center" o:hrstd="t" o:hr="t"/>
        </w:pict>
      </w:r>
    </w:p>
    <w:bookmarkEnd w:id="17"/>
    <w:bookmarkStart w:id="18" w:name="traumatic-attachment"/>
    <w:p>
      <w:pPr>
        <w:pStyle w:val="Heading2"/>
      </w:pPr>
      <w:r>
        <w:t xml:space="preserve">Traumatic Attachment</w:t>
      </w:r>
    </w:p>
    <w:p>
      <w:pPr>
        <w:pStyle w:val="FirstParagraph"/>
      </w:pPr>
      <w:r>
        <w:rPr>
          <w:b/>
          <w:bCs/>
        </w:rPr>
        <w:t xml:space="preserve">Traumatic attachment</w:t>
      </w:r>
      <w:r>
        <w:t xml:space="preserve"> </w:t>
      </w:r>
      <w:r>
        <w:t xml:space="preserve">describes attachment-related patterns that may develop when relationships necessary for safety and connection are also inconsistent, frightening, rejecting, unavailable, or unpredictable.</w:t>
      </w:r>
    </w:p>
    <w:p>
      <w:pPr>
        <w:pStyle w:val="BodyText"/>
      </w:pPr>
      <w:r>
        <w:t xml:space="preserve">A child may learn to:</w:t>
      </w:r>
    </w:p>
    <w:p>
      <w:pPr>
        <w:pStyle w:val="Compact"/>
        <w:numPr>
          <w:ilvl w:val="0"/>
          <w:numId w:val="1009"/>
        </w:numPr>
      </w:pPr>
      <w:r>
        <w:t xml:space="preserve">Monitor adults closely</w:t>
      </w:r>
    </w:p>
    <w:p>
      <w:pPr>
        <w:pStyle w:val="Compact"/>
        <w:numPr>
          <w:ilvl w:val="0"/>
          <w:numId w:val="1009"/>
        </w:numPr>
      </w:pPr>
      <w:r>
        <w:t xml:space="preserve">Avoid depending on others</w:t>
      </w:r>
    </w:p>
    <w:p>
      <w:pPr>
        <w:pStyle w:val="Compact"/>
        <w:numPr>
          <w:ilvl w:val="0"/>
          <w:numId w:val="1009"/>
        </w:numPr>
      </w:pPr>
      <w:r>
        <w:t xml:space="preserve">Seek constant reassurance</w:t>
      </w:r>
    </w:p>
    <w:p>
      <w:pPr>
        <w:pStyle w:val="Compact"/>
        <w:numPr>
          <w:ilvl w:val="0"/>
          <w:numId w:val="1009"/>
        </w:numPr>
      </w:pPr>
      <w:r>
        <w:t xml:space="preserve">Hide emotions</w:t>
      </w:r>
    </w:p>
    <w:p>
      <w:pPr>
        <w:pStyle w:val="Compact"/>
        <w:numPr>
          <w:ilvl w:val="0"/>
          <w:numId w:val="1009"/>
        </w:numPr>
      </w:pPr>
      <w:r>
        <w:t xml:space="preserve">Become extremely independent</w:t>
      </w:r>
    </w:p>
    <w:p>
      <w:pPr>
        <w:pStyle w:val="Compact"/>
        <w:numPr>
          <w:ilvl w:val="0"/>
          <w:numId w:val="1009"/>
        </w:numPr>
      </w:pPr>
      <w:r>
        <w:t xml:space="preserve">Please others to avoid conflict</w:t>
      </w:r>
    </w:p>
    <w:p>
      <w:pPr>
        <w:pStyle w:val="Compact"/>
        <w:numPr>
          <w:ilvl w:val="0"/>
          <w:numId w:val="1009"/>
        </w:numPr>
      </w:pPr>
      <w:r>
        <w:t xml:space="preserve">Fear abandonment</w:t>
      </w:r>
    </w:p>
    <w:p>
      <w:pPr>
        <w:pStyle w:val="Compact"/>
        <w:numPr>
          <w:ilvl w:val="0"/>
          <w:numId w:val="1009"/>
        </w:numPr>
      </w:pPr>
      <w:r>
        <w:t xml:space="preserve">Want connection while fearing it</w:t>
      </w:r>
    </w:p>
    <w:p>
      <w:pPr>
        <w:pStyle w:val="FirstParagraph"/>
      </w:pPr>
      <w:r>
        <w:t xml:space="preserve">These behaviors may begin as adaptive ways of managing an unpredictable environment.</w:t>
      </w:r>
    </w:p>
    <w:p>
      <w:r>
        <w:pict>
          <v:rect style="width:0;height:1.5pt" o:hralign="center" o:hrstd="t" o:hr="t"/>
        </w:pict>
      </w:r>
    </w:p>
    <w:bookmarkEnd w:id="18"/>
    <w:bookmarkStart w:id="19" w:name="trauma-related-adaptation"/>
    <w:p>
      <w:pPr>
        <w:pStyle w:val="Heading2"/>
      </w:pPr>
      <w:r>
        <w:t xml:space="preserve">Trauma-Related Adaptation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trauma-related adaptation</w:t>
      </w:r>
      <w:r>
        <w:t xml:space="preserve"> </w:t>
      </w:r>
      <w:r>
        <w:t xml:space="preserve">is a behavior or strategy that may have helped someone function, cope, or remain safe during difficult circumstances.</w:t>
      </w:r>
    </w:p>
    <w:p>
      <w:pPr>
        <w:pStyle w:val="BodyText"/>
      </w:pPr>
      <w:r>
        <w:t xml:space="preserve">Examples may include:</w:t>
      </w:r>
    </w:p>
    <w:p>
      <w:pPr>
        <w:pStyle w:val="Compact"/>
        <w:numPr>
          <w:ilvl w:val="0"/>
          <w:numId w:val="1010"/>
        </w:numPr>
      </w:pPr>
      <w:r>
        <w:t xml:space="preserve">Hyper-independence</w:t>
      </w:r>
    </w:p>
    <w:p>
      <w:pPr>
        <w:pStyle w:val="Compact"/>
        <w:numPr>
          <w:ilvl w:val="0"/>
          <w:numId w:val="1010"/>
        </w:numPr>
      </w:pPr>
      <w:r>
        <w:t xml:space="preserve">Monitoring other people’s moods</w:t>
      </w:r>
    </w:p>
    <w:p>
      <w:pPr>
        <w:pStyle w:val="Compact"/>
        <w:numPr>
          <w:ilvl w:val="0"/>
          <w:numId w:val="1010"/>
        </w:numPr>
      </w:pPr>
      <w:r>
        <w:t xml:space="preserve">Avoidance</w:t>
      </w:r>
    </w:p>
    <w:p>
      <w:pPr>
        <w:pStyle w:val="Compact"/>
        <w:numPr>
          <w:ilvl w:val="0"/>
          <w:numId w:val="1010"/>
        </w:numPr>
      </w:pPr>
      <w:r>
        <w:t xml:space="preserve">Emotional withdrawal</w:t>
      </w:r>
    </w:p>
    <w:p>
      <w:pPr>
        <w:pStyle w:val="Compact"/>
        <w:numPr>
          <w:ilvl w:val="0"/>
          <w:numId w:val="1010"/>
        </w:numPr>
      </w:pPr>
      <w:r>
        <w:t xml:space="preserve">People-pleasing</w:t>
      </w:r>
    </w:p>
    <w:p>
      <w:pPr>
        <w:pStyle w:val="Compact"/>
        <w:numPr>
          <w:ilvl w:val="0"/>
          <w:numId w:val="1010"/>
        </w:numPr>
      </w:pPr>
      <w:r>
        <w:t xml:space="preserve">Reassurance-seeking</w:t>
      </w:r>
    </w:p>
    <w:p>
      <w:pPr>
        <w:pStyle w:val="Compact"/>
        <w:numPr>
          <w:ilvl w:val="0"/>
          <w:numId w:val="1010"/>
        </w:numPr>
      </w:pPr>
      <w:r>
        <w:t xml:space="preserve">Controlling behavior</w:t>
      </w:r>
    </w:p>
    <w:p>
      <w:pPr>
        <w:pStyle w:val="Compact"/>
        <w:numPr>
          <w:ilvl w:val="0"/>
          <w:numId w:val="1010"/>
        </w:numPr>
      </w:pPr>
      <w:r>
        <w:t xml:space="preserve">Difficulty trusting others</w:t>
      </w:r>
    </w:p>
    <w:p>
      <w:pPr>
        <w:pStyle w:val="FirstParagraph"/>
      </w:pPr>
      <w:r>
        <w:t xml:space="preserve">An adaptation may continue even after the original circumstances have changed.</w:t>
      </w:r>
    </w:p>
    <w:p>
      <w:r>
        <w:pict>
          <v:rect style="width:0;height:1.5pt" o:hralign="center" o:hrstd="t" o:hr="t"/>
        </w:pict>
      </w:r>
    </w:p>
    <w:bookmarkEnd w:id="19"/>
    <w:bookmarkStart w:id="20" w:name="complex-trauma"/>
    <w:p>
      <w:pPr>
        <w:pStyle w:val="Heading2"/>
      </w:pPr>
      <w:r>
        <w:t xml:space="preserve">Complex Trauma</w:t>
      </w:r>
    </w:p>
    <w:p>
      <w:pPr>
        <w:pStyle w:val="FirstParagraph"/>
      </w:pPr>
      <w:r>
        <w:rPr>
          <w:b/>
          <w:bCs/>
        </w:rPr>
        <w:t xml:space="preserve">Complex trauma</w:t>
      </w:r>
      <w:r>
        <w:t xml:space="preserve"> </w:t>
      </w:r>
      <w:r>
        <w:t xml:space="preserve">generally refers to repeated, prolonged, or multiple traumatic experiences, particularly when those experiences occur during childhood or within important relationships.</w:t>
      </w:r>
    </w:p>
    <w:p>
      <w:pPr>
        <w:pStyle w:val="BodyText"/>
      </w:pPr>
      <w:r>
        <w:t xml:space="preserve">Complex trauma can affect:</w:t>
      </w:r>
    </w:p>
    <w:p>
      <w:pPr>
        <w:pStyle w:val="Compact"/>
        <w:numPr>
          <w:ilvl w:val="0"/>
          <w:numId w:val="1011"/>
        </w:numPr>
      </w:pPr>
      <w:r>
        <w:t xml:space="preserve">Emotional regulation</w:t>
      </w:r>
    </w:p>
    <w:p>
      <w:pPr>
        <w:pStyle w:val="Compact"/>
        <w:numPr>
          <w:ilvl w:val="0"/>
          <w:numId w:val="1011"/>
        </w:numPr>
      </w:pPr>
      <w:r>
        <w:t xml:space="preserve">Trust</w:t>
      </w:r>
    </w:p>
    <w:p>
      <w:pPr>
        <w:pStyle w:val="Compact"/>
        <w:numPr>
          <w:ilvl w:val="0"/>
          <w:numId w:val="1011"/>
        </w:numPr>
      </w:pPr>
      <w:r>
        <w:t xml:space="preserve">Relationships</w:t>
      </w:r>
    </w:p>
    <w:p>
      <w:pPr>
        <w:pStyle w:val="Compact"/>
        <w:numPr>
          <w:ilvl w:val="0"/>
          <w:numId w:val="1011"/>
        </w:numPr>
      </w:pPr>
      <w:r>
        <w:t xml:space="preserve">Self-image</w:t>
      </w:r>
    </w:p>
    <w:p>
      <w:pPr>
        <w:pStyle w:val="Compact"/>
        <w:numPr>
          <w:ilvl w:val="0"/>
          <w:numId w:val="1011"/>
        </w:numPr>
      </w:pPr>
      <w:r>
        <w:t xml:space="preserve">Sense of safety</w:t>
      </w:r>
    </w:p>
    <w:p>
      <w:pPr>
        <w:pStyle w:val="Compact"/>
        <w:numPr>
          <w:ilvl w:val="0"/>
          <w:numId w:val="1011"/>
        </w:numPr>
      </w:pPr>
      <w:r>
        <w:t xml:space="preserve">Responses to conflict</w:t>
      </w:r>
    </w:p>
    <w:p>
      <w:pPr>
        <w:pStyle w:val="Compact"/>
        <w:numPr>
          <w:ilvl w:val="0"/>
          <w:numId w:val="1011"/>
        </w:numPr>
      </w:pPr>
      <w:r>
        <w:t xml:space="preserve">Attachment</w:t>
      </w:r>
    </w:p>
    <w:p>
      <w:pPr>
        <w:pStyle w:val="Compact"/>
        <w:numPr>
          <w:ilvl w:val="0"/>
          <w:numId w:val="1011"/>
        </w:numPr>
      </w:pPr>
      <w:r>
        <w:t xml:space="preserve">Behavior</w:t>
      </w:r>
    </w:p>
    <w:p>
      <w:pPr>
        <w:pStyle w:val="FirstParagraph"/>
      </w:pPr>
      <w:r>
        <w:t xml:space="preserve">Complex trauma is broader than a single difficult experience.</w:t>
      </w:r>
    </w:p>
    <w:p>
      <w:r>
        <w:pict>
          <v:rect style="width:0;height:1.5pt" o:hralign="center" o:hrstd="t" o:hr="t"/>
        </w:pict>
      </w:r>
    </w:p>
    <w:bookmarkEnd w:id="20"/>
    <w:bookmarkStart w:id="21" w:name="post-traumatic-stress-disorder-ptsd"/>
    <w:p>
      <w:pPr>
        <w:pStyle w:val="Heading2"/>
      </w:pPr>
      <w:r>
        <w:t xml:space="preserve">Post-Traumatic Stress Disorder (PTSD)</w:t>
      </w:r>
    </w:p>
    <w:p>
      <w:pPr>
        <w:pStyle w:val="FirstParagraph"/>
      </w:pPr>
      <w:r>
        <w:rPr>
          <w:b/>
          <w:bCs/>
        </w:rPr>
        <w:t xml:space="preserve">Post-Traumatic Stress Disorder, or PTSD,</w:t>
      </w:r>
      <w:r>
        <w:t xml:space="preserve"> </w:t>
      </w:r>
      <w:r>
        <w:t xml:space="preserve">is a recognized mental health condition that may develop after exposure to traumatic events.</w:t>
      </w:r>
    </w:p>
    <w:p>
      <w:pPr>
        <w:pStyle w:val="BodyText"/>
      </w:pPr>
      <w:r>
        <w:t xml:space="preserve">PTSD may involve:</w:t>
      </w:r>
    </w:p>
    <w:p>
      <w:pPr>
        <w:pStyle w:val="Compact"/>
        <w:numPr>
          <w:ilvl w:val="0"/>
          <w:numId w:val="1012"/>
        </w:numPr>
      </w:pPr>
      <w:r>
        <w:t xml:space="preserve">Intrusive memories</w:t>
      </w:r>
    </w:p>
    <w:p>
      <w:pPr>
        <w:pStyle w:val="Compact"/>
        <w:numPr>
          <w:ilvl w:val="0"/>
          <w:numId w:val="1012"/>
        </w:numPr>
      </w:pPr>
      <w:r>
        <w:t xml:space="preserve">Nightmares</w:t>
      </w:r>
    </w:p>
    <w:p>
      <w:pPr>
        <w:pStyle w:val="Compact"/>
        <w:numPr>
          <w:ilvl w:val="0"/>
          <w:numId w:val="1012"/>
        </w:numPr>
      </w:pPr>
      <w:r>
        <w:t xml:space="preserve">Flashbacks</w:t>
      </w:r>
    </w:p>
    <w:p>
      <w:pPr>
        <w:pStyle w:val="Compact"/>
        <w:numPr>
          <w:ilvl w:val="0"/>
          <w:numId w:val="1012"/>
        </w:numPr>
      </w:pPr>
      <w:r>
        <w:t xml:space="preserve">Avoidance of trauma reminders</w:t>
      </w:r>
    </w:p>
    <w:p>
      <w:pPr>
        <w:pStyle w:val="Compact"/>
        <w:numPr>
          <w:ilvl w:val="0"/>
          <w:numId w:val="1012"/>
        </w:numPr>
      </w:pPr>
      <w:r>
        <w:t xml:space="preserve">Heightened alertness</w:t>
      </w:r>
    </w:p>
    <w:p>
      <w:pPr>
        <w:pStyle w:val="Compact"/>
        <w:numPr>
          <w:ilvl w:val="0"/>
          <w:numId w:val="1012"/>
        </w:numPr>
      </w:pPr>
      <w:r>
        <w:t xml:space="preserve">Strong startle responses</w:t>
      </w:r>
    </w:p>
    <w:p>
      <w:pPr>
        <w:pStyle w:val="Compact"/>
        <w:numPr>
          <w:ilvl w:val="0"/>
          <w:numId w:val="1012"/>
        </w:numPr>
      </w:pPr>
      <w:r>
        <w:t xml:space="preserve">Emotional or physical reactions to reminders</w:t>
      </w:r>
    </w:p>
    <w:p>
      <w:pPr>
        <w:pStyle w:val="Compact"/>
        <w:numPr>
          <w:ilvl w:val="0"/>
          <w:numId w:val="1012"/>
        </w:numPr>
      </w:pPr>
      <w:r>
        <w:t xml:space="preserve">Changes in mood or thinking related to the trauma</w:t>
      </w:r>
    </w:p>
    <w:p>
      <w:pPr>
        <w:pStyle w:val="FirstParagraph"/>
      </w:pPr>
      <w:r>
        <w:t xml:space="preserve">PTSD requires professional assessment and should not be diagnosed through an attachment questionnaire or ACE score.</w:t>
      </w:r>
    </w:p>
    <w:p>
      <w:r>
        <w:pict>
          <v:rect style="width:0;height:1.5pt" o:hralign="center" o:hrstd="t" o:hr="t"/>
        </w:pict>
      </w:r>
    </w:p>
    <w:bookmarkEnd w:id="21"/>
    <w:bookmarkStart w:id="22" w:name="complex-ptsd"/>
    <w:p>
      <w:pPr>
        <w:pStyle w:val="Heading2"/>
      </w:pPr>
      <w:r>
        <w:t xml:space="preserve">Complex PTSD</w:t>
      </w:r>
    </w:p>
    <w:p>
      <w:pPr>
        <w:pStyle w:val="FirstParagraph"/>
      </w:pPr>
      <w:r>
        <w:rPr>
          <w:b/>
          <w:bCs/>
        </w:rPr>
        <w:t xml:space="preserve">Complex PTSD</w:t>
      </w:r>
      <w:r>
        <w:t xml:space="preserve"> </w:t>
      </w:r>
      <w:r>
        <w:t xml:space="preserve">is a trauma-related condition recognized in some diagnostic systems and is generally associated with prolonged or repeated trauma.</w:t>
      </w:r>
    </w:p>
    <w:p>
      <w:pPr>
        <w:pStyle w:val="BodyText"/>
      </w:pPr>
      <w:r>
        <w:t xml:space="preserve">In addition to PTSD-related symptoms, it may involve ongoing difficulties with:</w:t>
      </w:r>
    </w:p>
    <w:p>
      <w:pPr>
        <w:pStyle w:val="Compact"/>
        <w:numPr>
          <w:ilvl w:val="0"/>
          <w:numId w:val="1013"/>
        </w:numPr>
      </w:pPr>
      <w:r>
        <w:t xml:space="preserve">Emotional regulation</w:t>
      </w:r>
    </w:p>
    <w:p>
      <w:pPr>
        <w:pStyle w:val="Compact"/>
        <w:numPr>
          <w:ilvl w:val="0"/>
          <w:numId w:val="1013"/>
        </w:numPr>
      </w:pPr>
      <w:r>
        <w:t xml:space="preserve">Self-concept</w:t>
      </w:r>
    </w:p>
    <w:p>
      <w:pPr>
        <w:pStyle w:val="Compact"/>
        <w:numPr>
          <w:ilvl w:val="0"/>
          <w:numId w:val="1013"/>
        </w:numPr>
      </w:pPr>
      <w:r>
        <w:t xml:space="preserve">Relationships</w:t>
      </w:r>
    </w:p>
    <w:p>
      <w:pPr>
        <w:pStyle w:val="FirstParagraph"/>
      </w:pPr>
      <w:r>
        <w:t xml:space="preserve">Complex PTSD and attachment patterns may overlap, but they are not the same concept.</w:t>
      </w:r>
    </w:p>
    <w:p>
      <w:r>
        <w:pict>
          <v:rect style="width:0;height:1.5pt" o:hralign="center" o:hrstd="t" o:hr="t"/>
        </w:pict>
      </w:r>
    </w:p>
    <w:bookmarkEnd w:id="22"/>
    <w:bookmarkStart w:id="23" w:name="ptsd-vs.-attachment-style"/>
    <w:p>
      <w:pPr>
        <w:pStyle w:val="Heading2"/>
      </w:pPr>
      <w:r>
        <w:t xml:space="preserve">PTSD vs. Attachment Style</w:t>
      </w:r>
    </w:p>
    <w:p>
      <w:pPr>
        <w:pStyle w:val="FirstParagraph"/>
      </w:pPr>
      <w:r>
        <w:rPr>
          <w:b/>
          <w:bCs/>
        </w:rPr>
        <w:t xml:space="preserve">PTSD</w:t>
      </w:r>
      <w:r>
        <w:t xml:space="preserve"> </w:t>
      </w:r>
      <w:r>
        <w:t xml:space="preserve">describes a trauma-related mental health condition.</w:t>
      </w:r>
    </w:p>
    <w:p>
      <w:pPr>
        <w:pStyle w:val="BodyText"/>
      </w:pPr>
      <w:r>
        <w:rPr>
          <w:b/>
          <w:bCs/>
        </w:rPr>
        <w:t xml:space="preserve">Attachment style</w:t>
      </w:r>
      <w:r>
        <w:t xml:space="preserve"> </w:t>
      </w:r>
      <w:r>
        <w:t xml:space="preserve">describes patterns involving relationships, trust, closeness, dependence, and independence.</w:t>
      </w:r>
    </w:p>
    <w:p>
      <w:pPr>
        <w:pStyle w:val="BodyText"/>
      </w:pPr>
      <w:r>
        <w:t xml:space="preserve">A person can:</w:t>
      </w:r>
    </w:p>
    <w:p>
      <w:pPr>
        <w:pStyle w:val="Compact"/>
        <w:numPr>
          <w:ilvl w:val="0"/>
          <w:numId w:val="1014"/>
        </w:numPr>
      </w:pPr>
      <w:r>
        <w:t xml:space="preserve">Have PTSD and secure attachment characteristics</w:t>
      </w:r>
    </w:p>
    <w:p>
      <w:pPr>
        <w:pStyle w:val="Compact"/>
        <w:numPr>
          <w:ilvl w:val="0"/>
          <w:numId w:val="1014"/>
        </w:numPr>
      </w:pPr>
      <w:r>
        <w:t xml:space="preserve">Have insecure attachment characteristics without PTSD</w:t>
      </w:r>
    </w:p>
    <w:p>
      <w:pPr>
        <w:pStyle w:val="Compact"/>
        <w:numPr>
          <w:ilvl w:val="0"/>
          <w:numId w:val="1014"/>
        </w:numPr>
      </w:pPr>
      <w:r>
        <w:t xml:space="preserve">Experience both PTSD and attachment difficulties</w:t>
      </w:r>
    </w:p>
    <w:p>
      <w:pPr>
        <w:pStyle w:val="Compact"/>
        <w:numPr>
          <w:ilvl w:val="0"/>
          <w:numId w:val="1014"/>
        </w:numPr>
      </w:pPr>
      <w:r>
        <w:t xml:space="preserve">Experience neither</w:t>
      </w:r>
    </w:p>
    <w:p>
      <w:pPr>
        <w:pStyle w:val="FirstParagraph"/>
      </w:pPr>
      <w:r>
        <w:t xml:space="preserve">The terms should not be used interchangeably.</w:t>
      </w:r>
    </w:p>
    <w:p>
      <w:r>
        <w:pict>
          <v:rect style="width:0;height:1.5pt" o:hralign="center" o:hrstd="t" o:hr="t"/>
        </w:pict>
      </w:r>
    </w:p>
    <w:bookmarkEnd w:id="23"/>
    <w:bookmarkStart w:id="24" w:name="trigger"/>
    <w:p>
      <w:pPr>
        <w:pStyle w:val="Heading2"/>
      </w:pPr>
      <w:r>
        <w:t xml:space="preserve">Trigger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trigger</w:t>
      </w:r>
      <w:r>
        <w:t xml:space="preserve"> </w:t>
      </w:r>
      <w:r>
        <w:t xml:space="preserve">is something that activates a strong emotional, behavioral, or physical response because it is associated with previous experiences.</w:t>
      </w:r>
    </w:p>
    <w:p>
      <w:pPr>
        <w:pStyle w:val="BodyText"/>
      </w:pPr>
      <w:r>
        <w:t xml:space="preserve">Triggers may include:</w:t>
      </w:r>
    </w:p>
    <w:p>
      <w:pPr>
        <w:pStyle w:val="Compact"/>
        <w:numPr>
          <w:ilvl w:val="0"/>
          <w:numId w:val="1015"/>
        </w:numPr>
      </w:pPr>
      <w:r>
        <w:t xml:space="preserve">Tone of voice</w:t>
      </w:r>
    </w:p>
    <w:p>
      <w:pPr>
        <w:pStyle w:val="Compact"/>
        <w:numPr>
          <w:ilvl w:val="0"/>
          <w:numId w:val="1015"/>
        </w:numPr>
      </w:pPr>
      <w:r>
        <w:t xml:space="preserve">Conflict</w:t>
      </w:r>
    </w:p>
    <w:p>
      <w:pPr>
        <w:pStyle w:val="Compact"/>
        <w:numPr>
          <w:ilvl w:val="0"/>
          <w:numId w:val="1015"/>
        </w:numPr>
      </w:pPr>
      <w:r>
        <w:t xml:space="preserve">Rejection</w:t>
      </w:r>
    </w:p>
    <w:p>
      <w:pPr>
        <w:pStyle w:val="Compact"/>
        <w:numPr>
          <w:ilvl w:val="0"/>
          <w:numId w:val="1015"/>
        </w:numPr>
      </w:pPr>
      <w:r>
        <w:t xml:space="preserve">Silence</w:t>
      </w:r>
    </w:p>
    <w:p>
      <w:pPr>
        <w:pStyle w:val="Compact"/>
        <w:numPr>
          <w:ilvl w:val="0"/>
          <w:numId w:val="1015"/>
        </w:numPr>
      </w:pPr>
      <w:r>
        <w:t xml:space="preserve">Feeling ignored</w:t>
      </w:r>
    </w:p>
    <w:p>
      <w:pPr>
        <w:pStyle w:val="Compact"/>
        <w:numPr>
          <w:ilvl w:val="0"/>
          <w:numId w:val="1015"/>
        </w:numPr>
      </w:pPr>
      <w:r>
        <w:t xml:space="preserve">Unexpected changes</w:t>
      </w:r>
    </w:p>
    <w:p>
      <w:pPr>
        <w:pStyle w:val="Compact"/>
        <w:numPr>
          <w:ilvl w:val="0"/>
          <w:numId w:val="1015"/>
        </w:numPr>
      </w:pPr>
      <w:r>
        <w:t xml:space="preserve">Criticism</w:t>
      </w:r>
    </w:p>
    <w:p>
      <w:pPr>
        <w:pStyle w:val="Compact"/>
        <w:numPr>
          <w:ilvl w:val="0"/>
          <w:numId w:val="1015"/>
        </w:numPr>
      </w:pPr>
      <w:r>
        <w:t xml:space="preserve">Certain environments</w:t>
      </w:r>
    </w:p>
    <w:p>
      <w:pPr>
        <w:pStyle w:val="Compact"/>
        <w:numPr>
          <w:ilvl w:val="0"/>
          <w:numId w:val="1015"/>
        </w:numPr>
      </w:pPr>
      <w:r>
        <w:t xml:space="preserve">Specific memories</w:t>
      </w:r>
    </w:p>
    <w:p>
      <w:pPr>
        <w:pStyle w:val="FirstParagraph"/>
      </w:pPr>
      <w:r>
        <w:t xml:space="preserve">A trigger does not always mean a person consciously remembers the original experience.</w:t>
      </w:r>
    </w:p>
    <w:p>
      <w:r>
        <w:pict>
          <v:rect style="width:0;height:1.5pt" o:hralign="center" o:hrstd="t" o:hr="t"/>
        </w:pict>
      </w:r>
    </w:p>
    <w:bookmarkEnd w:id="24"/>
    <w:bookmarkStart w:id="25" w:name="hypervigilance"/>
    <w:p>
      <w:pPr>
        <w:pStyle w:val="Heading2"/>
      </w:pPr>
      <w:r>
        <w:t xml:space="preserve">Hypervigilance</w:t>
      </w:r>
    </w:p>
    <w:p>
      <w:pPr>
        <w:pStyle w:val="FirstParagraph"/>
      </w:pPr>
      <w:r>
        <w:rPr>
          <w:b/>
          <w:bCs/>
        </w:rPr>
        <w:t xml:space="preserve">Hypervigilance</w:t>
      </w:r>
      <w:r>
        <w:t xml:space="preserve"> </w:t>
      </w:r>
      <w:r>
        <w:t xml:space="preserve">is an increased state of alertness in which a person closely monitors the environment for potential danger or changes.</w:t>
      </w:r>
    </w:p>
    <w:p>
      <w:pPr>
        <w:pStyle w:val="BodyText"/>
      </w:pPr>
      <w:r>
        <w:t xml:space="preserve">Examples may include:</w:t>
      </w:r>
    </w:p>
    <w:p>
      <w:pPr>
        <w:pStyle w:val="Compact"/>
        <w:numPr>
          <w:ilvl w:val="0"/>
          <w:numId w:val="1016"/>
        </w:numPr>
      </w:pPr>
      <w:r>
        <w:t xml:space="preserve">Watching facial expressions closely</w:t>
      </w:r>
    </w:p>
    <w:p>
      <w:pPr>
        <w:pStyle w:val="Compact"/>
        <w:numPr>
          <w:ilvl w:val="0"/>
          <w:numId w:val="1016"/>
        </w:numPr>
      </w:pPr>
      <w:r>
        <w:t xml:space="preserve">Monitoring tone of voice</w:t>
      </w:r>
    </w:p>
    <w:p>
      <w:pPr>
        <w:pStyle w:val="Compact"/>
        <w:numPr>
          <w:ilvl w:val="0"/>
          <w:numId w:val="1016"/>
        </w:numPr>
      </w:pPr>
      <w:r>
        <w:t xml:space="preserve">Frequently checking exits</w:t>
      </w:r>
    </w:p>
    <w:p>
      <w:pPr>
        <w:pStyle w:val="Compact"/>
        <w:numPr>
          <w:ilvl w:val="0"/>
          <w:numId w:val="1016"/>
        </w:numPr>
      </w:pPr>
      <w:r>
        <w:t xml:space="preserve">Reacting strongly to sudden movement</w:t>
      </w:r>
    </w:p>
    <w:p>
      <w:pPr>
        <w:pStyle w:val="Compact"/>
        <w:numPr>
          <w:ilvl w:val="0"/>
          <w:numId w:val="1016"/>
        </w:numPr>
      </w:pPr>
      <w:r>
        <w:t xml:space="preserve">Constantly assessing whether someone is upset</w:t>
      </w:r>
    </w:p>
    <w:p>
      <w:pPr>
        <w:pStyle w:val="FirstParagraph"/>
      </w:pPr>
      <w:r>
        <w:t xml:space="preserve">Hypervigilance can occur in trauma-related conditions but should not automatically be interpreted as proof of trauma.</w:t>
      </w:r>
    </w:p>
    <w:p>
      <w:r>
        <w:pict>
          <v:rect style="width:0;height:1.5pt" o:hralign="center" o:hrstd="t" o:hr="t"/>
        </w:pict>
      </w:r>
    </w:p>
    <w:bookmarkEnd w:id="25"/>
    <w:bookmarkStart w:id="26" w:name="fight-response"/>
    <w:p>
      <w:pPr>
        <w:pStyle w:val="Heading2"/>
      </w:pPr>
      <w:r>
        <w:t xml:space="preserve">Fight Response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fight response</w:t>
      </w:r>
      <w:r>
        <w:t xml:space="preserve"> </w:t>
      </w:r>
      <w:r>
        <w:t xml:space="preserve">involves attempting to confront, control, resist, or defend against a perceived threat.</w:t>
      </w:r>
    </w:p>
    <w:p>
      <w:pPr>
        <w:pStyle w:val="BodyText"/>
      </w:pPr>
      <w:r>
        <w:t xml:space="preserve">It may appear as:</w:t>
      </w:r>
    </w:p>
    <w:p>
      <w:pPr>
        <w:pStyle w:val="Compact"/>
        <w:numPr>
          <w:ilvl w:val="0"/>
          <w:numId w:val="1017"/>
        </w:numPr>
      </w:pPr>
      <w:r>
        <w:t xml:space="preserve">Arguing</w:t>
      </w:r>
    </w:p>
    <w:p>
      <w:pPr>
        <w:pStyle w:val="Compact"/>
        <w:numPr>
          <w:ilvl w:val="0"/>
          <w:numId w:val="1017"/>
        </w:numPr>
      </w:pPr>
      <w:r>
        <w:t xml:space="preserve">Anger</w:t>
      </w:r>
    </w:p>
    <w:p>
      <w:pPr>
        <w:pStyle w:val="Compact"/>
        <w:numPr>
          <w:ilvl w:val="0"/>
          <w:numId w:val="1017"/>
        </w:numPr>
      </w:pPr>
      <w:r>
        <w:t xml:space="preserve">Defensiveness</w:t>
      </w:r>
    </w:p>
    <w:p>
      <w:pPr>
        <w:pStyle w:val="Compact"/>
        <w:numPr>
          <w:ilvl w:val="0"/>
          <w:numId w:val="1017"/>
        </w:numPr>
      </w:pPr>
      <w:r>
        <w:t xml:space="preserve">Raising one’s voice</w:t>
      </w:r>
    </w:p>
    <w:p>
      <w:pPr>
        <w:pStyle w:val="Compact"/>
        <w:numPr>
          <w:ilvl w:val="0"/>
          <w:numId w:val="1017"/>
        </w:numPr>
      </w:pPr>
      <w:r>
        <w:t xml:space="preserve">Attempting to regain control</w:t>
      </w:r>
    </w:p>
    <w:p>
      <w:r>
        <w:pict>
          <v:rect style="width:0;height:1.5pt" o:hralign="center" o:hrstd="t" o:hr="t"/>
        </w:pict>
      </w:r>
    </w:p>
    <w:bookmarkEnd w:id="26"/>
    <w:bookmarkStart w:id="27" w:name="flight-response"/>
    <w:p>
      <w:pPr>
        <w:pStyle w:val="Heading2"/>
      </w:pPr>
      <w:r>
        <w:t xml:space="preserve">Flight Response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flight response</w:t>
      </w:r>
      <w:r>
        <w:t xml:space="preserve"> </w:t>
      </w:r>
      <w:r>
        <w:t xml:space="preserve">involves attempting to escape or avoid a perceived threat.</w:t>
      </w:r>
    </w:p>
    <w:p>
      <w:pPr>
        <w:pStyle w:val="BodyText"/>
      </w:pPr>
      <w:r>
        <w:t xml:space="preserve">It may appear as:</w:t>
      </w:r>
    </w:p>
    <w:p>
      <w:pPr>
        <w:pStyle w:val="Compact"/>
        <w:numPr>
          <w:ilvl w:val="0"/>
          <w:numId w:val="1018"/>
        </w:numPr>
      </w:pPr>
      <w:r>
        <w:t xml:space="preserve">Leaving</w:t>
      </w:r>
    </w:p>
    <w:p>
      <w:pPr>
        <w:pStyle w:val="Compact"/>
        <w:numPr>
          <w:ilvl w:val="0"/>
          <w:numId w:val="1018"/>
        </w:numPr>
      </w:pPr>
      <w:r>
        <w:t xml:space="preserve">Avoiding conversations</w:t>
      </w:r>
    </w:p>
    <w:p>
      <w:pPr>
        <w:pStyle w:val="Compact"/>
        <w:numPr>
          <w:ilvl w:val="0"/>
          <w:numId w:val="1018"/>
        </w:numPr>
      </w:pPr>
      <w:r>
        <w:t xml:space="preserve">Staying excessively busy</w:t>
      </w:r>
    </w:p>
    <w:p>
      <w:pPr>
        <w:pStyle w:val="Compact"/>
        <w:numPr>
          <w:ilvl w:val="0"/>
          <w:numId w:val="1018"/>
        </w:numPr>
      </w:pPr>
      <w:r>
        <w:t xml:space="preserve">Distancing from people or situations</w:t>
      </w:r>
    </w:p>
    <w:p>
      <w:pPr>
        <w:pStyle w:val="Compact"/>
        <w:numPr>
          <w:ilvl w:val="0"/>
          <w:numId w:val="1018"/>
        </w:numPr>
      </w:pPr>
      <w:r>
        <w:t xml:space="preserve">Restlessness</w:t>
      </w:r>
    </w:p>
    <w:p>
      <w:r>
        <w:pict>
          <v:rect style="width:0;height:1.5pt" o:hralign="center" o:hrstd="t" o:hr="t"/>
        </w:pict>
      </w:r>
    </w:p>
    <w:bookmarkEnd w:id="27"/>
    <w:bookmarkStart w:id="28" w:name="freeze-response"/>
    <w:p>
      <w:pPr>
        <w:pStyle w:val="Heading2"/>
      </w:pPr>
      <w:r>
        <w:t xml:space="preserve">Freeze Response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freeze response</w:t>
      </w:r>
      <w:r>
        <w:t xml:space="preserve"> </w:t>
      </w:r>
      <w:r>
        <w:t xml:space="preserve">may occur when a person becomes unable to effectively fight or escape.</w:t>
      </w:r>
    </w:p>
    <w:p>
      <w:pPr>
        <w:pStyle w:val="BodyText"/>
      </w:pPr>
      <w:r>
        <w:t xml:space="preserve">It may appear as:</w:t>
      </w:r>
    </w:p>
    <w:p>
      <w:pPr>
        <w:pStyle w:val="Compact"/>
        <w:numPr>
          <w:ilvl w:val="0"/>
          <w:numId w:val="1019"/>
        </w:numPr>
      </w:pPr>
      <w:r>
        <w:t xml:space="preserve">Shutting down</w:t>
      </w:r>
    </w:p>
    <w:p>
      <w:pPr>
        <w:pStyle w:val="Compact"/>
        <w:numPr>
          <w:ilvl w:val="0"/>
          <w:numId w:val="1019"/>
        </w:numPr>
      </w:pPr>
      <w:r>
        <w:t xml:space="preserve">Becoming very quiet</w:t>
      </w:r>
    </w:p>
    <w:p>
      <w:pPr>
        <w:pStyle w:val="Compact"/>
        <w:numPr>
          <w:ilvl w:val="0"/>
          <w:numId w:val="1019"/>
        </w:numPr>
      </w:pPr>
      <w:r>
        <w:t xml:space="preserve">Feeling numb</w:t>
      </w:r>
    </w:p>
    <w:p>
      <w:pPr>
        <w:pStyle w:val="Compact"/>
        <w:numPr>
          <w:ilvl w:val="0"/>
          <w:numId w:val="1019"/>
        </w:numPr>
      </w:pPr>
      <w:r>
        <w:t xml:space="preserve">Difficulty thinking</w:t>
      </w:r>
    </w:p>
    <w:p>
      <w:pPr>
        <w:pStyle w:val="Compact"/>
        <w:numPr>
          <w:ilvl w:val="0"/>
          <w:numId w:val="1019"/>
        </w:numPr>
      </w:pPr>
      <w:r>
        <w:t xml:space="preserve">Difficulty making decisions</w:t>
      </w:r>
    </w:p>
    <w:p>
      <w:pPr>
        <w:pStyle w:val="Compact"/>
        <w:numPr>
          <w:ilvl w:val="0"/>
          <w:numId w:val="1019"/>
        </w:numPr>
      </w:pPr>
      <w:r>
        <w:t xml:space="preserve">Feeling unable to respond</w:t>
      </w:r>
    </w:p>
    <w:p>
      <w:r>
        <w:pict>
          <v:rect style="width:0;height:1.5pt" o:hralign="center" o:hrstd="t" o:hr="t"/>
        </w:pict>
      </w:r>
    </w:p>
    <w:bookmarkEnd w:id="28"/>
    <w:bookmarkStart w:id="29" w:name="fawn-response"/>
    <w:p>
      <w:pPr>
        <w:pStyle w:val="Heading2"/>
      </w:pPr>
      <w:r>
        <w:t xml:space="preserve">Fawn Response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fawn response</w:t>
      </w:r>
      <w:r>
        <w:t xml:space="preserve"> </w:t>
      </w:r>
      <w:r>
        <w:t xml:space="preserve">involves attempting to create safety by pleasing, calming, or accommodating others.</w:t>
      </w:r>
    </w:p>
    <w:p>
      <w:pPr>
        <w:pStyle w:val="BodyText"/>
      </w:pPr>
      <w:r>
        <w:t xml:space="preserve">It may appear as:</w:t>
      </w:r>
    </w:p>
    <w:p>
      <w:pPr>
        <w:pStyle w:val="Compact"/>
        <w:numPr>
          <w:ilvl w:val="0"/>
          <w:numId w:val="1020"/>
        </w:numPr>
      </w:pPr>
      <w:r>
        <w:t xml:space="preserve">Excessive apologizing</w:t>
      </w:r>
    </w:p>
    <w:p>
      <w:pPr>
        <w:pStyle w:val="Compact"/>
        <w:numPr>
          <w:ilvl w:val="0"/>
          <w:numId w:val="1020"/>
        </w:numPr>
      </w:pPr>
      <w:r>
        <w:t xml:space="preserve">Difficulty saying no</w:t>
      </w:r>
    </w:p>
    <w:p>
      <w:pPr>
        <w:pStyle w:val="Compact"/>
        <w:numPr>
          <w:ilvl w:val="0"/>
          <w:numId w:val="1020"/>
        </w:numPr>
      </w:pPr>
      <w:r>
        <w:t xml:space="preserve">Avoiding disagreement</w:t>
      </w:r>
    </w:p>
    <w:p>
      <w:pPr>
        <w:pStyle w:val="Compact"/>
        <w:numPr>
          <w:ilvl w:val="0"/>
          <w:numId w:val="1020"/>
        </w:numPr>
      </w:pPr>
      <w:r>
        <w:t xml:space="preserve">Putting other people’s needs first</w:t>
      </w:r>
    </w:p>
    <w:p>
      <w:pPr>
        <w:pStyle w:val="Compact"/>
        <w:numPr>
          <w:ilvl w:val="0"/>
          <w:numId w:val="1020"/>
        </w:numPr>
      </w:pPr>
      <w:r>
        <w:t xml:space="preserve">Trying to keep everyone happy</w:t>
      </w:r>
    </w:p>
    <w:p>
      <w:pPr>
        <w:pStyle w:val="Compact"/>
        <w:numPr>
          <w:ilvl w:val="0"/>
          <w:numId w:val="1020"/>
        </w:numPr>
      </w:pPr>
      <w:r>
        <w:t xml:space="preserve">Taking responsibility for other people’s emotions</w:t>
      </w:r>
    </w:p>
    <w:p>
      <w:r>
        <w:pict>
          <v:rect style="width:0;height:1.5pt" o:hralign="center" o:hrstd="t" o:hr="t"/>
        </w:pict>
      </w:r>
    </w:p>
    <w:bookmarkEnd w:id="29"/>
    <w:bookmarkStart w:id="30" w:name="emotional-regulation"/>
    <w:p>
      <w:pPr>
        <w:pStyle w:val="Heading2"/>
      </w:pPr>
      <w:r>
        <w:t xml:space="preserve">Emotional Regulation</w:t>
      </w:r>
    </w:p>
    <w:p>
      <w:pPr>
        <w:pStyle w:val="FirstParagraph"/>
      </w:pPr>
      <w:r>
        <w:rPr>
          <w:b/>
          <w:bCs/>
        </w:rPr>
        <w:t xml:space="preserve">Emotional regulation</w:t>
      </w:r>
      <w:r>
        <w:t xml:space="preserve"> </w:t>
      </w:r>
      <w:r>
        <w:t xml:space="preserve">is the ability to recognize, manage, and respond to emotions in ways that support functioning and relationships.</w:t>
      </w:r>
    </w:p>
    <w:p>
      <w:pPr>
        <w:pStyle w:val="BodyText"/>
      </w:pPr>
      <w:r>
        <w:t xml:space="preserve">Emotional regulation does not mean suppressing emotions.</w:t>
      </w:r>
    </w:p>
    <w:p>
      <w:pPr>
        <w:pStyle w:val="BodyText"/>
      </w:pPr>
      <w:r>
        <w:t xml:space="preserve">It involves noticing emotions and choosing how to respond.</w:t>
      </w:r>
    </w:p>
    <w:p>
      <w:r>
        <w:pict>
          <v:rect style="width:0;height:1.5pt" o:hralign="center" o:hrstd="t" o:hr="t"/>
        </w:pict>
      </w:r>
    </w:p>
    <w:bookmarkEnd w:id="30"/>
    <w:bookmarkStart w:id="31" w:name="emotional-safety"/>
    <w:p>
      <w:pPr>
        <w:pStyle w:val="Heading2"/>
      </w:pPr>
      <w:r>
        <w:t xml:space="preserve">Emotional Safety</w:t>
      </w:r>
    </w:p>
    <w:p>
      <w:pPr>
        <w:pStyle w:val="FirstParagraph"/>
      </w:pPr>
      <w:r>
        <w:rPr>
          <w:b/>
          <w:bCs/>
        </w:rPr>
        <w:t xml:space="preserve">Emotional safety</w:t>
      </w:r>
      <w:r>
        <w:t xml:space="preserve"> </w:t>
      </w:r>
      <w:r>
        <w:t xml:space="preserve">is the experience of being able to express thoughts, feelings, needs, and concerns without expecting humiliation, intimidation, rejection, or unpredictable harm.</w:t>
      </w:r>
    </w:p>
    <w:p>
      <w:pPr>
        <w:pStyle w:val="BodyText"/>
      </w:pPr>
      <w:r>
        <w:t xml:space="preserve">Emotional safety can support trust and healthy attachment.</w:t>
      </w:r>
    </w:p>
    <w:p>
      <w:r>
        <w:pict>
          <v:rect style="width:0;height:1.5pt" o:hralign="center" o:hrstd="t" o:hr="t"/>
        </w:pict>
      </w:r>
    </w:p>
    <w:bookmarkEnd w:id="31"/>
    <w:bookmarkStart w:id="32" w:name="protective-factors"/>
    <w:p>
      <w:pPr>
        <w:pStyle w:val="Heading2"/>
      </w:pPr>
      <w:r>
        <w:t xml:space="preserve">Protective Factors</w:t>
      </w:r>
    </w:p>
    <w:p>
      <w:pPr>
        <w:pStyle w:val="FirstParagraph"/>
      </w:pPr>
      <w:r>
        <w:rPr>
          <w:b/>
          <w:bCs/>
        </w:rPr>
        <w:t xml:space="preserve">Protective factors</w:t>
      </w:r>
      <w:r>
        <w:t xml:space="preserve"> </w:t>
      </w:r>
      <w:r>
        <w:t xml:space="preserve">are strengths, relationships, resources, or experiences that can reduce the impact of adversity and support resilience.</w:t>
      </w:r>
    </w:p>
    <w:p>
      <w:pPr>
        <w:pStyle w:val="BodyText"/>
      </w:pPr>
      <w:r>
        <w:t xml:space="preserve">Examples include:</w:t>
      </w:r>
    </w:p>
    <w:p>
      <w:pPr>
        <w:pStyle w:val="Compact"/>
        <w:numPr>
          <w:ilvl w:val="0"/>
          <w:numId w:val="1021"/>
        </w:numPr>
      </w:pPr>
      <w:r>
        <w:t xml:space="preserve">A supportive adult</w:t>
      </w:r>
    </w:p>
    <w:p>
      <w:pPr>
        <w:pStyle w:val="Compact"/>
        <w:numPr>
          <w:ilvl w:val="0"/>
          <w:numId w:val="1021"/>
        </w:numPr>
      </w:pPr>
      <w:r>
        <w:t xml:space="preserve">Stable relationships</w:t>
      </w:r>
    </w:p>
    <w:p>
      <w:pPr>
        <w:pStyle w:val="Compact"/>
        <w:numPr>
          <w:ilvl w:val="0"/>
          <w:numId w:val="1021"/>
        </w:numPr>
      </w:pPr>
      <w:r>
        <w:t xml:space="preserve">Friends</w:t>
      </w:r>
    </w:p>
    <w:p>
      <w:pPr>
        <w:pStyle w:val="Compact"/>
        <w:numPr>
          <w:ilvl w:val="0"/>
          <w:numId w:val="1021"/>
        </w:numPr>
      </w:pPr>
      <w:r>
        <w:t xml:space="preserve">Mentors</w:t>
      </w:r>
    </w:p>
    <w:p>
      <w:pPr>
        <w:pStyle w:val="Compact"/>
        <w:numPr>
          <w:ilvl w:val="0"/>
          <w:numId w:val="1021"/>
        </w:numPr>
      </w:pPr>
      <w:r>
        <w:t xml:space="preserve">Education</w:t>
      </w:r>
    </w:p>
    <w:p>
      <w:pPr>
        <w:pStyle w:val="Compact"/>
        <w:numPr>
          <w:ilvl w:val="0"/>
          <w:numId w:val="1021"/>
        </w:numPr>
      </w:pPr>
      <w:r>
        <w:t xml:space="preserve">Faith communities</w:t>
      </w:r>
    </w:p>
    <w:p>
      <w:pPr>
        <w:pStyle w:val="Compact"/>
        <w:numPr>
          <w:ilvl w:val="0"/>
          <w:numId w:val="1021"/>
        </w:numPr>
      </w:pPr>
      <w:r>
        <w:t xml:space="preserve">Counseling</w:t>
      </w:r>
    </w:p>
    <w:p>
      <w:pPr>
        <w:pStyle w:val="Compact"/>
        <w:numPr>
          <w:ilvl w:val="0"/>
          <w:numId w:val="1021"/>
        </w:numPr>
      </w:pPr>
      <w:r>
        <w:t xml:space="preserve">Community support</w:t>
      </w:r>
    </w:p>
    <w:p>
      <w:pPr>
        <w:pStyle w:val="Compact"/>
        <w:numPr>
          <w:ilvl w:val="0"/>
          <w:numId w:val="1021"/>
        </w:numPr>
      </w:pPr>
      <w:r>
        <w:t xml:space="preserve">Healthy routines</w:t>
      </w:r>
    </w:p>
    <w:p>
      <w:pPr>
        <w:pStyle w:val="Compact"/>
        <w:numPr>
          <w:ilvl w:val="0"/>
          <w:numId w:val="1021"/>
        </w:numPr>
      </w:pPr>
      <w:r>
        <w:t xml:space="preserve">Problem-solving skills</w:t>
      </w:r>
    </w:p>
    <w:p>
      <w:r>
        <w:pict>
          <v:rect style="width:0;height:1.5pt" o:hralign="center" o:hrstd="t" o:hr="t"/>
        </w:pict>
      </w:r>
    </w:p>
    <w:bookmarkEnd w:id="32"/>
    <w:bookmarkStart w:id="33" w:name="resilience"/>
    <w:p>
      <w:pPr>
        <w:pStyle w:val="Heading2"/>
      </w:pPr>
      <w:r>
        <w:t xml:space="preserve">Resilience</w:t>
      </w:r>
    </w:p>
    <w:p>
      <w:pPr>
        <w:pStyle w:val="FirstParagraph"/>
      </w:pPr>
      <w:r>
        <w:rPr>
          <w:b/>
          <w:bCs/>
        </w:rPr>
        <w:t xml:space="preserve">Resilience</w:t>
      </w:r>
      <w:r>
        <w:t xml:space="preserve"> </w:t>
      </w:r>
      <w:r>
        <w:t xml:space="preserve">is the ability to adapt, recover, grow, or continue functioning in the face of adversity.</w:t>
      </w:r>
    </w:p>
    <w:p>
      <w:pPr>
        <w:pStyle w:val="BodyText"/>
      </w:pPr>
      <w:r>
        <w:t xml:space="preserve">Resilience does not mean someone was unaffected by difficult experiences.</w:t>
      </w:r>
    </w:p>
    <w:p>
      <w:pPr>
        <w:pStyle w:val="BodyText"/>
      </w:pPr>
      <w:r>
        <w:t xml:space="preserve">It means they have developed or accessed strengths and supports that help them move forward.</w:t>
      </w:r>
    </w:p>
    <w:p>
      <w:r>
        <w:pict>
          <v:rect style="width:0;height:1.5pt" o:hralign="center" o:hrstd="t" o:hr="t"/>
        </w:pict>
      </w:r>
    </w:p>
    <w:bookmarkEnd w:id="33"/>
    <w:bookmarkStart w:id="34" w:name="qualitative-data"/>
    <w:p>
      <w:pPr>
        <w:pStyle w:val="Heading2"/>
      </w:pPr>
      <w:r>
        <w:t xml:space="preserve">Qualitative Data</w:t>
      </w:r>
    </w:p>
    <w:p>
      <w:pPr>
        <w:pStyle w:val="FirstParagraph"/>
      </w:pPr>
      <w:r>
        <w:rPr>
          <w:b/>
          <w:bCs/>
        </w:rPr>
        <w:t xml:space="preserve">Qualitative data</w:t>
      </w:r>
      <w:r>
        <w:t xml:space="preserve"> </w:t>
      </w:r>
      <w:r>
        <w:t xml:space="preserve">describes experiences, observations, behaviors, words, and patterns.</w:t>
      </w:r>
    </w:p>
    <w:p>
      <w:pPr>
        <w:pStyle w:val="BodyText"/>
      </w:pPr>
      <w:r>
        <w:t xml:space="preserve">Examples include:</w:t>
      </w:r>
    </w:p>
    <w:p>
      <w:pPr>
        <w:pStyle w:val="Compact"/>
        <w:numPr>
          <w:ilvl w:val="0"/>
          <w:numId w:val="1022"/>
        </w:numPr>
      </w:pPr>
      <w:r>
        <w:t xml:space="preserve">Body language</w:t>
      </w:r>
    </w:p>
    <w:p>
      <w:pPr>
        <w:pStyle w:val="Compact"/>
        <w:numPr>
          <w:ilvl w:val="0"/>
          <w:numId w:val="1022"/>
        </w:numPr>
      </w:pPr>
      <w:r>
        <w:t xml:space="preserve">Tone</w:t>
      </w:r>
    </w:p>
    <w:p>
      <w:pPr>
        <w:pStyle w:val="Compact"/>
        <w:numPr>
          <w:ilvl w:val="0"/>
          <w:numId w:val="1022"/>
        </w:numPr>
      </w:pPr>
      <w:r>
        <w:t xml:space="preserve">Statements</w:t>
      </w:r>
    </w:p>
    <w:p>
      <w:pPr>
        <w:pStyle w:val="Compact"/>
        <w:numPr>
          <w:ilvl w:val="0"/>
          <w:numId w:val="1022"/>
        </w:numPr>
      </w:pPr>
      <w:r>
        <w:t xml:space="preserve">Stories</w:t>
      </w:r>
    </w:p>
    <w:p>
      <w:pPr>
        <w:pStyle w:val="Compact"/>
        <w:numPr>
          <w:ilvl w:val="0"/>
          <w:numId w:val="1022"/>
        </w:numPr>
      </w:pPr>
      <w:r>
        <w:t xml:space="preserve">Emotional reactions</w:t>
      </w:r>
    </w:p>
    <w:p>
      <w:pPr>
        <w:pStyle w:val="Compact"/>
        <w:numPr>
          <w:ilvl w:val="0"/>
          <w:numId w:val="1022"/>
        </w:numPr>
      </w:pPr>
      <w:r>
        <w:t xml:space="preserve">Observed behavior</w:t>
      </w:r>
    </w:p>
    <w:p>
      <w:pPr>
        <w:pStyle w:val="FirstParagraph"/>
      </w:pPr>
      <w:r>
        <w:t xml:space="preserve">Qualitative data helps answer:</w:t>
      </w:r>
    </w:p>
    <w:p>
      <w:pPr>
        <w:pStyle w:val="BodyText"/>
      </w:pPr>
      <w:r>
        <w:rPr>
          <w:b/>
          <w:bCs/>
        </w:rPr>
        <w:t xml:space="preserve">“What am I noticing?”</w:t>
      </w:r>
    </w:p>
    <w:p>
      <w:r>
        <w:pict>
          <v:rect style="width:0;height:1.5pt" o:hralign="center" o:hrstd="t" o:hr="t"/>
        </w:pict>
      </w:r>
    </w:p>
    <w:bookmarkEnd w:id="34"/>
    <w:bookmarkStart w:id="35" w:name="quantitative-data"/>
    <w:p>
      <w:pPr>
        <w:pStyle w:val="Heading2"/>
      </w:pPr>
      <w:r>
        <w:t xml:space="preserve">Quantitative Data</w:t>
      </w:r>
    </w:p>
    <w:p>
      <w:pPr>
        <w:pStyle w:val="FirstParagraph"/>
      </w:pPr>
      <w:r>
        <w:rPr>
          <w:b/>
          <w:bCs/>
        </w:rPr>
        <w:t xml:space="preserve">Quantitative data</w:t>
      </w:r>
      <w:r>
        <w:t xml:space="preserve"> </w:t>
      </w:r>
      <w:r>
        <w:t xml:space="preserve">uses numbers, scores, or measurable values.</w:t>
      </w:r>
    </w:p>
    <w:p>
      <w:pPr>
        <w:pStyle w:val="BodyText"/>
      </w:pPr>
      <w:r>
        <w:t xml:space="preserve">Examples include:</w:t>
      </w:r>
    </w:p>
    <w:p>
      <w:pPr>
        <w:pStyle w:val="Compact"/>
        <w:numPr>
          <w:ilvl w:val="0"/>
          <w:numId w:val="1023"/>
        </w:numPr>
      </w:pPr>
      <w:r>
        <w:t xml:space="preserve">ACE score</w:t>
      </w:r>
    </w:p>
    <w:p>
      <w:pPr>
        <w:pStyle w:val="Compact"/>
        <w:numPr>
          <w:ilvl w:val="0"/>
          <w:numId w:val="1023"/>
        </w:numPr>
      </w:pPr>
      <w:r>
        <w:t xml:space="preserve">Attachment questionnaire scores</w:t>
      </w:r>
    </w:p>
    <w:p>
      <w:pPr>
        <w:pStyle w:val="Compact"/>
        <w:numPr>
          <w:ilvl w:val="0"/>
          <w:numId w:val="1023"/>
        </w:numPr>
      </w:pPr>
      <w:r>
        <w:t xml:space="preserve">Frequency counts</w:t>
      </w:r>
    </w:p>
    <w:p>
      <w:pPr>
        <w:pStyle w:val="Compact"/>
        <w:numPr>
          <w:ilvl w:val="0"/>
          <w:numId w:val="1023"/>
        </w:numPr>
      </w:pPr>
      <w:r>
        <w:t xml:space="preserve">Rating scales</w:t>
      </w:r>
    </w:p>
    <w:p>
      <w:pPr>
        <w:pStyle w:val="FirstParagraph"/>
      </w:pPr>
      <w:r>
        <w:t xml:space="preserve">Quantitative data helps answer:</w:t>
      </w:r>
    </w:p>
    <w:p>
      <w:pPr>
        <w:pStyle w:val="BodyText"/>
      </w:pPr>
      <w:r>
        <w:rPr>
          <w:b/>
          <w:bCs/>
        </w:rPr>
        <w:t xml:space="preserve">“What measurable patterns appear in the data?”</w:t>
      </w:r>
    </w:p>
    <w:p>
      <w:r>
        <w:pict>
          <v:rect style="width:0;height:1.5pt" o:hralign="center" o:hrstd="t" o:hr="t"/>
        </w:pict>
      </w:r>
    </w:p>
    <w:bookmarkEnd w:id="35"/>
    <w:bookmarkStart w:id="36" w:name="compare-and-contrast"/>
    <w:p>
      <w:pPr>
        <w:pStyle w:val="Heading2"/>
      </w:pPr>
      <w:r>
        <w:t xml:space="preserve">Compare and Contrast</w:t>
      </w:r>
    </w:p>
    <w:p>
      <w:pPr>
        <w:pStyle w:val="FirstParagraph"/>
      </w:pPr>
      <w:r>
        <w:t xml:space="preserve">To</w:t>
      </w:r>
      <w:r>
        <w:t xml:space="preserve"> </w:t>
      </w:r>
      <w:r>
        <w:rPr>
          <w:b/>
          <w:bCs/>
        </w:rPr>
        <w:t xml:space="preserve">compare and contrast</w:t>
      </w:r>
      <w:r>
        <w:t xml:space="preserve"> </w:t>
      </w:r>
      <w:r>
        <w:t xml:space="preserve">qualitative and quantitative data means examining where the two forms of information:</w:t>
      </w:r>
    </w:p>
    <w:p>
      <w:pPr>
        <w:pStyle w:val="Compact"/>
        <w:numPr>
          <w:ilvl w:val="0"/>
          <w:numId w:val="1024"/>
        </w:numPr>
      </w:pPr>
      <w:r>
        <w:t xml:space="preserve">Agree</w:t>
      </w:r>
    </w:p>
    <w:p>
      <w:pPr>
        <w:pStyle w:val="Compact"/>
        <w:numPr>
          <w:ilvl w:val="0"/>
          <w:numId w:val="1024"/>
        </w:numPr>
      </w:pPr>
      <w:r>
        <w:t xml:space="preserve">Differ</w:t>
      </w:r>
    </w:p>
    <w:p>
      <w:pPr>
        <w:pStyle w:val="Compact"/>
        <w:numPr>
          <w:ilvl w:val="0"/>
          <w:numId w:val="1024"/>
        </w:numPr>
      </w:pPr>
      <w:r>
        <w:t xml:space="preserve">Support one another</w:t>
      </w:r>
    </w:p>
    <w:p>
      <w:pPr>
        <w:pStyle w:val="Compact"/>
        <w:numPr>
          <w:ilvl w:val="0"/>
          <w:numId w:val="1024"/>
        </w:numPr>
      </w:pPr>
      <w:r>
        <w:t xml:space="preserve">Reveal different parts of the same pattern</w:t>
      </w:r>
    </w:p>
    <w:p>
      <w:pPr>
        <w:pStyle w:val="Compact"/>
        <w:numPr>
          <w:ilvl w:val="0"/>
          <w:numId w:val="1024"/>
        </w:numPr>
      </w:pPr>
      <w:r>
        <w:t xml:space="preserve">Suggest that more information is needed</w:t>
      </w:r>
    </w:p>
    <w:p>
      <w:pPr>
        <w:pStyle w:val="FirstParagraph"/>
      </w:pPr>
      <w:r>
        <w:t xml:space="preserve">Neither form of data should automatically be treated as more important than the other.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key-reminder"/>
    <w:p>
      <w:pPr>
        <w:pStyle w:val="Heading1"/>
      </w:pPr>
      <w:r>
        <w:t xml:space="preserve">Key Reminder</w:t>
      </w:r>
    </w:p>
    <w:p>
      <w:pPr>
        <w:pStyle w:val="FirstParagraph"/>
      </w:pPr>
      <w:r>
        <w:t xml:space="preserve">The purpose of these concepts is to increase understanding, not to quickly label people.</w:t>
      </w:r>
    </w:p>
    <w:p>
      <w:pPr>
        <w:pStyle w:val="BodyText"/>
      </w:pPr>
      <w:r>
        <w:t xml:space="preserve">A trauma-informed approach follows a process such as:</w:t>
      </w:r>
    </w:p>
    <w:p>
      <w:pPr>
        <w:pStyle w:val="BodyText"/>
      </w:pPr>
      <w:r>
        <w:rPr>
          <w:b/>
          <w:bCs/>
        </w:rPr>
        <w:t xml:space="preserve">Observe → Ask → Gather Information → Compare Data → Identify Patterns → Remain Curious</w:t>
      </w:r>
    </w:p>
    <w:p>
      <w:pPr>
        <w:pStyle w:val="BodyText"/>
      </w:pPr>
      <w:r>
        <w:t xml:space="preserve">Attachment styles, ACE scores, behaviors, and trauma responses should be understood as pieces of information rather than complete definitions of a person.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