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WEST HILLS DERMATOLOGY GROUP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7230 MEDICAL CENTER DRIVE, SUITE 404, WEST HILLS, CALIFORNIA 91307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Phone: (818) 592-6005 www.WestHillsDermatology.com Fax: (818) 592-6088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❑ Farnaz Gaminchi, M.D. ❑ Sara Weiskirch, PA-C ❑ Kerry Schlosser, PA-C ❑ Mojdeh Tabibian, PA-C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Sculptra Aesthetic Instructions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</w:rPr>
        <w:drawing>
          <wp:inline distB="114300" distT="114300" distL="114300" distR="114300">
            <wp:extent cx="2908300" cy="1092200"/>
            <wp:effectExtent b="0" l="0" r="0" t="0"/>
            <wp:docPr descr="Do You Know About Sculptra Aesthetic?" id="1" name="image1.jpg"/>
            <a:graphic>
              <a:graphicData uri="http://schemas.openxmlformats.org/drawingml/2006/picture">
                <pic:pic>
                  <pic:nvPicPr>
                    <pic:cNvPr descr="Do You Know About Sculptra Aesthetic?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Pre-Sculptra Instructions: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NOT take aspirin, ibuprofen, Motrin, Naproxen, Aleve, Vitamin E, Ginkgo Biloba, fish oil, St. John’s Wort, garlic pills, or other anti-inflammatory medications for 1-2 weeks, if okay with your primary physician. These medications can increase the risk of bruising. For mild pain or headaches, Tylenol (acetaminophen) is preferred.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consider taking over the counter Arnica supplements, Rutin 500mg, Bromelain with Quercetin and Vitamin C (available at The Derm Institute, most supplement stores, Whole Foods, etc.) starting 3-5 days before your treatment as they have been shown to decrease bruising.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inform your physician if you have a history of medication allergies, history of anaphylaxis, and any other medical problems.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The ideal time to schedule this procedure is at LEAST 2 WEEKS BEFORE A BIG EVENT.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Post-Sculptra Instructions: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massage the treated areas 5 times a day for about 5 minutes for 5 days after treatment.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hold ice packs on the treated areas gently for about 3-5 minutes, a few times that day.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Feel free to wear makeup a few hours after.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Treated areas may be red, swollen, and bruised for the first 2-7 days.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Do NOT get a facial or massage for 2 weeks after your filler procedure.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Avoid strenuous workouts and alcohol for 24 hours if possible.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If bruising occurs, continue Arnica supplements, Rutin 500mg, Bromelain with Quercetin and Vitamin C, Drink fresh pineapple juice, and/or take Bromelain supplements to help bruising resolve faster.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● A few days after treatment you will look as you did before treatment. This is normal, over time, Sculptra will replace lost collagen.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want you to have an outstanding result. If you have any questions or unexpected concerns, please call the office for assistance at 818-592-6005. Sculptra®Aesthetic │anti-age for the modern age Injectable poly-L-lactic acid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